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33012">
      <w:pPr>
        <w:pStyle w:val="56"/>
        <w:widowControl w:val="0"/>
        <w:wordWrap/>
        <w:adjustRightInd w:val="0"/>
        <w:snapToGrid w:val="0"/>
        <w:spacing w:line="240" w:lineRule="auto"/>
        <w:jc w:val="center"/>
        <w:textAlignment w:val="auto"/>
        <w:rPr>
          <w:rFonts w:hint="eastAsia" w:ascii="仿宋" w:hAnsi="仿宋" w:eastAsia="仿宋" w:cs="仿宋"/>
          <w:b/>
          <w:bCs w:val="0"/>
          <w:color w:val="auto"/>
          <w:sz w:val="32"/>
          <w:szCs w:val="32"/>
          <w:highlight w:val="none"/>
          <w:lang w:val="en-US" w:eastAsia="zh-CN"/>
        </w:rPr>
      </w:pPr>
    </w:p>
    <w:p w14:paraId="297867DE">
      <w:pPr>
        <w:pStyle w:val="56"/>
        <w:widowControl w:val="0"/>
        <w:wordWrap/>
        <w:adjustRightInd w:val="0"/>
        <w:snapToGrid w:val="0"/>
        <w:spacing w:line="432" w:lineRule="auto"/>
        <w:jc w:val="center"/>
        <w:textAlignment w:val="auto"/>
        <w:rPr>
          <w:rFonts w:hint="eastAsia" w:ascii="仿宋" w:hAnsi="仿宋" w:eastAsia="仿宋" w:cs="仿宋"/>
          <w:b/>
          <w:bCs w:val="0"/>
          <w:color w:val="auto"/>
          <w:sz w:val="44"/>
          <w:szCs w:val="44"/>
          <w:highlight w:val="none"/>
          <w:lang w:val="en-US" w:eastAsia="zh-CN"/>
        </w:rPr>
      </w:pPr>
      <w:r>
        <w:rPr>
          <w:rFonts w:hint="eastAsia" w:ascii="仿宋" w:hAnsi="仿宋" w:eastAsia="仿宋" w:cs="仿宋"/>
          <w:b/>
          <w:bCs w:val="0"/>
          <w:color w:val="auto"/>
          <w:sz w:val="44"/>
          <w:szCs w:val="44"/>
          <w:highlight w:val="none"/>
          <w:lang w:val="en-US" w:eastAsia="zh-CN"/>
        </w:rPr>
        <w:t>和田地区人民医院安保服务项目（二次）</w:t>
      </w:r>
    </w:p>
    <w:p w14:paraId="37B36C72">
      <w:pPr>
        <w:pStyle w:val="56"/>
        <w:adjustRightInd w:val="0"/>
        <w:snapToGrid w:val="0"/>
        <w:spacing w:line="240" w:lineRule="auto"/>
        <w:jc w:val="center"/>
        <w:rPr>
          <w:rFonts w:hint="eastAsia" w:ascii="仿宋" w:hAnsi="仿宋" w:eastAsia="仿宋" w:cs="仿宋"/>
          <w:b/>
          <w:bCs w:val="0"/>
          <w:color w:val="auto"/>
          <w:sz w:val="36"/>
          <w:szCs w:val="36"/>
          <w:highlight w:val="none"/>
          <w:lang w:eastAsia="zh-CN"/>
        </w:rPr>
      </w:pPr>
    </w:p>
    <w:p w14:paraId="7C4EA529">
      <w:pPr>
        <w:pStyle w:val="56"/>
        <w:adjustRightInd w:val="0"/>
        <w:snapToGrid w:val="0"/>
        <w:spacing w:line="360" w:lineRule="auto"/>
        <w:jc w:val="center"/>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6"/>
          <w:szCs w:val="36"/>
          <w:highlight w:val="none"/>
          <w:lang w:eastAsia="zh-CN"/>
        </w:rPr>
        <w:t>项目编号：</w:t>
      </w:r>
      <w:r>
        <w:rPr>
          <w:rFonts w:hint="eastAsia" w:ascii="仿宋" w:hAnsi="仿宋" w:eastAsia="仿宋" w:cs="仿宋"/>
          <w:b/>
          <w:bCs w:val="0"/>
          <w:color w:val="auto"/>
          <w:sz w:val="36"/>
          <w:szCs w:val="36"/>
          <w:highlight w:val="none"/>
          <w:lang w:val="en-US" w:eastAsia="zh-CN"/>
        </w:rPr>
        <w:t>HTDQYY-QXD-2026-002-1</w:t>
      </w:r>
    </w:p>
    <w:p w14:paraId="6705E078">
      <w:pPr>
        <w:pStyle w:val="56"/>
        <w:adjustRightInd w:val="0"/>
        <w:snapToGrid w:val="0"/>
        <w:spacing w:line="600" w:lineRule="auto"/>
        <w:jc w:val="both"/>
        <w:rPr>
          <w:rFonts w:hint="eastAsia" w:ascii="仿宋" w:hAnsi="仿宋" w:eastAsia="仿宋" w:cs="仿宋"/>
          <w:b/>
          <w:color w:val="auto"/>
          <w:sz w:val="48"/>
          <w:szCs w:val="48"/>
          <w:highlight w:val="none"/>
          <w:lang w:eastAsia="zh-CN"/>
        </w:rPr>
      </w:pPr>
    </w:p>
    <w:p w14:paraId="5CF921DD">
      <w:pPr>
        <w:jc w:val="center"/>
        <w:outlineLvl w:val="9"/>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招</w:t>
      </w:r>
    </w:p>
    <w:p w14:paraId="0B71336C">
      <w:pPr>
        <w:pStyle w:val="4"/>
        <w:spacing w:line="240" w:lineRule="auto"/>
        <w:rPr>
          <w:rFonts w:hint="eastAsia" w:ascii="仿宋" w:hAnsi="仿宋" w:eastAsia="仿宋" w:cs="仿宋"/>
          <w:color w:val="auto"/>
          <w:sz w:val="20"/>
          <w:szCs w:val="20"/>
          <w:highlight w:val="none"/>
        </w:rPr>
      </w:pPr>
    </w:p>
    <w:p w14:paraId="14DE2623">
      <w:pPr>
        <w:jc w:val="center"/>
        <w:outlineLvl w:val="9"/>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标</w:t>
      </w:r>
    </w:p>
    <w:p w14:paraId="63ED54F7">
      <w:pPr>
        <w:pStyle w:val="4"/>
        <w:spacing w:line="240" w:lineRule="auto"/>
        <w:rPr>
          <w:rFonts w:hint="eastAsia" w:ascii="仿宋" w:hAnsi="仿宋" w:eastAsia="仿宋" w:cs="仿宋"/>
          <w:color w:val="auto"/>
          <w:sz w:val="20"/>
          <w:szCs w:val="20"/>
          <w:highlight w:val="none"/>
        </w:rPr>
      </w:pPr>
    </w:p>
    <w:p w14:paraId="55D2788E">
      <w:pPr>
        <w:jc w:val="center"/>
        <w:outlineLvl w:val="9"/>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文</w:t>
      </w:r>
    </w:p>
    <w:p w14:paraId="698E7FB6">
      <w:pPr>
        <w:pStyle w:val="4"/>
        <w:spacing w:line="240" w:lineRule="auto"/>
        <w:rPr>
          <w:rFonts w:hint="eastAsia" w:ascii="仿宋" w:hAnsi="仿宋" w:eastAsia="仿宋" w:cs="仿宋"/>
          <w:color w:val="auto"/>
          <w:sz w:val="20"/>
          <w:szCs w:val="20"/>
          <w:highlight w:val="none"/>
        </w:rPr>
      </w:pPr>
    </w:p>
    <w:p w14:paraId="36A33670">
      <w:pPr>
        <w:jc w:val="center"/>
        <w:outlineLvl w:val="9"/>
        <w:rPr>
          <w:rFonts w:hint="eastAsia" w:ascii="仿宋" w:hAnsi="仿宋" w:eastAsia="仿宋" w:cs="仿宋"/>
          <w:color w:val="auto"/>
          <w:sz w:val="28"/>
          <w:szCs w:val="28"/>
          <w:highlight w:val="none"/>
        </w:rPr>
      </w:pPr>
      <w:r>
        <w:rPr>
          <w:rFonts w:hint="eastAsia" w:ascii="仿宋" w:hAnsi="仿宋" w:eastAsia="仿宋" w:cs="仿宋"/>
          <w:b/>
          <w:color w:val="auto"/>
          <w:sz w:val="72"/>
          <w:szCs w:val="72"/>
          <w:highlight w:val="none"/>
        </w:rPr>
        <w:t>件</w:t>
      </w:r>
    </w:p>
    <w:p w14:paraId="4F805B5C">
      <w:pPr>
        <w:pStyle w:val="56"/>
        <w:adjustRightInd w:val="0"/>
        <w:snapToGrid w:val="0"/>
        <w:spacing w:line="600" w:lineRule="auto"/>
        <w:jc w:val="both"/>
        <w:rPr>
          <w:rFonts w:hint="eastAsia" w:ascii="仿宋" w:hAnsi="仿宋" w:eastAsia="仿宋" w:cs="仿宋"/>
          <w:b/>
          <w:color w:val="auto"/>
          <w:sz w:val="48"/>
          <w:szCs w:val="48"/>
          <w:highlight w:val="none"/>
        </w:rPr>
      </w:pPr>
    </w:p>
    <w:p w14:paraId="061B831A">
      <w:pPr>
        <w:pStyle w:val="56"/>
        <w:adjustRightInd w:val="0"/>
        <w:snapToGrid w:val="0"/>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新疆庆信达项目管理有限公司</w:t>
      </w:r>
    </w:p>
    <w:p w14:paraId="5BD74B86">
      <w:pPr>
        <w:pStyle w:val="56"/>
        <w:adjustRightInd w:val="0"/>
        <w:snapToGrid w:val="0"/>
        <w:spacing w:line="480" w:lineRule="auto"/>
        <w:jc w:val="center"/>
        <w:rPr>
          <w:rFonts w:hint="eastAsia" w:ascii="仿宋" w:hAnsi="仿宋" w:eastAsia="仿宋" w:cs="仿宋"/>
          <w:b/>
          <w:bCs w:val="0"/>
          <w:color w:val="auto"/>
          <w:kern w:val="0"/>
          <w:sz w:val="36"/>
          <w:szCs w:val="36"/>
          <w:highlight w:val="none"/>
        </w:rPr>
      </w:pPr>
      <w:r>
        <w:rPr>
          <w:rFonts w:hint="eastAsia" w:ascii="仿宋" w:hAnsi="仿宋" w:eastAsia="仿宋" w:cs="仿宋"/>
          <w:b/>
          <w:color w:val="auto"/>
          <w:sz w:val="36"/>
          <w:szCs w:val="36"/>
          <w:highlight w:val="none"/>
          <w:lang w:eastAsia="zh-CN"/>
        </w:rPr>
        <w:t>二〇</w:t>
      </w:r>
      <w:r>
        <w:rPr>
          <w:rFonts w:hint="eastAsia" w:ascii="仿宋" w:hAnsi="仿宋" w:eastAsia="仿宋" w:cs="仿宋"/>
          <w:b/>
          <w:color w:val="auto"/>
          <w:sz w:val="36"/>
          <w:szCs w:val="36"/>
          <w:highlight w:val="none"/>
          <w:lang w:val="en-US" w:eastAsia="zh-CN"/>
        </w:rPr>
        <w:t>二六</w:t>
      </w:r>
      <w:r>
        <w:rPr>
          <w:rFonts w:hint="eastAsia" w:ascii="仿宋" w:hAnsi="仿宋" w:eastAsia="仿宋" w:cs="仿宋"/>
          <w:b/>
          <w:color w:val="auto"/>
          <w:sz w:val="36"/>
          <w:szCs w:val="36"/>
          <w:highlight w:val="none"/>
          <w:lang w:eastAsia="zh-CN"/>
        </w:rPr>
        <w:t>年</w:t>
      </w:r>
      <w:r>
        <w:rPr>
          <w:rFonts w:hint="eastAsia" w:ascii="仿宋" w:hAnsi="仿宋" w:eastAsia="仿宋" w:cs="仿宋"/>
          <w:b/>
          <w:color w:val="auto"/>
          <w:sz w:val="36"/>
          <w:szCs w:val="36"/>
          <w:highlight w:val="none"/>
          <w:lang w:val="en-US" w:eastAsia="zh-CN"/>
        </w:rPr>
        <w:t>四</w:t>
      </w:r>
      <w:r>
        <w:rPr>
          <w:rFonts w:hint="eastAsia" w:ascii="仿宋" w:hAnsi="仿宋" w:eastAsia="仿宋" w:cs="仿宋"/>
          <w:b/>
          <w:color w:val="auto"/>
          <w:sz w:val="36"/>
          <w:szCs w:val="36"/>
          <w:highlight w:val="none"/>
          <w:lang w:eastAsia="zh-CN"/>
        </w:rPr>
        <w:t>月</w:t>
      </w:r>
    </w:p>
    <w:p w14:paraId="17A5C661">
      <w:pPr>
        <w:autoSpaceDE w:val="0"/>
        <w:autoSpaceDN w:val="0"/>
        <w:adjustRightInd w:val="0"/>
        <w:jc w:val="center"/>
        <w:rPr>
          <w:rFonts w:hint="eastAsia" w:ascii="仿宋" w:hAnsi="仿宋" w:eastAsia="仿宋" w:cs="仿宋"/>
          <w:b/>
          <w:bCs w:val="0"/>
          <w:color w:val="auto"/>
          <w:kern w:val="0"/>
          <w:sz w:val="24"/>
          <w:szCs w:val="24"/>
          <w:highlight w:val="none"/>
        </w:rPr>
      </w:pPr>
    </w:p>
    <w:p w14:paraId="36296662">
      <w:pPr>
        <w:autoSpaceDE w:val="0"/>
        <w:autoSpaceDN w:val="0"/>
        <w:adjustRightInd w:val="0"/>
        <w:jc w:val="center"/>
        <w:rPr>
          <w:rFonts w:hint="eastAsia" w:ascii="仿宋" w:hAnsi="仿宋" w:eastAsia="仿宋" w:cs="仿宋"/>
          <w:b/>
          <w:bCs w:val="0"/>
          <w:color w:val="auto"/>
          <w:kern w:val="0"/>
          <w:sz w:val="36"/>
          <w:szCs w:val="36"/>
          <w:highlight w:val="none"/>
          <w:lang w:eastAsia="zh-CN"/>
        </w:rPr>
      </w:pPr>
      <w:r>
        <w:rPr>
          <w:rFonts w:hint="eastAsia" w:ascii="仿宋" w:hAnsi="仿宋" w:eastAsia="仿宋" w:cs="仿宋"/>
          <w:b/>
          <w:bCs w:val="0"/>
          <w:color w:val="auto"/>
          <w:kern w:val="0"/>
          <w:sz w:val="36"/>
          <w:szCs w:val="36"/>
          <w:highlight w:val="none"/>
        </w:rPr>
        <w:t>招标文件</w:t>
      </w:r>
      <w:r>
        <w:rPr>
          <w:rFonts w:hint="eastAsia" w:ascii="仿宋" w:hAnsi="仿宋" w:eastAsia="仿宋" w:cs="仿宋"/>
          <w:b/>
          <w:bCs w:val="0"/>
          <w:color w:val="auto"/>
          <w:kern w:val="0"/>
          <w:sz w:val="36"/>
          <w:szCs w:val="36"/>
          <w:highlight w:val="none"/>
          <w:lang w:eastAsia="zh-CN"/>
        </w:rPr>
        <w:t>（公开招标）</w:t>
      </w:r>
    </w:p>
    <w:p w14:paraId="2C268BDF">
      <w:pPr>
        <w:ind w:firstLine="422" w:firstLineChars="150"/>
        <w:rPr>
          <w:rFonts w:hint="eastAsia" w:ascii="仿宋" w:hAnsi="仿宋" w:eastAsia="仿宋" w:cs="仿宋"/>
          <w:b/>
          <w:bCs w:val="0"/>
          <w:color w:val="auto"/>
          <w:sz w:val="52"/>
          <w:szCs w:val="52"/>
          <w:highlight w:val="none"/>
          <w:lang w:val="zh-CN"/>
        </w:rPr>
      </w:pPr>
      <w:r>
        <w:rPr>
          <w:rFonts w:hint="eastAsia" w:ascii="仿宋" w:hAnsi="仿宋" w:eastAsia="仿宋" w:cs="仿宋"/>
          <w:b/>
          <w:bCs w:val="0"/>
          <w:color w:val="auto"/>
          <w:sz w:val="28"/>
          <w:szCs w:val="28"/>
          <w:highlight w:val="none"/>
          <w:lang w:val="zh-CN"/>
        </w:rPr>
        <w:t xml:space="preserve">  </w:t>
      </w:r>
    </w:p>
    <w:p w14:paraId="279F0384">
      <w:pPr>
        <w:autoSpaceDE w:val="0"/>
        <w:autoSpaceDN w:val="0"/>
        <w:adjustRightInd w:val="0"/>
        <w:spacing w:line="600" w:lineRule="auto"/>
        <w:ind w:firstLine="840" w:firstLineChars="300"/>
        <w:jc w:val="left"/>
        <w:rPr>
          <w:rFonts w:hint="eastAsia" w:ascii="仿宋" w:hAnsi="仿宋" w:eastAsia="仿宋" w:cs="仿宋"/>
          <w:b w:val="0"/>
          <w:bCs/>
          <w:color w:val="auto"/>
          <w:sz w:val="28"/>
          <w:szCs w:val="28"/>
          <w:highlight w:val="none"/>
          <w:lang w:val="zh-CN" w:eastAsia="zh-CN"/>
        </w:rPr>
      </w:pPr>
      <w:r>
        <w:rPr>
          <w:rFonts w:hint="eastAsia" w:ascii="仿宋" w:hAnsi="仿宋" w:eastAsia="仿宋" w:cs="仿宋"/>
          <w:b w:val="0"/>
          <w:bCs/>
          <w:color w:val="auto"/>
          <w:sz w:val="28"/>
          <w:szCs w:val="28"/>
          <w:highlight w:val="none"/>
          <w:lang w:val="zh-CN"/>
        </w:rPr>
        <w:t>项目名称：</w:t>
      </w:r>
      <w:r>
        <w:rPr>
          <w:rFonts w:hint="eastAsia" w:ascii="仿宋" w:hAnsi="仿宋" w:eastAsia="仿宋" w:cs="仿宋"/>
          <w:b w:val="0"/>
          <w:bCs/>
          <w:color w:val="auto"/>
          <w:sz w:val="28"/>
          <w:szCs w:val="28"/>
          <w:highlight w:val="none"/>
          <w:lang w:val="zh-CN" w:eastAsia="zh-CN"/>
        </w:rPr>
        <w:t>和田地区人民医院安保服务项目（二次）</w:t>
      </w:r>
    </w:p>
    <w:p w14:paraId="553C448E">
      <w:pPr>
        <w:autoSpaceDE w:val="0"/>
        <w:autoSpaceDN w:val="0"/>
        <w:adjustRightInd w:val="0"/>
        <w:spacing w:line="600" w:lineRule="auto"/>
        <w:ind w:firstLine="840" w:firstLineChars="300"/>
        <w:jc w:val="left"/>
        <w:rPr>
          <w:rFonts w:hint="eastAsia" w:ascii="仿宋" w:hAnsi="仿宋" w:eastAsia="仿宋" w:cs="仿宋"/>
          <w:b w:val="0"/>
          <w:bCs/>
          <w:color w:val="auto"/>
          <w:sz w:val="28"/>
          <w:szCs w:val="28"/>
          <w:highlight w:val="none"/>
          <w:lang w:val="zh-CN"/>
        </w:rPr>
      </w:pPr>
      <w:r>
        <w:rPr>
          <w:rFonts w:hint="eastAsia" w:ascii="仿宋" w:hAnsi="仿宋" w:eastAsia="仿宋" w:cs="仿宋"/>
          <w:b w:val="0"/>
          <w:bCs/>
          <w:color w:val="auto"/>
          <w:sz w:val="28"/>
          <w:szCs w:val="28"/>
          <w:highlight w:val="none"/>
          <w:lang w:val="en-US" w:eastAsia="zh-CN"/>
        </w:rPr>
        <w:t>采购单位名称</w:t>
      </w:r>
      <w:r>
        <w:rPr>
          <w:rFonts w:hint="eastAsia" w:ascii="仿宋" w:hAnsi="仿宋" w:eastAsia="仿宋" w:cs="仿宋"/>
          <w:b w:val="0"/>
          <w:bCs/>
          <w:color w:val="auto"/>
          <w:sz w:val="28"/>
          <w:szCs w:val="28"/>
          <w:highlight w:val="none"/>
          <w:lang w:val="zh-CN"/>
        </w:rPr>
        <w:t>：</w:t>
      </w:r>
      <w:r>
        <w:rPr>
          <w:rFonts w:hint="eastAsia" w:ascii="仿宋" w:hAnsi="仿宋" w:eastAsia="仿宋" w:cs="仿宋"/>
          <w:b w:val="0"/>
          <w:bCs/>
          <w:color w:val="auto"/>
          <w:sz w:val="28"/>
          <w:szCs w:val="28"/>
          <w:highlight w:val="none"/>
          <w:lang w:val="zh-CN" w:eastAsia="zh-CN"/>
        </w:rPr>
        <w:t>和田地区人民医院</w:t>
      </w:r>
    </w:p>
    <w:p w14:paraId="305AA37E">
      <w:pPr>
        <w:autoSpaceDE w:val="0"/>
        <w:autoSpaceDN w:val="0"/>
        <w:adjustRightInd w:val="0"/>
        <w:spacing w:line="600" w:lineRule="auto"/>
        <w:ind w:firstLine="840" w:firstLineChars="300"/>
        <w:jc w:val="left"/>
        <w:rPr>
          <w:rFonts w:hint="eastAsia" w:ascii="仿宋" w:hAnsi="仿宋" w:eastAsia="仿宋" w:cs="仿宋"/>
          <w:b w:val="0"/>
          <w:bCs/>
          <w:color w:val="auto"/>
          <w:sz w:val="28"/>
          <w:szCs w:val="28"/>
          <w:highlight w:val="none"/>
          <w:lang w:val="zh-CN"/>
        </w:rPr>
      </w:pPr>
      <w:r>
        <w:rPr>
          <w:rFonts w:hint="eastAsia" w:ascii="仿宋" w:hAnsi="仿宋" w:eastAsia="仿宋" w:cs="仿宋"/>
          <w:b w:val="0"/>
          <w:bCs/>
          <w:color w:val="auto"/>
          <w:sz w:val="28"/>
          <w:szCs w:val="28"/>
          <w:highlight w:val="none"/>
          <w:lang w:val="zh-CN"/>
        </w:rPr>
        <w:t>地    址：</w:t>
      </w:r>
      <w:r>
        <w:rPr>
          <w:rFonts w:hint="eastAsia" w:ascii="仿宋" w:hAnsi="仿宋" w:eastAsia="仿宋" w:cs="仿宋"/>
          <w:b w:val="0"/>
          <w:bCs/>
          <w:color w:val="auto"/>
          <w:sz w:val="28"/>
          <w:szCs w:val="28"/>
          <w:highlight w:val="none"/>
          <w:lang w:val="zh-CN" w:eastAsia="zh-CN"/>
        </w:rPr>
        <w:t>和田地区人民医院</w:t>
      </w:r>
    </w:p>
    <w:p w14:paraId="62C4721F">
      <w:pPr>
        <w:autoSpaceDE w:val="0"/>
        <w:autoSpaceDN w:val="0"/>
        <w:adjustRightInd w:val="0"/>
        <w:spacing w:line="600" w:lineRule="auto"/>
        <w:ind w:firstLine="840" w:firstLineChars="300"/>
        <w:jc w:val="left"/>
        <w:rPr>
          <w:rFonts w:hint="eastAsia" w:ascii="仿宋" w:hAnsi="仿宋" w:eastAsia="仿宋" w:cs="仿宋"/>
          <w:b w:val="0"/>
          <w:bCs/>
          <w:color w:val="auto"/>
          <w:sz w:val="28"/>
          <w:szCs w:val="28"/>
          <w:highlight w:val="none"/>
          <w:lang w:val="zh-CN"/>
        </w:rPr>
      </w:pPr>
      <w:r>
        <w:rPr>
          <w:rFonts w:hint="eastAsia" w:ascii="仿宋" w:hAnsi="仿宋" w:eastAsia="仿宋" w:cs="仿宋"/>
          <w:b w:val="0"/>
          <w:bCs/>
          <w:color w:val="auto"/>
          <w:sz w:val="28"/>
          <w:szCs w:val="28"/>
          <w:highlight w:val="none"/>
          <w:lang w:val="zh-CN"/>
        </w:rPr>
        <w:t>联 系 人：</w:t>
      </w:r>
      <w:r>
        <w:rPr>
          <w:rFonts w:hint="eastAsia" w:ascii="仿宋" w:hAnsi="仿宋" w:eastAsia="仿宋" w:cs="仿宋"/>
          <w:b w:val="0"/>
          <w:bCs/>
          <w:color w:val="auto"/>
          <w:sz w:val="28"/>
          <w:szCs w:val="28"/>
          <w:highlight w:val="none"/>
          <w:lang w:val="zh-CN" w:eastAsia="zh-CN"/>
        </w:rPr>
        <w:t>闵玉婷</w:t>
      </w:r>
    </w:p>
    <w:p w14:paraId="195C4029">
      <w:pPr>
        <w:autoSpaceDE w:val="0"/>
        <w:autoSpaceDN w:val="0"/>
        <w:adjustRightInd w:val="0"/>
        <w:spacing w:line="600" w:lineRule="auto"/>
        <w:ind w:firstLine="840" w:firstLineChars="300"/>
        <w:jc w:val="left"/>
        <w:rPr>
          <w:rFonts w:hint="eastAsia" w:ascii="仿宋" w:hAnsi="仿宋" w:eastAsia="仿宋" w:cs="仿宋"/>
          <w:b w:val="0"/>
          <w:bCs/>
          <w:color w:val="auto"/>
          <w:sz w:val="28"/>
          <w:szCs w:val="28"/>
          <w:highlight w:val="none"/>
          <w:lang w:val="zh-CN" w:eastAsia="zh-CN"/>
        </w:rPr>
      </w:pPr>
      <w:r>
        <w:rPr>
          <w:rFonts w:hint="eastAsia" w:ascii="仿宋" w:hAnsi="仿宋" w:eastAsia="仿宋" w:cs="仿宋"/>
          <w:b w:val="0"/>
          <w:bCs/>
          <w:color w:val="auto"/>
          <w:sz w:val="28"/>
          <w:szCs w:val="28"/>
          <w:highlight w:val="none"/>
          <w:lang w:val="zh-CN"/>
        </w:rPr>
        <w:t>联系方式：</w:t>
      </w:r>
      <w:r>
        <w:rPr>
          <w:rFonts w:hint="eastAsia" w:ascii="仿宋" w:hAnsi="仿宋" w:eastAsia="仿宋" w:cs="仿宋"/>
          <w:b w:val="0"/>
          <w:bCs/>
          <w:color w:val="auto"/>
          <w:sz w:val="28"/>
          <w:szCs w:val="28"/>
          <w:highlight w:val="none"/>
          <w:lang w:val="zh-CN" w:eastAsia="zh-CN"/>
        </w:rPr>
        <w:t>0903-2050018</w:t>
      </w:r>
    </w:p>
    <w:p w14:paraId="3FE9B6A0">
      <w:pPr>
        <w:pStyle w:val="4"/>
        <w:spacing w:line="240" w:lineRule="auto"/>
        <w:rPr>
          <w:rFonts w:hint="eastAsia" w:ascii="仿宋" w:hAnsi="仿宋" w:eastAsia="仿宋" w:cs="仿宋"/>
          <w:b w:val="0"/>
          <w:bCs/>
          <w:color w:val="auto"/>
          <w:highlight w:val="none"/>
          <w:lang w:val="zh-CN"/>
        </w:rPr>
      </w:pPr>
    </w:p>
    <w:p w14:paraId="36CCEBA7">
      <w:pPr>
        <w:rPr>
          <w:rFonts w:hint="eastAsia" w:ascii="仿宋" w:hAnsi="仿宋" w:eastAsia="仿宋" w:cs="仿宋"/>
          <w:color w:val="auto"/>
          <w:highlight w:val="none"/>
          <w:lang w:val="zh-CN"/>
        </w:rPr>
      </w:pPr>
    </w:p>
    <w:p w14:paraId="1C5B3F8B">
      <w:pPr>
        <w:rPr>
          <w:rFonts w:hint="eastAsia" w:ascii="仿宋" w:hAnsi="仿宋" w:eastAsia="仿宋" w:cs="仿宋"/>
          <w:color w:val="auto"/>
          <w:highlight w:val="none"/>
          <w:lang w:val="zh-CN"/>
        </w:rPr>
      </w:pPr>
    </w:p>
    <w:p w14:paraId="777DB4D8">
      <w:pPr>
        <w:rPr>
          <w:rFonts w:hint="eastAsia" w:ascii="仿宋" w:hAnsi="仿宋" w:eastAsia="仿宋" w:cs="仿宋"/>
          <w:color w:val="auto"/>
          <w:highlight w:val="none"/>
          <w:lang w:val="zh-CN"/>
        </w:rPr>
      </w:pPr>
    </w:p>
    <w:p w14:paraId="0E1CC866">
      <w:pPr>
        <w:autoSpaceDE w:val="0"/>
        <w:autoSpaceDN w:val="0"/>
        <w:adjustRightInd w:val="0"/>
        <w:spacing w:line="680" w:lineRule="exact"/>
        <w:rPr>
          <w:rFonts w:hint="eastAsia" w:ascii="仿宋" w:hAnsi="仿宋" w:eastAsia="仿宋" w:cs="仿宋"/>
          <w:b w:val="0"/>
          <w:bCs/>
          <w:color w:val="auto"/>
          <w:sz w:val="24"/>
          <w:szCs w:val="28"/>
          <w:highlight w:val="none"/>
        </w:rPr>
      </w:pPr>
      <w:r>
        <w:rPr>
          <w:rFonts w:hint="eastAsia" w:ascii="仿宋" w:hAnsi="仿宋" w:eastAsia="仿宋" w:cs="仿宋"/>
          <w:b w:val="0"/>
          <w:bCs/>
          <w:color w:val="auto"/>
          <w:sz w:val="24"/>
          <w:szCs w:val="28"/>
          <w:highlight w:val="none"/>
        </w:rPr>
        <w:t xml:space="preserve">     ----------------------------------------------------------- </w:t>
      </w:r>
    </w:p>
    <w:p w14:paraId="04CB5277">
      <w:pPr>
        <w:pStyle w:val="82"/>
        <w:spacing w:line="240" w:lineRule="auto"/>
        <w:jc w:val="both"/>
        <w:rPr>
          <w:rFonts w:hint="eastAsia" w:ascii="仿宋" w:hAnsi="仿宋" w:eastAsia="仿宋" w:cs="仿宋"/>
          <w:b w:val="0"/>
          <w:bCs/>
          <w:color w:val="auto"/>
          <w:sz w:val="24"/>
          <w:szCs w:val="22"/>
          <w:highlight w:val="none"/>
          <w:lang w:val="zh-CN"/>
        </w:rPr>
      </w:pPr>
    </w:p>
    <w:p w14:paraId="5686FC2B">
      <w:pPr>
        <w:pStyle w:val="82"/>
        <w:spacing w:line="240" w:lineRule="auto"/>
        <w:jc w:val="both"/>
        <w:rPr>
          <w:rFonts w:hint="eastAsia" w:ascii="仿宋" w:hAnsi="仿宋" w:eastAsia="仿宋" w:cs="仿宋"/>
          <w:b w:val="0"/>
          <w:bCs/>
          <w:color w:val="auto"/>
          <w:highlight w:val="none"/>
          <w:lang w:val="zh-CN"/>
        </w:rPr>
      </w:pPr>
    </w:p>
    <w:p w14:paraId="7C7C13E3">
      <w:pPr>
        <w:pStyle w:val="68"/>
        <w:spacing w:line="240" w:lineRule="auto"/>
        <w:ind w:left="0" w:leftChars="0" w:firstLine="0" w:firstLineChars="0"/>
        <w:rPr>
          <w:rFonts w:hint="eastAsia" w:ascii="仿宋" w:hAnsi="仿宋" w:eastAsia="仿宋" w:cs="仿宋"/>
          <w:b w:val="0"/>
          <w:bCs/>
          <w:color w:val="auto"/>
          <w:sz w:val="22"/>
          <w:szCs w:val="22"/>
          <w:highlight w:val="none"/>
          <w:lang w:val="zh-CN"/>
        </w:rPr>
      </w:pPr>
    </w:p>
    <w:p w14:paraId="276306DA">
      <w:pPr>
        <w:autoSpaceDE w:val="0"/>
        <w:autoSpaceDN w:val="0"/>
        <w:adjustRightInd w:val="0"/>
        <w:spacing w:line="600" w:lineRule="auto"/>
        <w:ind w:firstLine="560" w:firstLineChars="200"/>
        <w:jc w:val="left"/>
        <w:rPr>
          <w:rFonts w:hint="eastAsia" w:ascii="仿宋" w:hAnsi="仿宋" w:eastAsia="仿宋" w:cs="仿宋"/>
          <w:b w:val="0"/>
          <w:bCs/>
          <w:color w:val="auto"/>
          <w:sz w:val="28"/>
          <w:szCs w:val="28"/>
          <w:highlight w:val="none"/>
          <w:lang w:val="zh-CN"/>
        </w:rPr>
      </w:pPr>
      <w:r>
        <w:rPr>
          <w:rFonts w:hint="eastAsia" w:ascii="仿宋" w:hAnsi="仿宋" w:eastAsia="仿宋" w:cs="仿宋"/>
          <w:b w:val="0"/>
          <w:bCs/>
          <w:color w:val="auto"/>
          <w:sz w:val="28"/>
          <w:szCs w:val="28"/>
          <w:highlight w:val="none"/>
          <w:lang w:val="zh-CN"/>
        </w:rPr>
        <w:t xml:space="preserve">招标代理机构：新疆庆信达项目管理有限公司 </w:t>
      </w:r>
    </w:p>
    <w:p w14:paraId="62E37662">
      <w:pPr>
        <w:autoSpaceDE w:val="0"/>
        <w:autoSpaceDN w:val="0"/>
        <w:adjustRightInd w:val="0"/>
        <w:spacing w:line="600" w:lineRule="auto"/>
        <w:ind w:firstLine="560" w:firstLineChars="200"/>
        <w:jc w:val="left"/>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zh-CN"/>
        </w:rPr>
        <w:t>联 系 人：</w:t>
      </w:r>
      <w:r>
        <w:rPr>
          <w:rFonts w:hint="eastAsia" w:ascii="仿宋" w:hAnsi="仿宋" w:eastAsia="仿宋" w:cs="仿宋"/>
          <w:b w:val="0"/>
          <w:bCs/>
          <w:color w:val="auto"/>
          <w:sz w:val="28"/>
          <w:szCs w:val="28"/>
          <w:highlight w:val="none"/>
          <w:lang w:val="en-US" w:eastAsia="zh-CN"/>
        </w:rPr>
        <w:t>郑泽娟</w:t>
      </w:r>
    </w:p>
    <w:p w14:paraId="34DD8546">
      <w:pPr>
        <w:autoSpaceDE w:val="0"/>
        <w:autoSpaceDN w:val="0"/>
        <w:adjustRightInd w:val="0"/>
        <w:spacing w:line="600" w:lineRule="auto"/>
        <w:ind w:firstLine="560" w:firstLineChars="200"/>
        <w:jc w:val="left"/>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zh-CN"/>
        </w:rPr>
        <w:t>电    话：0903-7820626</w:t>
      </w:r>
    </w:p>
    <w:p w14:paraId="5E36BC6E">
      <w:pPr>
        <w:autoSpaceDE w:val="0"/>
        <w:autoSpaceDN w:val="0"/>
        <w:adjustRightInd w:val="0"/>
        <w:spacing w:line="600" w:lineRule="auto"/>
        <w:ind w:firstLine="560" w:firstLineChars="200"/>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val="0"/>
          <w:bCs/>
          <w:color w:val="auto"/>
          <w:sz w:val="28"/>
          <w:szCs w:val="28"/>
          <w:highlight w:val="none"/>
          <w:lang w:val="zh-CN"/>
        </w:rPr>
        <w:t>详细地址：</w:t>
      </w:r>
      <w:r>
        <w:rPr>
          <w:rFonts w:hint="eastAsia" w:ascii="仿宋" w:hAnsi="仿宋" w:eastAsia="仿宋" w:cs="仿宋"/>
          <w:b w:val="0"/>
          <w:bCs/>
          <w:color w:val="auto"/>
          <w:sz w:val="28"/>
          <w:szCs w:val="28"/>
          <w:highlight w:val="none"/>
          <w:lang w:val="zh-CN" w:eastAsia="zh-CN"/>
        </w:rPr>
        <w:t>和田市人民街18号玉都国际广场金座703室</w:t>
      </w:r>
      <w:r>
        <w:rPr>
          <w:rFonts w:hint="eastAsia" w:ascii="仿宋" w:hAnsi="仿宋" w:eastAsia="仿宋" w:cs="仿宋"/>
          <w:b/>
          <w:bCs w:val="0"/>
          <w:color w:val="auto"/>
          <w:sz w:val="28"/>
          <w:szCs w:val="28"/>
          <w:highlight w:val="none"/>
          <w:lang w:val="en-US" w:eastAsia="zh-CN"/>
        </w:rPr>
        <w:t xml:space="preserve"> </w:t>
      </w:r>
    </w:p>
    <w:p w14:paraId="4A512F4A">
      <w:pPr>
        <w:autoSpaceDE w:val="0"/>
        <w:autoSpaceDN w:val="0"/>
        <w:adjustRightInd w:val="0"/>
        <w:spacing w:line="600" w:lineRule="auto"/>
        <w:jc w:val="center"/>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目  录</w:t>
      </w:r>
    </w:p>
    <w:p w14:paraId="2F54076D">
      <w:pPr>
        <w:pStyle w:val="20"/>
        <w:widowControl w:val="0"/>
        <w:tabs>
          <w:tab w:val="right" w:leader="dot" w:pos="9240"/>
        </w:tabs>
        <w:wordWrap/>
        <w:adjustRightInd/>
        <w:snapToGrid/>
        <w:spacing w:line="600" w:lineRule="auto"/>
        <w:textAlignment w:val="auto"/>
        <w:rPr>
          <w:rFonts w:hint="eastAsia" w:ascii="仿宋" w:hAnsi="仿宋" w:eastAsia="仿宋" w:cs="仿宋"/>
          <w:color w:val="auto"/>
          <w:highlight w:val="none"/>
        </w:rPr>
      </w:pPr>
    </w:p>
    <w:p w14:paraId="224B7A51">
      <w:pPr>
        <w:pStyle w:val="20"/>
        <w:widowControl w:val="0"/>
        <w:tabs>
          <w:tab w:val="right" w:leader="dot" w:pos="9240"/>
        </w:tabs>
        <w:wordWrap/>
        <w:adjustRightInd/>
        <w:snapToGrid/>
        <w:spacing w:line="720" w:lineRule="auto"/>
        <w:ind w:firstLine="420"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"1-9" \f \h \u </w:instrText>
      </w:r>
      <w:r>
        <w:rPr>
          <w:rFonts w:hint="eastAsia" w:ascii="仿宋" w:hAnsi="仿宋" w:eastAsia="仿宋" w:cs="仿宋"/>
          <w:color w:val="auto"/>
          <w:highlight w:val="none"/>
        </w:rPr>
        <w:fldChar w:fldCharType="separate"/>
      </w:r>
      <w:r>
        <w:rPr>
          <w:rFonts w:hint="eastAsia" w:ascii="仿宋" w:hAnsi="仿宋" w:eastAsia="仿宋" w:cs="仿宋"/>
          <w:b w:val="0"/>
          <w:bCs w:val="0"/>
          <w:color w:val="auto"/>
          <w:sz w:val="30"/>
          <w:szCs w:val="30"/>
          <w:highlight w:val="none"/>
        </w:rPr>
        <w:fldChar w:fldCharType="begin"/>
      </w:r>
      <w:r>
        <w:rPr>
          <w:rFonts w:hint="eastAsia" w:ascii="仿宋" w:hAnsi="仿宋" w:eastAsia="仿宋" w:cs="仿宋"/>
          <w:b w:val="0"/>
          <w:bCs w:val="0"/>
          <w:color w:val="auto"/>
          <w:sz w:val="30"/>
          <w:szCs w:val="30"/>
          <w:highlight w:val="none"/>
        </w:rPr>
        <w:instrText xml:space="preserve"> HYPERLINK \l _Toc31121 </w:instrText>
      </w:r>
      <w:r>
        <w:rPr>
          <w:rFonts w:hint="eastAsia" w:ascii="仿宋" w:hAnsi="仿宋" w:eastAsia="仿宋" w:cs="仿宋"/>
          <w:b w:val="0"/>
          <w:bCs w:val="0"/>
          <w:color w:val="auto"/>
          <w:sz w:val="30"/>
          <w:szCs w:val="30"/>
          <w:highlight w:val="none"/>
        </w:rPr>
        <w:fldChar w:fldCharType="separate"/>
      </w:r>
      <w:r>
        <w:rPr>
          <w:rFonts w:hint="eastAsia" w:ascii="仿宋" w:hAnsi="仿宋" w:eastAsia="仿宋" w:cs="仿宋"/>
          <w:b w:val="0"/>
          <w:bCs w:val="0"/>
          <w:color w:val="auto"/>
          <w:sz w:val="30"/>
          <w:szCs w:val="30"/>
          <w:highlight w:val="none"/>
          <w:lang w:val="en-US" w:eastAsia="zh-CN"/>
        </w:rPr>
        <w:t>第一部分  采购公告</w:t>
      </w:r>
      <w:r>
        <w:rPr>
          <w:rFonts w:hint="eastAsia" w:ascii="仿宋" w:hAnsi="仿宋" w:eastAsia="仿宋" w:cs="仿宋"/>
          <w:b w:val="0"/>
          <w:bCs w:val="0"/>
          <w:color w:val="auto"/>
          <w:sz w:val="30"/>
          <w:szCs w:val="30"/>
          <w:highlight w:val="none"/>
        </w:rPr>
        <w:tab/>
      </w:r>
      <w:r>
        <w:rPr>
          <w:rFonts w:hint="eastAsia" w:ascii="仿宋" w:hAnsi="仿宋" w:eastAsia="仿宋" w:cs="仿宋"/>
          <w:b w:val="0"/>
          <w:bCs w:val="0"/>
          <w:color w:val="auto"/>
          <w:sz w:val="30"/>
          <w:szCs w:val="30"/>
          <w:highlight w:val="none"/>
        </w:rPr>
        <w:fldChar w:fldCharType="end"/>
      </w:r>
    </w:p>
    <w:p w14:paraId="1B423C32">
      <w:pPr>
        <w:pStyle w:val="20"/>
        <w:widowControl w:val="0"/>
        <w:tabs>
          <w:tab w:val="right" w:leader="dot" w:pos="9240"/>
        </w:tabs>
        <w:wordWrap/>
        <w:adjustRightInd/>
        <w:snapToGrid/>
        <w:spacing w:line="720" w:lineRule="auto"/>
        <w:ind w:firstLine="600"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fldChar w:fldCharType="begin"/>
      </w:r>
      <w:r>
        <w:rPr>
          <w:rFonts w:hint="eastAsia" w:ascii="仿宋" w:hAnsi="仿宋" w:eastAsia="仿宋" w:cs="仿宋"/>
          <w:b w:val="0"/>
          <w:bCs w:val="0"/>
          <w:color w:val="auto"/>
          <w:sz w:val="30"/>
          <w:szCs w:val="30"/>
          <w:highlight w:val="none"/>
        </w:rPr>
        <w:instrText xml:space="preserve"> HYPERLINK \l _Toc25035 </w:instrText>
      </w:r>
      <w:r>
        <w:rPr>
          <w:rFonts w:hint="eastAsia" w:ascii="仿宋" w:hAnsi="仿宋" w:eastAsia="仿宋" w:cs="仿宋"/>
          <w:b w:val="0"/>
          <w:bCs w:val="0"/>
          <w:color w:val="auto"/>
          <w:sz w:val="30"/>
          <w:szCs w:val="30"/>
          <w:highlight w:val="none"/>
        </w:rPr>
        <w:fldChar w:fldCharType="separate"/>
      </w:r>
      <w:r>
        <w:rPr>
          <w:rFonts w:hint="eastAsia" w:ascii="仿宋" w:hAnsi="仿宋" w:eastAsia="仿宋" w:cs="仿宋"/>
          <w:b w:val="0"/>
          <w:bCs w:val="0"/>
          <w:color w:val="auto"/>
          <w:sz w:val="30"/>
          <w:szCs w:val="30"/>
          <w:highlight w:val="none"/>
          <w:lang w:eastAsia="zh-CN"/>
        </w:rPr>
        <w:t>第二部分</w:t>
      </w:r>
      <w:r>
        <w:rPr>
          <w:rFonts w:hint="eastAsia" w:ascii="仿宋" w:hAnsi="仿宋" w:eastAsia="仿宋" w:cs="仿宋"/>
          <w:b w:val="0"/>
          <w:bCs w:val="0"/>
          <w:color w:val="auto"/>
          <w:sz w:val="30"/>
          <w:szCs w:val="30"/>
          <w:highlight w:val="none"/>
          <w:lang w:val="en-US" w:eastAsia="zh-CN"/>
        </w:rPr>
        <w:t xml:space="preserve">  投标人须知</w:t>
      </w:r>
      <w:r>
        <w:rPr>
          <w:rFonts w:hint="eastAsia" w:ascii="仿宋" w:hAnsi="仿宋" w:eastAsia="仿宋" w:cs="仿宋"/>
          <w:b w:val="0"/>
          <w:bCs w:val="0"/>
          <w:color w:val="auto"/>
          <w:sz w:val="30"/>
          <w:szCs w:val="30"/>
          <w:highlight w:val="none"/>
        </w:rPr>
        <w:tab/>
      </w:r>
      <w:r>
        <w:rPr>
          <w:rFonts w:hint="eastAsia" w:ascii="仿宋" w:hAnsi="仿宋" w:eastAsia="仿宋" w:cs="仿宋"/>
          <w:b w:val="0"/>
          <w:bCs w:val="0"/>
          <w:color w:val="auto"/>
          <w:sz w:val="30"/>
          <w:szCs w:val="30"/>
          <w:highlight w:val="none"/>
        </w:rPr>
        <w:fldChar w:fldCharType="end"/>
      </w:r>
    </w:p>
    <w:p w14:paraId="69F0E04F">
      <w:pPr>
        <w:pStyle w:val="20"/>
        <w:widowControl w:val="0"/>
        <w:tabs>
          <w:tab w:val="right" w:leader="dot" w:pos="9240"/>
        </w:tabs>
        <w:wordWrap/>
        <w:adjustRightInd/>
        <w:snapToGrid/>
        <w:spacing w:line="720" w:lineRule="auto"/>
        <w:ind w:firstLine="1200" w:firstLineChars="4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fldChar w:fldCharType="begin"/>
      </w:r>
      <w:r>
        <w:rPr>
          <w:rFonts w:hint="eastAsia" w:ascii="仿宋" w:hAnsi="仿宋" w:eastAsia="仿宋" w:cs="仿宋"/>
          <w:b w:val="0"/>
          <w:bCs w:val="0"/>
          <w:color w:val="auto"/>
          <w:sz w:val="30"/>
          <w:szCs w:val="30"/>
          <w:highlight w:val="none"/>
        </w:rPr>
        <w:instrText xml:space="preserve"> HYPERLINK \l _Toc10179 </w:instrText>
      </w:r>
      <w:r>
        <w:rPr>
          <w:rFonts w:hint="eastAsia" w:ascii="仿宋" w:hAnsi="仿宋" w:eastAsia="仿宋" w:cs="仿宋"/>
          <w:b w:val="0"/>
          <w:bCs w:val="0"/>
          <w:color w:val="auto"/>
          <w:sz w:val="30"/>
          <w:szCs w:val="30"/>
          <w:highlight w:val="none"/>
        </w:rPr>
        <w:fldChar w:fldCharType="separate"/>
      </w:r>
      <w:r>
        <w:rPr>
          <w:rFonts w:hint="eastAsia" w:ascii="仿宋" w:hAnsi="仿宋" w:eastAsia="仿宋" w:cs="仿宋"/>
          <w:b w:val="0"/>
          <w:bCs w:val="0"/>
          <w:color w:val="auto"/>
          <w:sz w:val="30"/>
          <w:szCs w:val="30"/>
          <w:highlight w:val="none"/>
        </w:rPr>
        <w:t>投标人须知前附表</w:t>
      </w:r>
      <w:r>
        <w:rPr>
          <w:rFonts w:hint="eastAsia" w:ascii="仿宋" w:hAnsi="仿宋" w:eastAsia="仿宋" w:cs="仿宋"/>
          <w:b w:val="0"/>
          <w:bCs w:val="0"/>
          <w:color w:val="auto"/>
          <w:sz w:val="30"/>
          <w:szCs w:val="30"/>
          <w:highlight w:val="none"/>
        </w:rPr>
        <w:tab/>
      </w:r>
      <w:r>
        <w:rPr>
          <w:rFonts w:hint="eastAsia" w:ascii="仿宋" w:hAnsi="仿宋" w:eastAsia="仿宋" w:cs="仿宋"/>
          <w:b w:val="0"/>
          <w:bCs w:val="0"/>
          <w:color w:val="auto"/>
          <w:sz w:val="30"/>
          <w:szCs w:val="30"/>
          <w:highlight w:val="none"/>
        </w:rPr>
        <w:fldChar w:fldCharType="end"/>
      </w:r>
    </w:p>
    <w:p w14:paraId="5018695D">
      <w:pPr>
        <w:pStyle w:val="26"/>
        <w:widowControl w:val="0"/>
        <w:tabs>
          <w:tab w:val="right" w:leader="dot" w:pos="9240"/>
        </w:tabs>
        <w:wordWrap/>
        <w:adjustRightInd/>
        <w:snapToGrid/>
        <w:spacing w:line="720" w:lineRule="auto"/>
        <w:ind w:left="0" w:leftChars="0" w:firstLine="600"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fldChar w:fldCharType="begin"/>
      </w:r>
      <w:r>
        <w:rPr>
          <w:rFonts w:hint="eastAsia" w:ascii="仿宋" w:hAnsi="仿宋" w:eastAsia="仿宋" w:cs="仿宋"/>
          <w:b w:val="0"/>
          <w:bCs w:val="0"/>
          <w:color w:val="auto"/>
          <w:sz w:val="30"/>
          <w:szCs w:val="30"/>
          <w:highlight w:val="none"/>
        </w:rPr>
        <w:instrText xml:space="preserve"> HYPERLINK \l _Toc27167 </w:instrText>
      </w:r>
      <w:r>
        <w:rPr>
          <w:rFonts w:hint="eastAsia" w:ascii="仿宋" w:hAnsi="仿宋" w:eastAsia="仿宋" w:cs="仿宋"/>
          <w:b w:val="0"/>
          <w:bCs w:val="0"/>
          <w:color w:val="auto"/>
          <w:sz w:val="30"/>
          <w:szCs w:val="30"/>
          <w:highlight w:val="none"/>
        </w:rPr>
        <w:fldChar w:fldCharType="separate"/>
      </w:r>
      <w:r>
        <w:rPr>
          <w:rFonts w:hint="eastAsia" w:ascii="仿宋" w:hAnsi="仿宋" w:eastAsia="仿宋" w:cs="仿宋"/>
          <w:b w:val="0"/>
          <w:bCs w:val="0"/>
          <w:color w:val="auto"/>
          <w:sz w:val="30"/>
          <w:szCs w:val="30"/>
          <w:highlight w:val="none"/>
          <w:lang w:val="en-US" w:eastAsia="zh-CN"/>
        </w:rPr>
        <w:t>第一章  招 标 书</w:t>
      </w:r>
      <w:r>
        <w:rPr>
          <w:rFonts w:hint="eastAsia" w:ascii="仿宋" w:hAnsi="仿宋" w:eastAsia="仿宋" w:cs="仿宋"/>
          <w:b w:val="0"/>
          <w:bCs w:val="0"/>
          <w:color w:val="auto"/>
          <w:sz w:val="30"/>
          <w:szCs w:val="30"/>
          <w:highlight w:val="none"/>
        </w:rPr>
        <w:tab/>
      </w:r>
      <w:r>
        <w:rPr>
          <w:rFonts w:hint="eastAsia" w:ascii="仿宋" w:hAnsi="仿宋" w:eastAsia="仿宋" w:cs="仿宋"/>
          <w:b w:val="0"/>
          <w:bCs w:val="0"/>
          <w:color w:val="auto"/>
          <w:sz w:val="30"/>
          <w:szCs w:val="30"/>
          <w:highlight w:val="none"/>
        </w:rPr>
        <w:fldChar w:fldCharType="end"/>
      </w:r>
    </w:p>
    <w:p w14:paraId="759DD1EF">
      <w:pPr>
        <w:pStyle w:val="26"/>
        <w:widowControl w:val="0"/>
        <w:tabs>
          <w:tab w:val="right" w:leader="dot" w:pos="9240"/>
        </w:tabs>
        <w:wordWrap/>
        <w:adjustRightInd/>
        <w:snapToGrid/>
        <w:spacing w:line="720" w:lineRule="auto"/>
        <w:ind w:left="0" w:leftChars="0" w:firstLine="600"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fldChar w:fldCharType="begin"/>
      </w:r>
      <w:r>
        <w:rPr>
          <w:rFonts w:hint="eastAsia" w:ascii="仿宋" w:hAnsi="仿宋" w:eastAsia="仿宋" w:cs="仿宋"/>
          <w:b w:val="0"/>
          <w:bCs w:val="0"/>
          <w:color w:val="auto"/>
          <w:sz w:val="30"/>
          <w:szCs w:val="30"/>
          <w:highlight w:val="none"/>
        </w:rPr>
        <w:instrText xml:space="preserve"> HYPERLINK \l _Toc26927 </w:instrText>
      </w:r>
      <w:r>
        <w:rPr>
          <w:rFonts w:hint="eastAsia" w:ascii="仿宋" w:hAnsi="仿宋" w:eastAsia="仿宋" w:cs="仿宋"/>
          <w:b w:val="0"/>
          <w:bCs w:val="0"/>
          <w:color w:val="auto"/>
          <w:sz w:val="30"/>
          <w:szCs w:val="30"/>
          <w:highlight w:val="none"/>
        </w:rPr>
        <w:fldChar w:fldCharType="separate"/>
      </w:r>
      <w:r>
        <w:rPr>
          <w:rFonts w:hint="eastAsia" w:ascii="仿宋" w:hAnsi="仿宋" w:eastAsia="仿宋" w:cs="仿宋"/>
          <w:b w:val="0"/>
          <w:bCs w:val="0"/>
          <w:color w:val="auto"/>
          <w:sz w:val="30"/>
          <w:szCs w:val="30"/>
          <w:highlight w:val="none"/>
          <w:lang w:val="en-US" w:eastAsia="zh-CN"/>
        </w:rPr>
        <w:t>第二章  评标办法及标准</w:t>
      </w:r>
      <w:r>
        <w:rPr>
          <w:rFonts w:hint="eastAsia" w:ascii="仿宋" w:hAnsi="仿宋" w:eastAsia="仿宋" w:cs="仿宋"/>
          <w:b w:val="0"/>
          <w:bCs w:val="0"/>
          <w:color w:val="auto"/>
          <w:sz w:val="30"/>
          <w:szCs w:val="30"/>
          <w:highlight w:val="none"/>
        </w:rPr>
        <w:tab/>
      </w:r>
      <w:r>
        <w:rPr>
          <w:rFonts w:hint="eastAsia" w:ascii="仿宋" w:hAnsi="仿宋" w:eastAsia="仿宋" w:cs="仿宋"/>
          <w:b w:val="0"/>
          <w:bCs w:val="0"/>
          <w:color w:val="auto"/>
          <w:sz w:val="30"/>
          <w:szCs w:val="30"/>
          <w:highlight w:val="none"/>
        </w:rPr>
        <w:fldChar w:fldCharType="end"/>
      </w:r>
    </w:p>
    <w:p w14:paraId="34BD2D69">
      <w:pPr>
        <w:pStyle w:val="26"/>
        <w:widowControl w:val="0"/>
        <w:tabs>
          <w:tab w:val="right" w:leader="dot" w:pos="9240"/>
        </w:tabs>
        <w:wordWrap/>
        <w:adjustRightInd/>
        <w:snapToGrid/>
        <w:spacing w:line="720" w:lineRule="auto"/>
        <w:ind w:left="0" w:leftChars="0" w:firstLine="600"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fldChar w:fldCharType="begin"/>
      </w:r>
      <w:r>
        <w:rPr>
          <w:rFonts w:hint="eastAsia" w:ascii="仿宋" w:hAnsi="仿宋" w:eastAsia="仿宋" w:cs="仿宋"/>
          <w:b w:val="0"/>
          <w:bCs w:val="0"/>
          <w:color w:val="auto"/>
          <w:sz w:val="30"/>
          <w:szCs w:val="30"/>
          <w:highlight w:val="none"/>
        </w:rPr>
        <w:instrText xml:space="preserve"> HYPERLINK \l _Toc29633 </w:instrText>
      </w:r>
      <w:r>
        <w:rPr>
          <w:rFonts w:hint="eastAsia" w:ascii="仿宋" w:hAnsi="仿宋" w:eastAsia="仿宋" w:cs="仿宋"/>
          <w:b w:val="0"/>
          <w:bCs w:val="0"/>
          <w:color w:val="auto"/>
          <w:sz w:val="30"/>
          <w:szCs w:val="30"/>
          <w:highlight w:val="none"/>
        </w:rPr>
        <w:fldChar w:fldCharType="separate"/>
      </w:r>
      <w:r>
        <w:rPr>
          <w:rFonts w:hint="eastAsia" w:ascii="仿宋" w:hAnsi="仿宋" w:eastAsia="仿宋" w:cs="仿宋"/>
          <w:b w:val="0"/>
          <w:bCs w:val="0"/>
          <w:color w:val="auto"/>
          <w:sz w:val="30"/>
          <w:szCs w:val="30"/>
          <w:highlight w:val="none"/>
          <w:lang w:val="en-US" w:eastAsia="zh-CN"/>
        </w:rPr>
        <w:t>第三章  采购需求</w:t>
      </w:r>
      <w:r>
        <w:rPr>
          <w:rFonts w:hint="eastAsia" w:ascii="仿宋" w:hAnsi="仿宋" w:eastAsia="仿宋" w:cs="仿宋"/>
          <w:b w:val="0"/>
          <w:bCs w:val="0"/>
          <w:color w:val="auto"/>
          <w:sz w:val="30"/>
          <w:szCs w:val="30"/>
          <w:highlight w:val="none"/>
        </w:rPr>
        <w:tab/>
      </w:r>
      <w:r>
        <w:rPr>
          <w:rFonts w:hint="eastAsia" w:ascii="仿宋" w:hAnsi="仿宋" w:eastAsia="仿宋" w:cs="仿宋"/>
          <w:b w:val="0"/>
          <w:bCs w:val="0"/>
          <w:color w:val="auto"/>
          <w:sz w:val="30"/>
          <w:szCs w:val="30"/>
          <w:highlight w:val="none"/>
        </w:rPr>
        <w:fldChar w:fldCharType="end"/>
      </w:r>
    </w:p>
    <w:p w14:paraId="072DCE75">
      <w:pPr>
        <w:pStyle w:val="20"/>
        <w:widowControl w:val="0"/>
        <w:tabs>
          <w:tab w:val="right" w:leader="dot" w:pos="9240"/>
        </w:tabs>
        <w:wordWrap/>
        <w:adjustRightInd/>
        <w:snapToGrid/>
        <w:spacing w:line="720" w:lineRule="auto"/>
        <w:ind w:firstLine="600"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fldChar w:fldCharType="begin"/>
      </w:r>
      <w:r>
        <w:rPr>
          <w:rFonts w:hint="eastAsia" w:ascii="仿宋" w:hAnsi="仿宋" w:eastAsia="仿宋" w:cs="仿宋"/>
          <w:b w:val="0"/>
          <w:bCs w:val="0"/>
          <w:color w:val="auto"/>
          <w:sz w:val="30"/>
          <w:szCs w:val="30"/>
          <w:highlight w:val="none"/>
        </w:rPr>
        <w:instrText xml:space="preserve"> HYPERLINK \l _Toc13536 </w:instrText>
      </w:r>
      <w:r>
        <w:rPr>
          <w:rFonts w:hint="eastAsia" w:ascii="仿宋" w:hAnsi="仿宋" w:eastAsia="仿宋" w:cs="仿宋"/>
          <w:b w:val="0"/>
          <w:bCs w:val="0"/>
          <w:color w:val="auto"/>
          <w:sz w:val="30"/>
          <w:szCs w:val="30"/>
          <w:highlight w:val="none"/>
        </w:rPr>
        <w:fldChar w:fldCharType="separate"/>
      </w:r>
      <w:r>
        <w:rPr>
          <w:rFonts w:hint="eastAsia" w:ascii="仿宋" w:hAnsi="仿宋" w:eastAsia="仿宋" w:cs="仿宋"/>
          <w:b w:val="0"/>
          <w:bCs w:val="0"/>
          <w:color w:val="auto"/>
          <w:sz w:val="30"/>
          <w:szCs w:val="30"/>
          <w:highlight w:val="none"/>
        </w:rPr>
        <w:t>第</w:t>
      </w:r>
      <w:r>
        <w:rPr>
          <w:rFonts w:hint="eastAsia" w:ascii="仿宋" w:hAnsi="仿宋" w:eastAsia="仿宋" w:cs="仿宋"/>
          <w:b w:val="0"/>
          <w:bCs w:val="0"/>
          <w:color w:val="auto"/>
          <w:sz w:val="30"/>
          <w:szCs w:val="30"/>
          <w:highlight w:val="none"/>
          <w:lang w:val="en-US" w:eastAsia="zh-CN"/>
        </w:rPr>
        <w:t>四</w:t>
      </w:r>
      <w:r>
        <w:rPr>
          <w:rFonts w:hint="eastAsia" w:ascii="仿宋" w:hAnsi="仿宋" w:eastAsia="仿宋" w:cs="仿宋"/>
          <w:b w:val="0"/>
          <w:bCs w:val="0"/>
          <w:color w:val="auto"/>
          <w:sz w:val="30"/>
          <w:szCs w:val="30"/>
          <w:highlight w:val="none"/>
        </w:rPr>
        <w:t xml:space="preserve">章  </w:t>
      </w:r>
      <w:r>
        <w:rPr>
          <w:rFonts w:hint="eastAsia" w:ascii="仿宋" w:hAnsi="仿宋" w:eastAsia="仿宋" w:cs="仿宋"/>
          <w:b w:val="0"/>
          <w:bCs w:val="0"/>
          <w:color w:val="auto"/>
          <w:sz w:val="30"/>
          <w:szCs w:val="30"/>
          <w:highlight w:val="none"/>
          <w:lang w:val="en-US" w:eastAsia="zh-CN"/>
        </w:rPr>
        <w:t>合同条款及格式</w:t>
      </w:r>
      <w:r>
        <w:rPr>
          <w:rFonts w:hint="eastAsia" w:ascii="仿宋" w:hAnsi="仿宋" w:eastAsia="仿宋" w:cs="仿宋"/>
          <w:b w:val="0"/>
          <w:bCs w:val="0"/>
          <w:color w:val="auto"/>
          <w:sz w:val="30"/>
          <w:szCs w:val="30"/>
          <w:highlight w:val="none"/>
        </w:rPr>
        <w:tab/>
      </w:r>
      <w:r>
        <w:rPr>
          <w:rFonts w:hint="eastAsia" w:ascii="仿宋" w:hAnsi="仿宋" w:eastAsia="仿宋" w:cs="仿宋"/>
          <w:b w:val="0"/>
          <w:bCs w:val="0"/>
          <w:color w:val="auto"/>
          <w:sz w:val="30"/>
          <w:szCs w:val="30"/>
          <w:highlight w:val="none"/>
        </w:rPr>
        <w:fldChar w:fldCharType="end"/>
      </w:r>
    </w:p>
    <w:p w14:paraId="4EBC9E74">
      <w:pPr>
        <w:pStyle w:val="20"/>
        <w:widowControl w:val="0"/>
        <w:tabs>
          <w:tab w:val="right" w:leader="dot" w:pos="9240"/>
        </w:tabs>
        <w:wordWrap/>
        <w:adjustRightInd/>
        <w:snapToGrid/>
        <w:spacing w:line="720" w:lineRule="auto"/>
        <w:ind w:firstLine="600" w:firstLineChars="200"/>
        <w:textAlignment w:val="auto"/>
        <w:rPr>
          <w:rFonts w:hint="eastAsia" w:ascii="仿宋" w:hAnsi="仿宋" w:eastAsia="仿宋" w:cs="仿宋"/>
          <w:color w:val="auto"/>
          <w:highlight w:val="none"/>
        </w:rPr>
      </w:pPr>
      <w:r>
        <w:rPr>
          <w:rFonts w:hint="eastAsia" w:ascii="仿宋" w:hAnsi="仿宋" w:eastAsia="仿宋" w:cs="仿宋"/>
          <w:b w:val="0"/>
          <w:bCs w:val="0"/>
          <w:color w:val="auto"/>
          <w:sz w:val="30"/>
          <w:szCs w:val="30"/>
          <w:highlight w:val="none"/>
        </w:rPr>
        <w:fldChar w:fldCharType="begin"/>
      </w:r>
      <w:r>
        <w:rPr>
          <w:rFonts w:hint="eastAsia" w:ascii="仿宋" w:hAnsi="仿宋" w:eastAsia="仿宋" w:cs="仿宋"/>
          <w:b w:val="0"/>
          <w:bCs w:val="0"/>
          <w:color w:val="auto"/>
          <w:sz w:val="30"/>
          <w:szCs w:val="30"/>
          <w:highlight w:val="none"/>
        </w:rPr>
        <w:instrText xml:space="preserve"> HYPERLINK \l _Toc5124 </w:instrText>
      </w:r>
      <w:r>
        <w:rPr>
          <w:rFonts w:hint="eastAsia" w:ascii="仿宋" w:hAnsi="仿宋" w:eastAsia="仿宋" w:cs="仿宋"/>
          <w:b w:val="0"/>
          <w:bCs w:val="0"/>
          <w:color w:val="auto"/>
          <w:sz w:val="30"/>
          <w:szCs w:val="30"/>
          <w:highlight w:val="none"/>
        </w:rPr>
        <w:fldChar w:fldCharType="separate"/>
      </w:r>
      <w:r>
        <w:rPr>
          <w:rFonts w:hint="eastAsia" w:ascii="仿宋" w:hAnsi="仿宋" w:eastAsia="仿宋" w:cs="仿宋"/>
          <w:b w:val="0"/>
          <w:bCs w:val="0"/>
          <w:color w:val="auto"/>
          <w:sz w:val="30"/>
          <w:szCs w:val="30"/>
          <w:highlight w:val="none"/>
        </w:rPr>
        <w:t>第</w:t>
      </w:r>
      <w:r>
        <w:rPr>
          <w:rFonts w:hint="eastAsia" w:ascii="仿宋" w:hAnsi="仿宋" w:eastAsia="仿宋" w:cs="仿宋"/>
          <w:b w:val="0"/>
          <w:bCs w:val="0"/>
          <w:color w:val="auto"/>
          <w:sz w:val="30"/>
          <w:szCs w:val="30"/>
          <w:highlight w:val="none"/>
          <w:lang w:val="en-US" w:eastAsia="zh-CN"/>
        </w:rPr>
        <w:t>五</w:t>
      </w:r>
      <w:r>
        <w:rPr>
          <w:rFonts w:hint="eastAsia" w:ascii="仿宋" w:hAnsi="仿宋" w:eastAsia="仿宋" w:cs="仿宋"/>
          <w:b w:val="0"/>
          <w:bCs w:val="0"/>
          <w:color w:val="auto"/>
          <w:sz w:val="30"/>
          <w:szCs w:val="30"/>
          <w:highlight w:val="none"/>
          <w:lang w:eastAsia="zh-CN"/>
        </w:rPr>
        <w:t>章</w:t>
      </w:r>
      <w:r>
        <w:rPr>
          <w:rFonts w:hint="eastAsia" w:ascii="仿宋" w:hAnsi="仿宋" w:eastAsia="仿宋" w:cs="仿宋"/>
          <w:b w:val="0"/>
          <w:bCs w:val="0"/>
          <w:color w:val="auto"/>
          <w:sz w:val="30"/>
          <w:szCs w:val="30"/>
          <w:highlight w:val="none"/>
        </w:rPr>
        <w:t xml:space="preserve">  投标文件内容及格式</w:t>
      </w:r>
      <w:r>
        <w:rPr>
          <w:rFonts w:hint="eastAsia" w:ascii="仿宋" w:hAnsi="仿宋" w:eastAsia="仿宋" w:cs="仿宋"/>
          <w:b w:val="0"/>
          <w:bCs w:val="0"/>
          <w:color w:val="auto"/>
          <w:sz w:val="30"/>
          <w:szCs w:val="30"/>
          <w:highlight w:val="none"/>
        </w:rPr>
        <w:tab/>
      </w:r>
      <w:r>
        <w:rPr>
          <w:rFonts w:hint="eastAsia" w:ascii="仿宋" w:hAnsi="仿宋" w:eastAsia="仿宋" w:cs="仿宋"/>
          <w:b w:val="0"/>
          <w:bCs w:val="0"/>
          <w:color w:val="auto"/>
          <w:sz w:val="30"/>
          <w:szCs w:val="30"/>
          <w:highlight w:val="none"/>
        </w:rPr>
        <w:fldChar w:fldCharType="end"/>
      </w:r>
    </w:p>
    <w:p w14:paraId="5A3F6EAE">
      <w:pPr>
        <w:pStyle w:val="2"/>
        <w:outlineLvl w:val="0"/>
        <w:rPr>
          <w:rFonts w:hint="eastAsia" w:ascii="仿宋" w:hAnsi="仿宋" w:eastAsia="仿宋" w:cs="仿宋"/>
          <w:color w:val="auto"/>
          <w:highlight w:val="none"/>
        </w:rPr>
      </w:pPr>
      <w:r>
        <w:rPr>
          <w:rFonts w:hint="eastAsia" w:ascii="仿宋" w:hAnsi="仿宋" w:eastAsia="仿宋" w:cs="仿宋"/>
          <w:color w:val="auto"/>
          <w:highlight w:val="none"/>
        </w:rPr>
        <w:fldChar w:fldCharType="end"/>
      </w:r>
    </w:p>
    <w:p w14:paraId="74599311">
      <w:pPr>
        <w:autoSpaceDE w:val="0"/>
        <w:autoSpaceDN w:val="0"/>
        <w:adjustRightInd w:val="0"/>
        <w:spacing w:line="600" w:lineRule="auto"/>
        <w:ind w:left="2"/>
        <w:rPr>
          <w:rFonts w:hint="eastAsia" w:ascii="仿宋" w:hAnsi="仿宋" w:eastAsia="仿宋" w:cs="仿宋"/>
          <w:color w:val="auto"/>
          <w:kern w:val="0"/>
          <w:sz w:val="28"/>
          <w:szCs w:val="28"/>
          <w:highlight w:val="none"/>
        </w:rPr>
      </w:pPr>
    </w:p>
    <w:p w14:paraId="1BC41093">
      <w:pPr>
        <w:pStyle w:val="67"/>
        <w:rPr>
          <w:rFonts w:hint="eastAsia" w:ascii="仿宋" w:hAnsi="仿宋" w:eastAsia="仿宋" w:cs="仿宋"/>
          <w:color w:val="auto"/>
          <w:highlight w:val="none"/>
        </w:rPr>
      </w:pPr>
    </w:p>
    <w:p w14:paraId="23014D17">
      <w:pPr>
        <w:pStyle w:val="4"/>
        <w:rPr>
          <w:rFonts w:hint="eastAsia" w:ascii="仿宋" w:hAnsi="仿宋" w:eastAsia="仿宋" w:cs="仿宋"/>
          <w:color w:val="auto"/>
          <w:kern w:val="0"/>
          <w:sz w:val="28"/>
          <w:szCs w:val="28"/>
          <w:highlight w:val="none"/>
        </w:rPr>
      </w:pPr>
    </w:p>
    <w:p w14:paraId="638E3A71">
      <w:pPr>
        <w:rPr>
          <w:rFonts w:hint="eastAsia" w:ascii="仿宋" w:hAnsi="仿宋" w:eastAsia="仿宋" w:cs="仿宋"/>
          <w:color w:val="auto"/>
          <w:kern w:val="0"/>
          <w:sz w:val="28"/>
          <w:szCs w:val="28"/>
          <w:highlight w:val="none"/>
        </w:rPr>
      </w:pPr>
    </w:p>
    <w:p w14:paraId="03254AE1">
      <w:pPr>
        <w:rPr>
          <w:rFonts w:hint="eastAsia" w:ascii="仿宋" w:hAnsi="仿宋" w:eastAsia="仿宋" w:cs="仿宋"/>
          <w:color w:val="auto"/>
          <w:kern w:val="0"/>
          <w:sz w:val="28"/>
          <w:szCs w:val="28"/>
          <w:highlight w:val="none"/>
        </w:rPr>
      </w:pPr>
    </w:p>
    <w:p w14:paraId="2B7CDFF9">
      <w:pPr>
        <w:pStyle w:val="87"/>
        <w:spacing w:line="600" w:lineRule="auto"/>
        <w:jc w:val="center"/>
        <w:rPr>
          <w:rFonts w:hint="eastAsia" w:ascii="仿宋" w:hAnsi="仿宋" w:eastAsia="仿宋" w:cs="仿宋"/>
          <w:b/>
          <w:bCs/>
          <w:i/>
          <w:iCs/>
          <w:color w:val="auto"/>
          <w:sz w:val="72"/>
          <w:szCs w:val="72"/>
          <w:highlight w:val="none"/>
        </w:rPr>
      </w:pPr>
      <w:r>
        <w:rPr>
          <w:rFonts w:hint="eastAsia" w:ascii="仿宋" w:hAnsi="仿宋" w:eastAsia="仿宋" w:cs="仿宋"/>
          <w:b/>
          <w:bCs/>
          <w:i/>
          <w:iCs/>
          <w:color w:val="auto"/>
          <w:sz w:val="60"/>
          <w:szCs w:val="60"/>
          <w:highlight w:val="none"/>
        </w:rPr>
        <w:t>特别注意</w:t>
      </w:r>
    </w:p>
    <w:p w14:paraId="095640AE">
      <w:pPr>
        <w:pStyle w:val="84"/>
        <w:widowControl/>
        <w:numPr>
          <w:ilvl w:val="0"/>
          <w:numId w:val="0"/>
        </w:numPr>
        <w:wordWrap/>
        <w:adjustRightInd w:val="0"/>
        <w:snapToGrid w:val="0"/>
        <w:spacing w:before="0" w:beforeAutospacing="0" w:after="0" w:afterAutospacing="0" w:line="360" w:lineRule="auto"/>
        <w:ind w:right="0" w:firstLine="560" w:firstLineChars="200"/>
        <w:jc w:val="center"/>
        <w:textAlignment w:val="auto"/>
        <w:rPr>
          <w:rFonts w:hint="eastAsia" w:ascii="仿宋" w:hAnsi="仿宋" w:eastAsia="仿宋" w:cs="仿宋"/>
          <w:color w:val="auto"/>
          <w:kern w:val="2"/>
          <w:sz w:val="28"/>
          <w:szCs w:val="28"/>
          <w:highlight w:val="none"/>
          <w:lang w:val="en-US" w:eastAsia="zh-CN" w:bidi="ar-SA"/>
        </w:rPr>
      </w:pPr>
    </w:p>
    <w:p w14:paraId="46F2754A">
      <w:pPr>
        <w:pStyle w:val="84"/>
        <w:widowControl/>
        <w:numPr>
          <w:ilvl w:val="0"/>
          <w:numId w:val="0"/>
        </w:numPr>
        <w:wordWrap/>
        <w:adjustRightInd w:val="0"/>
        <w:snapToGrid w:val="0"/>
        <w:spacing w:before="0" w:beforeAutospacing="0" w:after="0" w:afterAutospacing="0" w:line="420" w:lineRule="auto"/>
        <w:ind w:right="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1.本项目实行网上投标，采用电子投标文件。若供应商参与投标，自行承担投标一切费用；</w:t>
      </w:r>
    </w:p>
    <w:p w14:paraId="1EC9F8AE">
      <w:pPr>
        <w:pStyle w:val="84"/>
        <w:widowControl/>
        <w:numPr>
          <w:ilvl w:val="0"/>
          <w:numId w:val="0"/>
        </w:numPr>
        <w:wordWrap/>
        <w:adjustRightInd w:val="0"/>
        <w:snapToGrid w:val="0"/>
        <w:spacing w:before="0" w:beforeAutospacing="0" w:after="0" w:afterAutospacing="0" w:line="420" w:lineRule="auto"/>
        <w:ind w:right="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各供应商应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6B60D10C">
      <w:pPr>
        <w:pStyle w:val="84"/>
        <w:widowControl/>
        <w:numPr>
          <w:ilvl w:val="0"/>
          <w:numId w:val="0"/>
        </w:numPr>
        <w:wordWrap/>
        <w:adjustRightInd w:val="0"/>
        <w:snapToGrid w:val="0"/>
        <w:spacing w:before="0" w:beforeAutospacing="0" w:after="0" w:afterAutospacing="0" w:line="420" w:lineRule="auto"/>
        <w:ind w:right="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供应商将政采云电子交易客户端下载、安装完成后，可通过账号密码或CA登录客户端进行投标文件的制作。在使用政采云投标客户端时，建议使用WIN7（64位）及以上操作系统。客户端请至新疆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291C13C6">
      <w:pPr>
        <w:pStyle w:val="84"/>
        <w:widowControl/>
        <w:numPr>
          <w:ilvl w:val="0"/>
          <w:numId w:val="0"/>
        </w:numPr>
        <w:wordWrap/>
        <w:adjustRightInd w:val="0"/>
        <w:snapToGrid w:val="0"/>
        <w:spacing w:before="0" w:beforeAutospacing="0" w:after="0" w:afterAutospacing="0" w:line="420" w:lineRule="auto"/>
        <w:ind w:right="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4.供应商在开标时须使用制作加密电子投标文件所使用的CA锁及电脑，电脑须提前配置好浏览器（使用谷歌浏览器），并确保开标期间电脑网络环境畅通，以便开标时解锁；</w:t>
      </w:r>
    </w:p>
    <w:p w14:paraId="25815817">
      <w:pPr>
        <w:pStyle w:val="68"/>
        <w:wordWrap/>
        <w:spacing w:line="420" w:lineRule="auto"/>
        <w:ind w:left="0" w:leftChars="0" w:firstLine="56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8"/>
          <w:szCs w:val="28"/>
          <w:highlight w:val="none"/>
          <w:lang w:val="en-US" w:eastAsia="zh-CN" w:bidi="ar-SA"/>
        </w:rPr>
        <w:t>5.为了保证开评标顺利进行，政采云线上开标功能完全实现，供应商开标所使用的电脑设备须具有视频及语音功能。</w:t>
      </w:r>
    </w:p>
    <w:p w14:paraId="5E14E9B5">
      <w:pPr>
        <w:pStyle w:val="2"/>
        <w:keepNext/>
        <w:keepLines/>
        <w:widowControl w:val="0"/>
        <w:numPr>
          <w:ilvl w:val="0"/>
          <w:numId w:val="0"/>
        </w:numPr>
        <w:tabs>
          <w:tab w:val="left" w:pos="0"/>
          <w:tab w:val="left" w:pos="3165"/>
          <w:tab w:val="center" w:pos="4153"/>
        </w:tabs>
        <w:wordWrap/>
        <w:autoSpaceDE w:val="0"/>
        <w:autoSpaceDN w:val="0"/>
        <w:adjustRightInd w:val="0"/>
        <w:snapToGrid/>
        <w:spacing w:before="0" w:after="0" w:line="600" w:lineRule="auto"/>
        <w:ind w:leftChars="0"/>
        <w:jc w:val="center"/>
        <w:textAlignment w:val="auto"/>
        <w:rPr>
          <w:rFonts w:hint="eastAsia" w:ascii="仿宋" w:hAnsi="仿宋" w:eastAsia="仿宋" w:cs="仿宋"/>
          <w:color w:val="auto"/>
          <w:sz w:val="36"/>
          <w:szCs w:val="36"/>
          <w:highlight w:val="none"/>
          <w:lang w:val="en-US" w:eastAsia="zh-CN"/>
        </w:rPr>
      </w:pPr>
      <w:bookmarkStart w:id="0" w:name="_Toc30559"/>
      <w:bookmarkStart w:id="1" w:name="_Toc1277"/>
      <w:bookmarkStart w:id="2" w:name="_Toc30491"/>
      <w:bookmarkStart w:id="3" w:name="_Toc5064"/>
      <w:bookmarkStart w:id="4" w:name="_Toc15231"/>
      <w:bookmarkStart w:id="5" w:name="_Toc19282"/>
      <w:bookmarkStart w:id="6" w:name="_Toc15770"/>
      <w:bookmarkStart w:id="7" w:name="_Toc27002"/>
      <w:bookmarkStart w:id="8" w:name="_Toc25035"/>
      <w:r>
        <w:rPr>
          <w:rFonts w:hint="eastAsia" w:ascii="仿宋" w:hAnsi="仿宋" w:eastAsia="仿宋" w:cs="仿宋"/>
          <w:color w:val="auto"/>
          <w:sz w:val="36"/>
          <w:szCs w:val="36"/>
          <w:highlight w:val="none"/>
          <w:lang w:val="en-US" w:eastAsia="zh-CN"/>
        </w:rPr>
        <w:t>第一部分  采购公告</w:t>
      </w:r>
    </w:p>
    <w:p w14:paraId="5C8E2D1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和田地区人民医院安保服务项目（二次）公开招标公告</w:t>
      </w:r>
    </w:p>
    <w:p w14:paraId="14C80A1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00" w:lineRule="auto"/>
        <w:textAlignment w:val="auto"/>
        <w:outlineLvl w:val="9"/>
        <w:rPr>
          <w:rFonts w:hint="eastAsia" w:ascii="仿宋" w:hAnsi="仿宋" w:eastAsia="仿宋" w:cs="仿宋"/>
          <w:color w:val="auto"/>
          <w:sz w:val="24"/>
          <w:szCs w:val="24"/>
          <w:highlight w:val="none"/>
        </w:rPr>
      </w:pPr>
      <w:bookmarkStart w:id="9" w:name="_Toc11674"/>
      <w:bookmarkStart w:id="10" w:name="_Toc35393629"/>
      <w:bookmarkStart w:id="11" w:name="_Toc28359089"/>
      <w:bookmarkStart w:id="12" w:name="_Toc28359012"/>
      <w:bookmarkStart w:id="13" w:name="_Toc14464"/>
      <w:bookmarkStart w:id="14" w:name="_Toc35393798"/>
      <w:r>
        <w:rPr>
          <w:rFonts w:hint="eastAsia" w:ascii="仿宋" w:hAnsi="仿宋" w:eastAsia="仿宋" w:cs="仿宋"/>
          <w:color w:val="auto"/>
          <w:sz w:val="24"/>
          <w:szCs w:val="24"/>
          <w:highlight w:val="none"/>
        </w:rPr>
        <w:t>项目概况</w:t>
      </w:r>
    </w:p>
    <w:p w14:paraId="1E7E890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和田地区人民医院安保服务项目（二次）的潜在投标人应在政采云平台</w:t>
      </w:r>
      <w:r>
        <w:rPr>
          <w:rFonts w:hint="eastAsia" w:ascii="仿宋" w:hAnsi="仿宋" w:eastAsia="仿宋" w:cs="仿宋"/>
          <w:color w:val="auto"/>
          <w:sz w:val="24"/>
          <w:szCs w:val="24"/>
          <w:highlight w:val="none"/>
          <w:u w:val="single"/>
          <w:lang w:val="en-US" w:eastAsia="zh-CN"/>
        </w:rPr>
        <w:fldChar w:fldCharType="begin"/>
      </w:r>
      <w:r>
        <w:rPr>
          <w:rFonts w:hint="eastAsia" w:ascii="仿宋" w:hAnsi="仿宋" w:eastAsia="仿宋" w:cs="仿宋"/>
          <w:color w:val="auto"/>
          <w:sz w:val="24"/>
          <w:szCs w:val="24"/>
          <w:highlight w:val="none"/>
          <w:u w:val="single"/>
          <w:lang w:val="en-US" w:eastAsia="zh-CN"/>
        </w:rPr>
        <w:instrText xml:space="preserve"> HYPERLINK "https://www.zcygov.cn/线上获取获取招标文件，并于2022年07月" </w:instrText>
      </w:r>
      <w:r>
        <w:rPr>
          <w:rFonts w:hint="eastAsia" w:ascii="仿宋" w:hAnsi="仿宋" w:eastAsia="仿宋" w:cs="仿宋"/>
          <w:color w:val="auto"/>
          <w:sz w:val="24"/>
          <w:szCs w:val="24"/>
          <w:highlight w:val="none"/>
          <w:u w:val="single"/>
          <w:lang w:val="en-US" w:eastAsia="zh-CN"/>
        </w:rPr>
        <w:fldChar w:fldCharType="separate"/>
      </w:r>
      <w:r>
        <w:rPr>
          <w:rFonts w:hint="eastAsia" w:ascii="仿宋" w:hAnsi="仿宋" w:eastAsia="仿宋" w:cs="仿宋"/>
          <w:color w:val="auto"/>
          <w:sz w:val="24"/>
          <w:szCs w:val="24"/>
          <w:highlight w:val="none"/>
          <w:u w:val="single"/>
          <w:lang w:val="en-US" w:eastAsia="zh-CN"/>
        </w:rPr>
        <w:t>https://www.zcygov.cn/线上获取采购文件，并于2026年05月</w:t>
      </w:r>
      <w:r>
        <w:rPr>
          <w:rFonts w:hint="eastAsia" w:ascii="仿宋" w:hAnsi="仿宋" w:eastAsia="仿宋" w:cs="仿宋"/>
          <w:color w:val="auto"/>
          <w:sz w:val="24"/>
          <w:szCs w:val="24"/>
          <w:highlight w:val="none"/>
          <w:u w:val="single"/>
          <w:lang w:val="en-US" w:eastAsia="zh-CN"/>
        </w:rPr>
        <w:fldChar w:fldCharType="end"/>
      </w:r>
      <w:r>
        <w:rPr>
          <w:rFonts w:hint="eastAsia" w:ascii="仿宋" w:hAnsi="仿宋" w:eastAsia="仿宋" w:cs="仿宋"/>
          <w:color w:val="auto"/>
          <w:sz w:val="24"/>
          <w:szCs w:val="24"/>
          <w:highlight w:val="none"/>
          <w:u w:val="single"/>
          <w:lang w:val="en-US" w:eastAsia="zh-CN"/>
        </w:rPr>
        <w:t>12日11点00分（北京时间）前递交投标文件。</w:t>
      </w:r>
    </w:p>
    <w:p w14:paraId="7954D5F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right="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一、项目基本情况</w:t>
      </w:r>
      <w:bookmarkEnd w:id="9"/>
      <w:bookmarkEnd w:id="10"/>
      <w:bookmarkEnd w:id="11"/>
      <w:bookmarkEnd w:id="12"/>
      <w:bookmarkEnd w:id="13"/>
      <w:bookmarkEnd w:id="14"/>
    </w:p>
    <w:p w14:paraId="3EEF32E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240" w:firstLineChars="100"/>
        <w:jc w:val="left"/>
        <w:textAlignment w:val="auto"/>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项目编号：HTDQYY-QXD-2026-002-1</w:t>
      </w:r>
    </w:p>
    <w:p w14:paraId="1185BB7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项目名称：和田地区人民医院安保服务项目（二次）</w:t>
      </w:r>
    </w:p>
    <w:p w14:paraId="5DBBEA1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采购方式：公开招标</w:t>
      </w:r>
    </w:p>
    <w:p w14:paraId="35BED800">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预算金额：220.00万元/年</w:t>
      </w:r>
    </w:p>
    <w:p w14:paraId="4274A2BD">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最高限价：220.00万元/年</w:t>
      </w:r>
    </w:p>
    <w:p w14:paraId="6C217174">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eastAsia="zh-CN"/>
        </w:rPr>
        <w:t>资金来源：</w:t>
      </w:r>
      <w:r>
        <w:rPr>
          <w:rFonts w:hint="eastAsia" w:ascii="仿宋" w:hAnsi="仿宋" w:eastAsia="仿宋" w:cs="仿宋"/>
          <w:color w:val="auto"/>
          <w:sz w:val="24"/>
          <w:szCs w:val="24"/>
          <w:highlight w:val="none"/>
          <w:lang w:val="en-US" w:eastAsia="zh-CN"/>
        </w:rPr>
        <w:t>自筹资金</w:t>
      </w:r>
    </w:p>
    <w:p w14:paraId="473D3A9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采购需求：</w:t>
      </w:r>
      <w:r>
        <w:rPr>
          <w:rFonts w:hint="eastAsia" w:ascii="仿宋" w:hAnsi="仿宋" w:eastAsia="仿宋" w:cs="仿宋"/>
          <w:color w:val="auto"/>
          <w:sz w:val="24"/>
          <w:szCs w:val="24"/>
          <w:highlight w:val="none"/>
          <w:lang w:val="en-US" w:eastAsia="zh-CN"/>
        </w:rPr>
        <w:t>对医院</w:t>
      </w:r>
      <w:r>
        <w:rPr>
          <w:rFonts w:hint="eastAsia" w:ascii="仿宋" w:hAnsi="仿宋" w:eastAsia="仿宋" w:cs="仿宋"/>
          <w:color w:val="auto"/>
          <w:kern w:val="2"/>
          <w:sz w:val="24"/>
          <w:szCs w:val="24"/>
          <w:highlight w:val="none"/>
          <w:lang w:val="en-US" w:eastAsia="zh-CN"/>
        </w:rPr>
        <w:t>安保服务</w:t>
      </w:r>
      <w:r>
        <w:rPr>
          <w:rFonts w:hint="eastAsia" w:ascii="仿宋" w:hAnsi="仿宋" w:eastAsia="仿宋" w:cs="仿宋"/>
          <w:color w:val="auto"/>
          <w:sz w:val="24"/>
          <w:szCs w:val="24"/>
          <w:highlight w:val="none"/>
          <w:lang w:val="en-US" w:eastAsia="zh-CN"/>
        </w:rPr>
        <w:t>进行采购，</w:t>
      </w:r>
      <w:r>
        <w:rPr>
          <w:rFonts w:hint="eastAsia" w:ascii="仿宋" w:hAnsi="仿宋" w:eastAsia="仿宋" w:cs="仿宋"/>
          <w:color w:val="auto"/>
          <w:kern w:val="2"/>
          <w:sz w:val="24"/>
          <w:szCs w:val="24"/>
          <w:highlight w:val="none"/>
          <w:lang w:val="en-US" w:eastAsia="zh-CN"/>
        </w:rPr>
        <w:t>具体内容详见招标文件。 </w:t>
      </w:r>
    </w:p>
    <w:p w14:paraId="5F130725">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合同履约期限：</w:t>
      </w:r>
      <w:r>
        <w:rPr>
          <w:rFonts w:hint="eastAsia" w:ascii="仿宋" w:hAnsi="仿宋" w:eastAsia="仿宋" w:cs="仿宋"/>
          <w:color w:val="auto"/>
          <w:kern w:val="0"/>
          <w:sz w:val="24"/>
          <w:szCs w:val="24"/>
          <w:highlight w:val="none"/>
          <w:lang w:val="en-US" w:eastAsia="zh-CN" w:bidi="ar"/>
        </w:rPr>
        <w:t>三年</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
        </w:rPr>
        <w:t>合同一年一签</w:t>
      </w:r>
      <w:r>
        <w:rPr>
          <w:rFonts w:hint="eastAsia" w:ascii="仿宋" w:hAnsi="仿宋" w:eastAsia="仿宋" w:cs="仿宋"/>
          <w:color w:val="auto"/>
          <w:sz w:val="24"/>
          <w:szCs w:val="24"/>
          <w:highlight w:val="none"/>
          <w:lang w:val="en-US" w:eastAsia="zh-CN"/>
        </w:rPr>
        <w:t>)</w:t>
      </w:r>
    </w:p>
    <w:p w14:paraId="01C516B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本项目（否）接受联合体</w:t>
      </w:r>
    </w:p>
    <w:p w14:paraId="777A7D72">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2"/>
          <w:sz w:val="24"/>
          <w:szCs w:val="24"/>
          <w:highlight w:val="none"/>
          <w:lang w:val="en-US" w:eastAsia="zh-CN"/>
        </w:rPr>
        <w:t>二、申请人的资格要求</w:t>
      </w:r>
    </w:p>
    <w:p w14:paraId="51973270">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482" w:firstLineChars="200"/>
        <w:jc w:val="left"/>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1.满足《中华人民共和国政府采购法》第二十二条规定；</w:t>
      </w:r>
    </w:p>
    <w:p w14:paraId="7957D91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482"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2.落实政府采购政策需满足的资格要求：</w:t>
      </w:r>
    </w:p>
    <w:p w14:paraId="7D00A4BF">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w:t>
      </w:r>
      <w:r>
        <w:rPr>
          <w:rFonts w:hint="eastAsia" w:ascii="仿宋" w:hAnsi="仿宋" w:eastAsia="仿宋" w:cs="仿宋"/>
          <w:color w:val="auto"/>
          <w:sz w:val="24"/>
          <w:szCs w:val="24"/>
          <w:highlight w:val="none"/>
          <w:lang w:val="en-US" w:eastAsia="zh-CN" w:bidi="ar"/>
        </w:rPr>
        <w:t>根据《政府采购促进中小企业发展办法》（财库〔2020〕46号）的相关规定，本项目专门面向中小企业(含JY企业、残疾人福利单位)采购</w:t>
      </w:r>
      <w:r>
        <w:rPr>
          <w:rFonts w:hint="eastAsia" w:ascii="仿宋" w:hAnsi="仿宋" w:eastAsia="仿宋" w:cs="仿宋"/>
          <w:b w:val="0"/>
          <w:bCs w:val="0"/>
          <w:color w:val="auto"/>
          <w:kern w:val="2"/>
          <w:sz w:val="24"/>
          <w:szCs w:val="24"/>
          <w:highlight w:val="none"/>
          <w:lang w:val="en-US" w:eastAsia="zh-CN"/>
        </w:rPr>
        <w:t>；</w:t>
      </w:r>
    </w:p>
    <w:p w14:paraId="0B9D29E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（2）具有有效经年检合格的“三证合一”营业执照；</w:t>
      </w:r>
    </w:p>
    <w:p w14:paraId="1AD0F42B">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（3）法定代表人开标应附《法定代表人身份证明书》及身份证复印件，委托代理人开标应附《法定代表人授权委托书》及被委托人身份证复印件；</w:t>
      </w:r>
    </w:p>
    <w:p w14:paraId="06716147">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提供本单位缴纳的近三个月（近三个月是指2026年01月-2026年03月）社保缴纳证明（社保证明材料须是社保局出具的缴纳证明或社保系统导出的缴纳汇总凭证；新成立不足三个月的公司以实际发生的为准，如依法不需要缴纳社会保障资金的，应提供相应文件证明）。</w:t>
      </w:r>
    </w:p>
    <w:p w14:paraId="4EB8E2B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（5）投标人需提供2024年度或2025年度第三方审计机构出具的财务审计报告(2025年10月以后新成立公司可不提供）；</w:t>
      </w:r>
    </w:p>
    <w:p w14:paraId="17E9F1D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6）提供税务部门出具近三个月（近三个月是指2026年01月-2026年03月）依法缴纳税收的完税证明（需含增值税、印花税等税种；如当月无需缴税需提供税务机关出具的无欠税证明），新成立公司按实际发生提供税务机关出具的无欠税证明；</w:t>
      </w:r>
    </w:p>
    <w:p w14:paraId="795DB9FE">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7）凡拟参加本次招标项目的投标人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被列入经营异常名录信息、严重违法失信名单（黑名单）信息（尚在处罚期内的）；将拒绝其参与本次政府采购活动；</w:t>
      </w:r>
    </w:p>
    <w:p w14:paraId="398324A1">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（8）企业负责人为同一人或者存在直接控股、管理关系的不同供应商，不得参加同一合同项下的政府采购活动。否则，皆取消投标资格；</w:t>
      </w:r>
    </w:p>
    <w:p w14:paraId="0ABBD44C">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480" w:firstLineChars="2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（9）本项目不接受联合体投标。</w:t>
      </w:r>
    </w:p>
    <w:p w14:paraId="16F4B3FB">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left="0" w:right="0" w:firstLine="482"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3.本项目的特定资格要求：</w:t>
      </w:r>
      <w:r>
        <w:rPr>
          <w:rFonts w:hint="eastAsia" w:ascii="仿宋" w:hAnsi="仿宋" w:eastAsia="仿宋" w:cs="仿宋"/>
          <w:b w:val="0"/>
          <w:bCs w:val="0"/>
          <w:color w:val="auto"/>
          <w:kern w:val="2"/>
          <w:sz w:val="24"/>
          <w:szCs w:val="24"/>
          <w:highlight w:val="none"/>
          <w:lang w:val="en-US" w:eastAsia="zh-CN"/>
        </w:rPr>
        <w:t>投标人须具备有效的</w:t>
      </w:r>
      <w:r>
        <w:rPr>
          <w:rFonts w:hint="eastAsia" w:ascii="仿宋" w:hAnsi="仿宋" w:eastAsia="仿宋" w:cs="仿宋"/>
          <w:color w:val="auto"/>
          <w:sz w:val="24"/>
          <w:szCs w:val="24"/>
          <w:highlight w:val="none"/>
        </w:rPr>
        <w:t>《保安服务许可证》</w:t>
      </w:r>
      <w:r>
        <w:rPr>
          <w:rFonts w:hint="eastAsia" w:ascii="仿宋" w:hAnsi="仿宋" w:eastAsia="仿宋" w:cs="仿宋"/>
          <w:color w:val="auto"/>
          <w:sz w:val="24"/>
          <w:szCs w:val="24"/>
          <w:highlight w:val="none"/>
          <w:lang w:eastAsia="zh-CN"/>
        </w:rPr>
        <w:t>。</w:t>
      </w:r>
    </w:p>
    <w:p w14:paraId="15D88E95">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bookmarkStart w:id="15" w:name="_Toc28359082"/>
      <w:bookmarkStart w:id="16" w:name="_Toc28359005"/>
      <w:bookmarkStart w:id="17" w:name="_Toc35393624"/>
      <w:bookmarkStart w:id="18" w:name="_Toc35393793"/>
      <w:r>
        <w:rPr>
          <w:rFonts w:hint="eastAsia" w:ascii="仿宋" w:hAnsi="仿宋" w:eastAsia="仿宋" w:cs="仿宋"/>
          <w:b/>
          <w:bCs w:val="0"/>
          <w:i w:val="0"/>
          <w:caps w:val="0"/>
          <w:color w:val="auto"/>
          <w:spacing w:val="0"/>
          <w:sz w:val="24"/>
          <w:szCs w:val="24"/>
          <w:highlight w:val="none"/>
          <w:shd w:val="clear" w:color="auto" w:fill="FFFFFF"/>
          <w:lang w:val="en-US" w:eastAsia="zh-CN"/>
        </w:rPr>
        <w:t>三、获取采购文件</w:t>
      </w:r>
    </w:p>
    <w:p w14:paraId="4A25B727">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时间：2026年04月21日至2026年05月11日，每天上午00:00至12:00，下午12:00至23:59（北京时间，法定节假日除外）</w:t>
      </w:r>
    </w:p>
    <w:p w14:paraId="6F49EC0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地点：</w:t>
      </w:r>
      <w:bookmarkEnd w:id="15"/>
      <w:bookmarkEnd w:id="16"/>
      <w:bookmarkEnd w:id="17"/>
      <w:bookmarkEnd w:id="18"/>
      <w:r>
        <w:rPr>
          <w:rFonts w:hint="eastAsia" w:ascii="仿宋" w:hAnsi="仿宋" w:eastAsia="仿宋" w:cs="仿宋"/>
          <w:color w:val="auto"/>
          <w:sz w:val="24"/>
          <w:szCs w:val="24"/>
          <w:highlight w:val="none"/>
          <w:lang w:val="en-US" w:eastAsia="zh-CN"/>
        </w:rPr>
        <w:t>供应商登陆政采云平台https://www.zcygov.cn/在线申请获取采购文件</w:t>
      </w:r>
      <w:r>
        <w:rPr>
          <w:rFonts w:hint="eastAsia" w:ascii="仿宋" w:hAnsi="仿宋" w:eastAsia="仿宋" w:cs="仿宋"/>
          <w:b w:val="0"/>
          <w:bCs/>
          <w:i w:val="0"/>
          <w:caps w:val="0"/>
          <w:color w:val="auto"/>
          <w:spacing w:val="0"/>
          <w:sz w:val="24"/>
          <w:szCs w:val="24"/>
          <w:highlight w:val="none"/>
          <w:shd w:val="clear" w:color="auto" w:fill="FFFFFF"/>
          <w:lang w:val="en-US" w:eastAsia="zh-CN"/>
        </w:rPr>
        <w:t> </w:t>
      </w:r>
    </w:p>
    <w:p w14:paraId="75AACF4B">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方式：</w:t>
      </w:r>
      <w:bookmarkStart w:id="19" w:name="_Toc35393796"/>
      <w:bookmarkStart w:id="20" w:name="_Toc28359085"/>
      <w:bookmarkStart w:id="21" w:name="_Toc28359008"/>
      <w:bookmarkStart w:id="22" w:name="_Toc35393627"/>
      <w:r>
        <w:rPr>
          <w:rFonts w:hint="eastAsia" w:ascii="仿宋" w:hAnsi="仿宋" w:eastAsia="仿宋" w:cs="仿宋"/>
          <w:b w:val="0"/>
          <w:bCs/>
          <w:i w:val="0"/>
          <w:caps w:val="0"/>
          <w:color w:val="auto"/>
          <w:spacing w:val="0"/>
          <w:sz w:val="24"/>
          <w:szCs w:val="24"/>
          <w:highlight w:val="none"/>
          <w:shd w:val="clear" w:color="auto" w:fill="FFFFFF"/>
          <w:lang w:val="en-US" w:eastAsia="zh-CN"/>
        </w:rPr>
        <w:t>供应商登录政采云平台https://www.zcygov.cn/在线申请获取采购文件（进入“项目采购”应用，在获取采购文件菜单中选择项目，申请获取采购文件）</w:t>
      </w:r>
    </w:p>
    <w:p w14:paraId="6DC163D3">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售价（元）：0</w:t>
      </w:r>
    </w:p>
    <w:p w14:paraId="2F0EF9EB">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四、提交投标文件截止时间、开标时间和地点</w:t>
      </w:r>
    </w:p>
    <w:p w14:paraId="1A90864E">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bookmarkStart w:id="23" w:name="_Toc35393794"/>
      <w:bookmarkStart w:id="24" w:name="_Toc28359084"/>
      <w:bookmarkStart w:id="25" w:name="_Toc35393625"/>
      <w:bookmarkStart w:id="26" w:name="_Toc28359007"/>
      <w:r>
        <w:rPr>
          <w:rFonts w:hint="eastAsia" w:ascii="仿宋" w:hAnsi="仿宋" w:eastAsia="仿宋" w:cs="仿宋"/>
          <w:b w:val="0"/>
          <w:bCs/>
          <w:i w:val="0"/>
          <w:caps w:val="0"/>
          <w:color w:val="auto"/>
          <w:spacing w:val="0"/>
          <w:sz w:val="24"/>
          <w:szCs w:val="24"/>
          <w:highlight w:val="none"/>
          <w:shd w:val="clear" w:color="auto" w:fill="FFFFFF"/>
          <w:lang w:val="en-US" w:eastAsia="zh-CN"/>
        </w:rPr>
        <w:t>提交投标文件截止时间：2026年05月12日 11:00（北京时间）</w:t>
      </w:r>
    </w:p>
    <w:p w14:paraId="7FC0A1C5">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投标地点：新疆政府采购网政采云平台（www.zcygov.cn</w:t>
      </w:r>
      <w:r>
        <w:rPr>
          <w:rFonts w:hint="eastAsia" w:ascii="仿宋" w:hAnsi="仿宋" w:eastAsia="仿宋" w:cs="仿宋"/>
          <w:color w:val="auto"/>
          <w:sz w:val="24"/>
          <w:szCs w:val="24"/>
          <w:highlight w:val="none"/>
          <w:lang w:val="en-US" w:eastAsia="zh-CN"/>
        </w:rPr>
        <w:t>）</w:t>
      </w:r>
    </w:p>
    <w:p w14:paraId="3D368B3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开标时间：2026年05月12日 11:00（北京时间）</w:t>
      </w:r>
    </w:p>
    <w:p w14:paraId="3AFDC88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开标地点：政采云平台不见面开标大厅（网址：https://www.zcygov.cn/）</w:t>
      </w:r>
    </w:p>
    <w:p w14:paraId="1F75AD15">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五、公告期限</w:t>
      </w:r>
      <w:bookmarkEnd w:id="23"/>
      <w:bookmarkEnd w:id="24"/>
      <w:bookmarkEnd w:id="25"/>
      <w:bookmarkEnd w:id="26"/>
    </w:p>
    <w:p w14:paraId="7EC5965C">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自本公告发布之日起5个工作日</w:t>
      </w:r>
    </w:p>
    <w:p w14:paraId="66855A33">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bookmarkStart w:id="27" w:name="_Toc35393626"/>
      <w:bookmarkStart w:id="28" w:name="_Toc35393795"/>
      <w:r>
        <w:rPr>
          <w:rFonts w:hint="eastAsia" w:ascii="仿宋" w:hAnsi="仿宋" w:eastAsia="仿宋" w:cs="仿宋"/>
          <w:b/>
          <w:bCs w:val="0"/>
          <w:i w:val="0"/>
          <w:caps w:val="0"/>
          <w:color w:val="auto"/>
          <w:spacing w:val="0"/>
          <w:sz w:val="24"/>
          <w:szCs w:val="24"/>
          <w:highlight w:val="none"/>
          <w:shd w:val="clear" w:color="auto" w:fill="FFFFFF"/>
          <w:lang w:val="en-US" w:eastAsia="zh-CN"/>
        </w:rPr>
        <w:t>六、其他补充事宜</w:t>
      </w:r>
      <w:bookmarkEnd w:id="27"/>
      <w:bookmarkEnd w:id="28"/>
    </w:p>
    <w:p w14:paraId="08679FD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各供应商应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69DDA054">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2、供应商将政采云电子交易客户端下载、安装完成后，可通过账号密码或CA登录客户端进行投标文件的制作。在使用政采云投标客户端时，建议使用WIN7（64位）及以上操作系统。客户端请至新疆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5CDB6EB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3、供应商在开标时须使用制作加密电子投标文件所使用的CA锁及电脑，电脑须提前配置好浏览器（使用谷歌浏览器），并确保开标期间电脑网络环境畅通，以便开标时解锁；</w:t>
      </w:r>
    </w:p>
    <w:p w14:paraId="4C9F7F1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4、为了保证开评标顺利进行，政采云线上开标功能完全实现，供应商开标所使用的电脑设备须具有视频及语音功能。</w:t>
      </w:r>
    </w:p>
    <w:p w14:paraId="7BF4141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特别提示：</w:t>
      </w:r>
      <w:bookmarkEnd w:id="19"/>
      <w:bookmarkEnd w:id="20"/>
      <w:bookmarkEnd w:id="21"/>
      <w:bookmarkEnd w:id="22"/>
    </w:p>
    <w:p w14:paraId="1296FAD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1、采购限额标准以上，200万元以下的货物和服务采购项目、400万元以下的工程采购项目，适宜由中小（微）企业提供的，采购人应当专门面向中小（微）企业采购。</w:t>
      </w:r>
    </w:p>
    <w:p w14:paraId="138C36E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2、超过200万元的货物和服务采购项目，预留该部分采购项目预算总额的30%以上专门面向中小（微）企业采购，其中预留给小微企业的比例不低于60%。</w:t>
      </w:r>
    </w:p>
    <w:p w14:paraId="6F0E270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3、超过400万元的工程采购项目中适宜由中小（微）企业提供的，预留该部分采购项目预算总额的40%以上专门面向中小（微）企业采购，其中预留给小微企业的比例不低于60%。</w:t>
      </w:r>
    </w:p>
    <w:p w14:paraId="39D5E4B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对于未预留份额专门面向中小（微）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D2DF71">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val="0"/>
          <w:color w:val="auto"/>
          <w:kern w:val="0"/>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仿宋" w:hAnsi="仿宋" w:eastAsia="仿宋" w:cs="仿宋"/>
          <w:b w:val="0"/>
          <w:bCs/>
          <w:i w:val="0"/>
          <w:caps w:val="0"/>
          <w:color w:val="auto"/>
          <w:spacing w:val="0"/>
          <w:sz w:val="24"/>
          <w:szCs w:val="24"/>
          <w:highlight w:val="none"/>
          <w:shd w:val="clear" w:color="auto" w:fill="FFFFFF"/>
          <w:lang w:val="en-US" w:eastAsia="zh-CN"/>
        </w:rPr>
        <w:t>。</w:t>
      </w:r>
    </w:p>
    <w:p w14:paraId="02542AB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left"/>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七、对本次招标提出询问，请按以下方式联系</w:t>
      </w:r>
    </w:p>
    <w:p w14:paraId="036C145B">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1.采购人信息</w:t>
      </w:r>
    </w:p>
    <w:p w14:paraId="25E0276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称：和田地区人民医院</w:t>
      </w:r>
    </w:p>
    <w:p w14:paraId="7ED3F01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址：和田地区人民医院</w:t>
      </w:r>
    </w:p>
    <w:p w14:paraId="26EBB5F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 系 人：闵玉婷</w:t>
      </w:r>
    </w:p>
    <w:p w14:paraId="6FE059D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联系方式：0903-2050018</w:t>
      </w:r>
    </w:p>
    <w:p w14:paraId="66B2E10C">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p>
    <w:p w14:paraId="5A8DC4A7">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2.采购代理机构信息</w:t>
      </w:r>
    </w:p>
    <w:p w14:paraId="0B01BA6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称：新疆庆信达项目管理有限公司　</w:t>
      </w:r>
    </w:p>
    <w:p w14:paraId="61B6804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址：和田市人民街18号玉都国际广场金座703号</w:t>
      </w:r>
    </w:p>
    <w:p w14:paraId="24D2674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联系方式：0903-7820626</w:t>
      </w:r>
    </w:p>
    <w:p w14:paraId="0E6C8A4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p>
    <w:p w14:paraId="19134B03">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3.项目联系方式</w:t>
      </w:r>
    </w:p>
    <w:p w14:paraId="0A4E16C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项目联系人：郑泽娟</w:t>
      </w:r>
    </w:p>
    <w:p w14:paraId="65E31710">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b w:val="0"/>
          <w:color w:val="auto"/>
          <w:kern w:val="2"/>
          <w:sz w:val="24"/>
          <w:szCs w:val="24"/>
          <w:highlight w:val="none"/>
          <w:lang w:val="en-US" w:eastAsia="zh-CN" w:bidi="ar-SA"/>
        </w:rPr>
        <w:t>电　　  话：0903-7820626</w:t>
      </w:r>
    </w:p>
    <w:p w14:paraId="64A0DD90">
      <w:pPr>
        <w:keepNext w:val="0"/>
        <w:keepLines w:val="0"/>
        <w:pageBreakBefore w:val="0"/>
        <w:widowControl w:val="0"/>
        <w:numPr>
          <w:ilvl w:val="0"/>
          <w:numId w:val="0"/>
        </w:numPr>
        <w:kinsoku/>
        <w:wordWrap/>
        <w:overflowPunct/>
        <w:topLinePunct w:val="0"/>
        <w:autoSpaceDE/>
        <w:autoSpaceDN/>
        <w:bidi w:val="0"/>
        <w:adjustRightInd w:val="0"/>
        <w:snapToGrid w:val="0"/>
        <w:spacing w:line="303" w:lineRule="auto"/>
        <w:ind w:firstLine="420" w:firstLineChars="200"/>
        <w:textAlignment w:val="auto"/>
        <w:outlineLvl w:val="9"/>
        <w:rPr>
          <w:rFonts w:hint="eastAsia" w:ascii="仿宋" w:hAnsi="仿宋" w:eastAsia="仿宋" w:cs="仿宋"/>
          <w:color w:val="auto"/>
          <w:highlight w:val="none"/>
        </w:rPr>
      </w:pPr>
    </w:p>
    <w:p w14:paraId="6FA53F6C">
      <w:pPr>
        <w:widowControl w:val="0"/>
        <w:wordWrap/>
        <w:adjustRightInd/>
        <w:snapToGrid w:val="0"/>
        <w:spacing w:line="312" w:lineRule="auto"/>
        <w:jc w:val="center"/>
        <w:textAlignment w:val="auto"/>
        <w:outlineLvl w:val="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第二部分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lang w:eastAsia="zh-CN"/>
        </w:rPr>
        <w:t>投标人须知</w:t>
      </w:r>
      <w:bookmarkEnd w:id="0"/>
      <w:bookmarkEnd w:id="1"/>
      <w:bookmarkEnd w:id="2"/>
      <w:bookmarkEnd w:id="3"/>
      <w:bookmarkEnd w:id="4"/>
      <w:bookmarkEnd w:id="5"/>
      <w:bookmarkEnd w:id="6"/>
      <w:bookmarkEnd w:id="7"/>
      <w:bookmarkEnd w:id="8"/>
    </w:p>
    <w:p w14:paraId="24E7EA91">
      <w:pPr>
        <w:widowControl w:val="0"/>
        <w:wordWrap/>
        <w:adjustRightInd/>
        <w:snapToGrid w:val="0"/>
        <w:spacing w:line="312" w:lineRule="auto"/>
        <w:jc w:val="center"/>
        <w:textAlignment w:val="auto"/>
        <w:outlineLvl w:val="0"/>
        <w:rPr>
          <w:rFonts w:hint="eastAsia" w:ascii="仿宋" w:hAnsi="仿宋" w:eastAsia="仿宋" w:cs="仿宋"/>
          <w:b/>
          <w:color w:val="auto"/>
          <w:sz w:val="28"/>
          <w:szCs w:val="28"/>
          <w:highlight w:val="none"/>
        </w:rPr>
      </w:pPr>
      <w:bookmarkStart w:id="29" w:name="_Toc17655"/>
      <w:bookmarkStart w:id="30" w:name="_Toc14053"/>
      <w:bookmarkStart w:id="31" w:name="_Toc9144"/>
      <w:bookmarkStart w:id="32" w:name="_Toc12827"/>
      <w:bookmarkStart w:id="33" w:name="_Toc24832"/>
      <w:bookmarkStart w:id="34" w:name="_Toc29111"/>
      <w:bookmarkStart w:id="35" w:name="_Toc10179"/>
      <w:bookmarkStart w:id="36" w:name="_Toc7237"/>
      <w:bookmarkStart w:id="37" w:name="_Toc10040"/>
      <w:bookmarkStart w:id="38" w:name="_Toc8971"/>
      <w:bookmarkStart w:id="39" w:name="_Toc21348_WPSOffice_Level1"/>
      <w:bookmarkStart w:id="40" w:name="_Toc18219"/>
      <w:r>
        <w:rPr>
          <w:rFonts w:hint="eastAsia" w:ascii="仿宋" w:hAnsi="仿宋" w:eastAsia="仿宋" w:cs="仿宋"/>
          <w:b/>
          <w:color w:val="auto"/>
          <w:sz w:val="28"/>
          <w:szCs w:val="28"/>
          <w:highlight w:val="none"/>
        </w:rPr>
        <w:t>投标人须知前附表</w:t>
      </w:r>
      <w:bookmarkEnd w:id="29"/>
      <w:bookmarkEnd w:id="30"/>
      <w:bookmarkEnd w:id="31"/>
      <w:bookmarkEnd w:id="32"/>
      <w:bookmarkEnd w:id="33"/>
      <w:bookmarkEnd w:id="34"/>
      <w:bookmarkEnd w:id="35"/>
      <w:bookmarkEnd w:id="36"/>
      <w:bookmarkEnd w:id="37"/>
      <w:bookmarkEnd w:id="38"/>
      <w:bookmarkEnd w:id="39"/>
      <w:bookmarkEnd w:id="40"/>
    </w:p>
    <w:tbl>
      <w:tblPr>
        <w:tblStyle w:val="29"/>
        <w:tblW w:w="10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47"/>
        <w:gridCol w:w="7542"/>
      </w:tblGrid>
      <w:tr w14:paraId="2689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38" w:type="dxa"/>
            <w:vAlign w:val="center"/>
          </w:tcPr>
          <w:p w14:paraId="386F4A5F">
            <w:pPr>
              <w:keepLines w:val="0"/>
              <w:pageBreakBefore w:val="0"/>
              <w:kinsoku/>
              <w:wordWrap/>
              <w:overflowPunct/>
              <w:topLinePunct w:val="0"/>
              <w:bidi w:val="0"/>
              <w:adjustRightInd/>
              <w:snapToGrid w:val="0"/>
              <w:spacing w:line="236"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947" w:type="dxa"/>
            <w:vAlign w:val="center"/>
          </w:tcPr>
          <w:p w14:paraId="3DF51DBB">
            <w:pPr>
              <w:keepLines w:val="0"/>
              <w:pageBreakBefore w:val="0"/>
              <w:kinsoku/>
              <w:wordWrap/>
              <w:overflowPunct/>
              <w:topLinePunct w:val="0"/>
              <w:bidi w:val="0"/>
              <w:adjustRightInd/>
              <w:snapToGrid w:val="0"/>
              <w:spacing w:line="236"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款</w:t>
            </w:r>
          </w:p>
        </w:tc>
        <w:tc>
          <w:tcPr>
            <w:tcW w:w="7542" w:type="dxa"/>
            <w:vAlign w:val="center"/>
          </w:tcPr>
          <w:p w14:paraId="3813A33C">
            <w:pPr>
              <w:keepLines w:val="0"/>
              <w:pageBreakBefore w:val="0"/>
              <w:kinsoku/>
              <w:wordWrap/>
              <w:overflowPunct/>
              <w:topLinePunct w:val="0"/>
              <w:bidi w:val="0"/>
              <w:adjustRightInd/>
              <w:snapToGrid w:val="0"/>
              <w:spacing w:line="236"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     容</w:t>
            </w:r>
          </w:p>
        </w:tc>
      </w:tr>
      <w:tr w14:paraId="0975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216CBC74">
            <w:pPr>
              <w:keepLines w:val="0"/>
              <w:pageBreakBefore w:val="0"/>
              <w:kinsoku/>
              <w:wordWrap/>
              <w:overflowPunct/>
              <w:topLinePunct w:val="0"/>
              <w:bidi w:val="0"/>
              <w:adjustRightInd/>
              <w:snapToGrid w:val="0"/>
              <w:spacing w:line="236"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47" w:type="dxa"/>
            <w:vAlign w:val="center"/>
          </w:tcPr>
          <w:p w14:paraId="7E0C53D6">
            <w:pPr>
              <w:keepLines w:val="0"/>
              <w:pageBreakBefore w:val="0"/>
              <w:kinsoku/>
              <w:wordWrap/>
              <w:overflowPunct/>
              <w:topLinePunct w:val="0"/>
              <w:bidi w:val="0"/>
              <w:adjustRightInd/>
              <w:snapToGrid w:val="0"/>
              <w:spacing w:beforeLines="10" w:afterLines="10" w:line="236"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购</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人</w:t>
            </w:r>
          </w:p>
        </w:tc>
        <w:tc>
          <w:tcPr>
            <w:tcW w:w="7542" w:type="dxa"/>
            <w:vAlign w:val="center"/>
          </w:tcPr>
          <w:p w14:paraId="6302E470">
            <w:pPr>
              <w:keepLines w:val="0"/>
              <w:pageBreakBefore w:val="0"/>
              <w:kinsoku/>
              <w:wordWrap/>
              <w:overflowPunct/>
              <w:topLinePunct w:val="0"/>
              <w:bidi w:val="0"/>
              <w:adjustRightInd/>
              <w:snapToGrid w:val="0"/>
              <w:spacing w:beforeLines="10" w:afterLines="10" w:line="236" w:lineRule="auto"/>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w:t>
            </w:r>
            <w:r>
              <w:rPr>
                <w:rFonts w:hint="eastAsia" w:ascii="仿宋" w:hAnsi="仿宋" w:eastAsia="仿宋" w:cs="仿宋"/>
                <w:b w:val="0"/>
                <w:color w:val="auto"/>
                <w:kern w:val="2"/>
                <w:sz w:val="24"/>
                <w:szCs w:val="24"/>
                <w:highlight w:val="none"/>
                <w:lang w:val="en-US" w:eastAsia="zh-CN" w:bidi="ar-SA"/>
              </w:rPr>
              <w:t>和田地区人民医院</w:t>
            </w:r>
          </w:p>
          <w:p w14:paraId="59DDB936">
            <w:pPr>
              <w:keepLines w:val="0"/>
              <w:pageBreakBefore w:val="0"/>
              <w:kinsoku/>
              <w:wordWrap/>
              <w:overflowPunct/>
              <w:topLinePunct w:val="0"/>
              <w:bidi w:val="0"/>
              <w:adjustRightInd/>
              <w:snapToGrid w:val="0"/>
              <w:spacing w:beforeLines="10" w:afterLines="10" w:line="236"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b w:val="0"/>
                <w:color w:val="auto"/>
                <w:kern w:val="2"/>
                <w:sz w:val="24"/>
                <w:szCs w:val="24"/>
                <w:highlight w:val="none"/>
                <w:lang w:val="en-US" w:eastAsia="zh-CN" w:bidi="ar-SA"/>
              </w:rPr>
              <w:t>闵玉婷</w:t>
            </w:r>
          </w:p>
          <w:p w14:paraId="1AE793CF">
            <w:pPr>
              <w:keepLines w:val="0"/>
              <w:pageBreakBefore w:val="0"/>
              <w:kinsoku/>
              <w:wordWrap/>
              <w:overflowPunct/>
              <w:topLinePunct w:val="0"/>
              <w:bidi w:val="0"/>
              <w:adjustRightInd/>
              <w:snapToGrid w:val="0"/>
              <w:spacing w:beforeLines="10" w:afterLines="10" w:line="236"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  话：</w:t>
            </w:r>
            <w:r>
              <w:rPr>
                <w:rFonts w:hint="eastAsia" w:ascii="仿宋" w:hAnsi="仿宋" w:eastAsia="仿宋" w:cs="仿宋"/>
                <w:b w:val="0"/>
                <w:color w:val="auto"/>
                <w:kern w:val="2"/>
                <w:sz w:val="24"/>
                <w:szCs w:val="24"/>
                <w:highlight w:val="none"/>
                <w:lang w:val="en-US" w:eastAsia="zh-CN" w:bidi="ar-SA"/>
              </w:rPr>
              <w:t>0903-2050018</w:t>
            </w:r>
          </w:p>
          <w:p w14:paraId="3AD05FC0">
            <w:pPr>
              <w:keepLines w:val="0"/>
              <w:pageBreakBefore w:val="0"/>
              <w:kinsoku/>
              <w:wordWrap/>
              <w:overflowPunct/>
              <w:topLinePunct w:val="0"/>
              <w:bidi w:val="0"/>
              <w:adjustRightInd/>
              <w:snapToGrid w:val="0"/>
              <w:spacing w:beforeLines="10" w:afterLines="10" w:line="236" w:lineRule="auto"/>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b w:val="0"/>
                <w:color w:val="auto"/>
                <w:kern w:val="2"/>
                <w:sz w:val="24"/>
                <w:szCs w:val="24"/>
                <w:highlight w:val="none"/>
                <w:lang w:val="en-US" w:eastAsia="zh-CN" w:bidi="ar-SA"/>
              </w:rPr>
              <w:t>和田地区人民医院</w:t>
            </w:r>
          </w:p>
        </w:tc>
      </w:tr>
      <w:tr w14:paraId="64DE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7CB1B029">
            <w:pPr>
              <w:keepLines w:val="0"/>
              <w:pageBreakBefore w:val="0"/>
              <w:kinsoku/>
              <w:wordWrap/>
              <w:overflowPunct/>
              <w:topLinePunct w:val="0"/>
              <w:bidi w:val="0"/>
              <w:adjustRightInd/>
              <w:snapToGrid w:val="0"/>
              <w:spacing w:line="236"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47" w:type="dxa"/>
            <w:vAlign w:val="center"/>
          </w:tcPr>
          <w:p w14:paraId="6A1AD546">
            <w:pPr>
              <w:keepLines w:val="0"/>
              <w:pageBreakBefore w:val="0"/>
              <w:kinsoku/>
              <w:wordWrap/>
              <w:overflowPunct/>
              <w:topLinePunct w:val="0"/>
              <w:bidi w:val="0"/>
              <w:adjustRightInd/>
              <w:snapToGrid w:val="0"/>
              <w:spacing w:beforeLines="10" w:afterLines="10" w:line="236"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代理机构</w:t>
            </w:r>
          </w:p>
        </w:tc>
        <w:tc>
          <w:tcPr>
            <w:tcW w:w="7542" w:type="dxa"/>
            <w:vAlign w:val="center"/>
          </w:tcPr>
          <w:p w14:paraId="743E05BD">
            <w:pPr>
              <w:keepLines w:val="0"/>
              <w:pageBreakBefore w:val="0"/>
              <w:kinsoku/>
              <w:wordWrap/>
              <w:overflowPunct/>
              <w:topLinePunct w:val="0"/>
              <w:bidi w:val="0"/>
              <w:adjustRightInd/>
              <w:snapToGrid w:val="0"/>
              <w:spacing w:beforeLines="10" w:afterLines="10" w:line="236"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名  称：</w:t>
            </w:r>
            <w:r>
              <w:rPr>
                <w:rFonts w:hint="eastAsia" w:ascii="仿宋" w:hAnsi="仿宋" w:eastAsia="仿宋" w:cs="仿宋"/>
                <w:color w:val="auto"/>
                <w:sz w:val="24"/>
                <w:szCs w:val="24"/>
                <w:highlight w:val="none"/>
                <w:lang w:val="en-US" w:eastAsia="zh-CN"/>
              </w:rPr>
              <w:t>新疆庆信达项目管理有限公司</w:t>
            </w:r>
          </w:p>
          <w:p w14:paraId="6C89B4D3">
            <w:pPr>
              <w:keepLines w:val="0"/>
              <w:pageBreakBefore w:val="0"/>
              <w:kinsoku/>
              <w:wordWrap/>
              <w:overflowPunct/>
              <w:topLinePunct w:val="0"/>
              <w:bidi w:val="0"/>
              <w:adjustRightInd/>
              <w:snapToGrid w:val="0"/>
              <w:spacing w:beforeLines="10" w:afterLines="10" w:line="236"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lang w:val="en-US" w:eastAsia="zh-CN"/>
              </w:rPr>
              <w:t>和田市人民街18号玉都国际广场金座703号</w:t>
            </w:r>
          </w:p>
          <w:p w14:paraId="21AAFB63">
            <w:pPr>
              <w:keepLines w:val="0"/>
              <w:pageBreakBefore w:val="0"/>
              <w:kinsoku/>
              <w:wordWrap/>
              <w:overflowPunct/>
              <w:topLinePunct w:val="0"/>
              <w:bidi w:val="0"/>
              <w:adjustRightInd/>
              <w:snapToGrid w:val="0"/>
              <w:spacing w:beforeLines="10" w:afterLines="10" w:line="236"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郑泽娟</w:t>
            </w:r>
          </w:p>
          <w:p w14:paraId="1CA94F40">
            <w:pPr>
              <w:keepLines w:val="0"/>
              <w:pageBreakBefore w:val="0"/>
              <w:kinsoku/>
              <w:wordWrap/>
              <w:overflowPunct/>
              <w:topLinePunct w:val="0"/>
              <w:bidi w:val="0"/>
              <w:adjustRightInd/>
              <w:snapToGrid w:val="0"/>
              <w:spacing w:beforeLines="10" w:afterLines="10" w:line="236" w:lineRule="auto"/>
              <w:ind w:firstLine="0" w:firstLineChars="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电  话：</w:t>
            </w:r>
            <w:r>
              <w:rPr>
                <w:rFonts w:hint="eastAsia" w:ascii="仿宋" w:hAnsi="仿宋" w:eastAsia="仿宋" w:cs="仿宋"/>
                <w:color w:val="auto"/>
                <w:sz w:val="24"/>
                <w:szCs w:val="24"/>
                <w:highlight w:val="none"/>
                <w:lang w:val="en-US" w:eastAsia="zh-CN"/>
              </w:rPr>
              <w:t>0903-7820626</w:t>
            </w:r>
          </w:p>
        </w:tc>
      </w:tr>
      <w:tr w14:paraId="3E7E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55E83F7C">
            <w:pPr>
              <w:keepLines w:val="0"/>
              <w:pageBreakBefore w:val="0"/>
              <w:widowControl w:val="0"/>
              <w:kinsoku/>
              <w:wordWrap/>
              <w:overflowPunct/>
              <w:topLinePunct w:val="0"/>
              <w:bidi w:val="0"/>
              <w:adjustRightInd/>
              <w:snapToGrid w:val="0"/>
              <w:spacing w:line="236" w:lineRule="auto"/>
              <w:ind w:lef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p>
        </w:tc>
        <w:tc>
          <w:tcPr>
            <w:tcW w:w="1947" w:type="dxa"/>
            <w:vAlign w:val="center"/>
          </w:tcPr>
          <w:p w14:paraId="2AC482F9">
            <w:pPr>
              <w:keepNext w:val="0"/>
              <w:keepLines w:val="0"/>
              <w:pageBreakBefore w:val="0"/>
              <w:widowControl w:val="0"/>
              <w:kinsoku/>
              <w:wordWrap/>
              <w:overflowPunct/>
              <w:topLinePunct w:val="0"/>
              <w:autoSpaceDE/>
              <w:autoSpaceDN/>
              <w:bidi w:val="0"/>
              <w:adjustRightInd w:val="0"/>
              <w:snapToGrid w:val="0"/>
              <w:spacing w:line="288"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p>
        </w:tc>
        <w:tc>
          <w:tcPr>
            <w:tcW w:w="7542" w:type="dxa"/>
            <w:vAlign w:val="center"/>
          </w:tcPr>
          <w:p w14:paraId="58899207">
            <w:pPr>
              <w:keepNext w:val="0"/>
              <w:keepLines w:val="0"/>
              <w:pageBreakBefore w:val="0"/>
              <w:widowControl w:val="0"/>
              <w:kinsoku/>
              <w:wordWrap/>
              <w:overflowPunct/>
              <w:topLinePunct w:val="0"/>
              <w:autoSpaceDE/>
              <w:autoSpaceDN/>
              <w:bidi w:val="0"/>
              <w:adjustRightInd w:val="0"/>
              <w:snapToGrid w:val="0"/>
              <w:spacing w:line="288" w:lineRule="auto"/>
              <w:ind w:lef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rPr>
              <w:t>和田地区人民医院安保服务项目（二次）</w:t>
            </w:r>
          </w:p>
        </w:tc>
      </w:tr>
      <w:tr w14:paraId="7A1F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2F01A5D7">
            <w:pPr>
              <w:keepLines w:val="0"/>
              <w:pageBreakBefore w:val="0"/>
              <w:widowControl w:val="0"/>
              <w:kinsoku/>
              <w:wordWrap/>
              <w:overflowPunct/>
              <w:topLinePunct w:val="0"/>
              <w:bidi w:val="0"/>
              <w:adjustRightInd/>
              <w:snapToGrid w:val="0"/>
              <w:spacing w:line="236"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947" w:type="dxa"/>
            <w:vAlign w:val="center"/>
          </w:tcPr>
          <w:p w14:paraId="1951E32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采购方式</w:t>
            </w:r>
          </w:p>
        </w:tc>
        <w:tc>
          <w:tcPr>
            <w:tcW w:w="7542" w:type="dxa"/>
            <w:vAlign w:val="center"/>
          </w:tcPr>
          <w:p w14:paraId="1639BE2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公开招标</w:t>
            </w:r>
          </w:p>
        </w:tc>
      </w:tr>
      <w:tr w14:paraId="63C0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59961CB4">
            <w:pPr>
              <w:keepLines w:val="0"/>
              <w:pageBreakBefore w:val="0"/>
              <w:widowControl w:val="0"/>
              <w:kinsoku/>
              <w:wordWrap/>
              <w:overflowPunct/>
              <w:topLinePunct w:val="0"/>
              <w:bidi w:val="0"/>
              <w:adjustRightInd/>
              <w:snapToGrid w:val="0"/>
              <w:spacing w:line="236" w:lineRule="auto"/>
              <w:ind w:lef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5</w:t>
            </w:r>
          </w:p>
        </w:tc>
        <w:tc>
          <w:tcPr>
            <w:tcW w:w="1947" w:type="dxa"/>
            <w:vAlign w:val="center"/>
          </w:tcPr>
          <w:p w14:paraId="2B7171D2">
            <w:pPr>
              <w:keepNext w:val="0"/>
              <w:keepLines w:val="0"/>
              <w:pageBreakBefore w:val="0"/>
              <w:widowControl w:val="0"/>
              <w:kinsoku/>
              <w:wordWrap/>
              <w:overflowPunct/>
              <w:topLinePunct w:val="0"/>
              <w:autoSpaceDE/>
              <w:autoSpaceDN/>
              <w:bidi w:val="0"/>
              <w:adjustRightInd w:val="0"/>
              <w:snapToGrid w:val="0"/>
              <w:spacing w:line="288"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7542" w:type="dxa"/>
            <w:vAlign w:val="center"/>
          </w:tcPr>
          <w:p w14:paraId="7110AE94">
            <w:pPr>
              <w:keepNext w:val="0"/>
              <w:keepLines w:val="0"/>
              <w:pageBreakBefore w:val="0"/>
              <w:widowControl w:val="0"/>
              <w:kinsoku/>
              <w:wordWrap/>
              <w:overflowPunct/>
              <w:topLinePunct w:val="0"/>
              <w:autoSpaceDE/>
              <w:autoSpaceDN/>
              <w:bidi w:val="0"/>
              <w:adjustRightInd w:val="0"/>
              <w:snapToGrid w:val="0"/>
              <w:spacing w:line="288" w:lineRule="auto"/>
              <w:ind w:lef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对医院</w:t>
            </w:r>
            <w:r>
              <w:rPr>
                <w:rFonts w:hint="eastAsia" w:ascii="仿宋" w:hAnsi="仿宋" w:eastAsia="仿宋" w:cs="仿宋"/>
                <w:color w:val="auto"/>
                <w:kern w:val="2"/>
                <w:sz w:val="24"/>
                <w:szCs w:val="24"/>
                <w:highlight w:val="none"/>
                <w:lang w:val="en-US" w:eastAsia="zh-CN"/>
              </w:rPr>
              <w:t>安保服务</w:t>
            </w:r>
            <w:r>
              <w:rPr>
                <w:rFonts w:hint="eastAsia" w:ascii="仿宋" w:hAnsi="仿宋" w:eastAsia="仿宋" w:cs="仿宋"/>
                <w:color w:val="auto"/>
                <w:sz w:val="24"/>
                <w:szCs w:val="24"/>
                <w:highlight w:val="none"/>
                <w:lang w:val="en-US" w:eastAsia="zh-CN"/>
              </w:rPr>
              <w:t>进行采购</w:t>
            </w:r>
            <w:r>
              <w:rPr>
                <w:rFonts w:hint="eastAsia" w:ascii="仿宋" w:hAnsi="仿宋" w:eastAsia="仿宋" w:cs="仿宋"/>
                <w:color w:val="auto"/>
                <w:sz w:val="24"/>
                <w:szCs w:val="24"/>
                <w:highlight w:val="none"/>
                <w:lang w:eastAsia="zh-CN"/>
              </w:rPr>
              <w:t>。</w:t>
            </w:r>
          </w:p>
        </w:tc>
      </w:tr>
      <w:tr w14:paraId="0EFE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25796AC8">
            <w:pPr>
              <w:keepLines w:val="0"/>
              <w:pageBreakBefore w:val="0"/>
              <w:widowControl w:val="0"/>
              <w:kinsoku/>
              <w:wordWrap/>
              <w:overflowPunct/>
              <w:topLinePunct w:val="0"/>
              <w:bidi w:val="0"/>
              <w:adjustRightInd/>
              <w:snapToGrid w:val="0"/>
              <w:spacing w:line="236"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947" w:type="dxa"/>
            <w:vAlign w:val="center"/>
          </w:tcPr>
          <w:p w14:paraId="7D796570">
            <w:pPr>
              <w:keepNext w:val="0"/>
              <w:keepLines w:val="0"/>
              <w:pageBreakBefore w:val="0"/>
              <w:widowControl w:val="0"/>
              <w:kinsoku/>
              <w:wordWrap/>
              <w:overflowPunct/>
              <w:topLinePunct w:val="0"/>
              <w:autoSpaceDE/>
              <w:autoSpaceDN/>
              <w:bidi w:val="0"/>
              <w:adjustRightInd w:val="0"/>
              <w:snapToGrid w:val="0"/>
              <w:spacing w:line="288"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7542" w:type="dxa"/>
            <w:vAlign w:val="center"/>
          </w:tcPr>
          <w:p w14:paraId="1F820430">
            <w:pPr>
              <w:keepNext w:val="0"/>
              <w:keepLines w:val="0"/>
              <w:pageBreakBefore w:val="0"/>
              <w:widowControl w:val="0"/>
              <w:kinsoku/>
              <w:wordWrap/>
              <w:overflowPunct/>
              <w:topLinePunct w:val="0"/>
              <w:autoSpaceDE/>
              <w:autoSpaceDN/>
              <w:bidi w:val="0"/>
              <w:adjustRightInd w:val="0"/>
              <w:snapToGrid w:val="0"/>
              <w:spacing w:line="288" w:lineRule="auto"/>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三年</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
              </w:rPr>
              <w:t>合同一年一签</w:t>
            </w:r>
            <w:r>
              <w:rPr>
                <w:rFonts w:hint="eastAsia" w:ascii="仿宋" w:hAnsi="仿宋" w:eastAsia="仿宋" w:cs="仿宋"/>
                <w:color w:val="auto"/>
                <w:sz w:val="24"/>
                <w:szCs w:val="24"/>
                <w:highlight w:val="none"/>
                <w:lang w:val="en-US" w:eastAsia="zh-CN"/>
              </w:rPr>
              <w:t>)</w:t>
            </w:r>
          </w:p>
        </w:tc>
      </w:tr>
      <w:tr w14:paraId="6EC2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47C222A6">
            <w:pPr>
              <w:keepLines w:val="0"/>
              <w:pageBreakBefore w:val="0"/>
              <w:kinsoku/>
              <w:wordWrap/>
              <w:overflowPunct/>
              <w:topLinePunct w:val="0"/>
              <w:bidi w:val="0"/>
              <w:adjustRightInd/>
              <w:snapToGrid w:val="0"/>
              <w:spacing w:line="236"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947" w:type="dxa"/>
            <w:vAlign w:val="center"/>
          </w:tcPr>
          <w:p w14:paraId="5569A7FF">
            <w:pPr>
              <w:keepLines w:val="0"/>
              <w:pageBreakBefore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最高限价</w:t>
            </w:r>
          </w:p>
        </w:tc>
        <w:tc>
          <w:tcPr>
            <w:tcW w:w="7542" w:type="dxa"/>
            <w:vAlign w:val="center"/>
          </w:tcPr>
          <w:p w14:paraId="3D9F4C67">
            <w:pPr>
              <w:keepLines w:val="0"/>
              <w:pageBreakBefore w:val="0"/>
              <w:widowControl w:val="0"/>
              <w:kinsoku/>
              <w:wordWrap/>
              <w:overflowPunct/>
              <w:topLinePunct w:val="0"/>
              <w:bidi w:val="0"/>
              <w:adjustRightInd/>
              <w:snapToGrid w:val="0"/>
              <w:spacing w:beforeAutospacing="0" w:afterAutospacing="0" w:line="236" w:lineRule="auto"/>
              <w:ind w:right="0"/>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本项目最高限价：220.00万元/年（大写：贰佰贰拾万元整/年）；</w:t>
            </w:r>
          </w:p>
          <w:p w14:paraId="58E20747">
            <w:pPr>
              <w:keepLines w:val="0"/>
              <w:pageBreakBefore w:val="0"/>
              <w:widowControl w:val="0"/>
              <w:kinsoku/>
              <w:wordWrap/>
              <w:overflowPunct/>
              <w:topLinePunct w:val="0"/>
              <w:bidi w:val="0"/>
              <w:adjustRightInd/>
              <w:snapToGrid w:val="0"/>
              <w:spacing w:beforeAutospacing="0" w:afterAutospacing="0" w:line="236" w:lineRule="auto"/>
              <w:ind w:righ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供应商投标报价</w:t>
            </w:r>
            <w:r>
              <w:rPr>
                <w:rFonts w:hint="eastAsia" w:ascii="仿宋" w:hAnsi="仿宋" w:eastAsia="仿宋" w:cs="仿宋"/>
                <w:b w:val="0"/>
                <w:bCs w:val="0"/>
                <w:color w:val="auto"/>
                <w:kern w:val="2"/>
                <w:sz w:val="24"/>
                <w:szCs w:val="24"/>
                <w:highlight w:val="none"/>
                <w:vertAlign w:val="baseline"/>
                <w:lang w:val="en-US" w:eastAsia="zh-CN" w:bidi="ar-SA"/>
              </w:rPr>
              <w:t>如超过最高限价的为无效报价。投标人的报价明显低于其他投标报价或者明显低于最高限价，经评标委员会评审认为低于成本价的，视为无效报价，作否决投标处理</w:t>
            </w:r>
            <w:r>
              <w:rPr>
                <w:rFonts w:hint="eastAsia" w:ascii="仿宋" w:hAnsi="仿宋" w:eastAsia="仿宋" w:cs="仿宋"/>
                <w:b w:val="0"/>
                <w:bCs w:val="0"/>
                <w:color w:val="auto"/>
                <w:kern w:val="2"/>
                <w:sz w:val="24"/>
                <w:szCs w:val="24"/>
                <w:highlight w:val="none"/>
                <w:lang w:val="en-US" w:eastAsia="zh-CN" w:bidi="ar-SA"/>
              </w:rPr>
              <w:t>。</w:t>
            </w:r>
          </w:p>
        </w:tc>
      </w:tr>
      <w:tr w14:paraId="73DA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atLeast"/>
          <w:jc w:val="center"/>
        </w:trPr>
        <w:tc>
          <w:tcPr>
            <w:tcW w:w="838" w:type="dxa"/>
            <w:vAlign w:val="center"/>
          </w:tcPr>
          <w:p w14:paraId="12CE66EE">
            <w:pPr>
              <w:keepLines w:val="0"/>
              <w:pageBreakBefore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8</w:t>
            </w:r>
          </w:p>
        </w:tc>
        <w:tc>
          <w:tcPr>
            <w:tcW w:w="1947" w:type="dxa"/>
            <w:vAlign w:val="center"/>
          </w:tcPr>
          <w:p w14:paraId="75680FF6">
            <w:pPr>
              <w:keepNext w:val="0"/>
              <w:keepLines w:val="0"/>
              <w:pageBreakBefore w:val="0"/>
              <w:widowControl/>
              <w:kinsoku/>
              <w:wordWrap/>
              <w:overflowPunct/>
              <w:topLinePunct w:val="0"/>
              <w:autoSpaceDE/>
              <w:autoSpaceDN/>
              <w:bidi w:val="0"/>
              <w:adjustRightInd w:val="0"/>
              <w:snapToGrid w:val="0"/>
              <w:spacing w:line="236" w:lineRule="auto"/>
              <w:ind w:left="0" w:left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投标保证金</w:t>
            </w:r>
          </w:p>
        </w:tc>
        <w:tc>
          <w:tcPr>
            <w:tcW w:w="7542" w:type="dxa"/>
            <w:vAlign w:val="center"/>
          </w:tcPr>
          <w:p w14:paraId="7E8631A8">
            <w:pPr>
              <w:keepNext w:val="0"/>
              <w:keepLines w:val="0"/>
              <w:pageBreakBefore w:val="0"/>
              <w:kinsoku/>
              <w:wordWrap/>
              <w:overflowPunct/>
              <w:topLinePunct w:val="0"/>
              <w:autoSpaceDE/>
              <w:autoSpaceDN/>
              <w:bidi w:val="0"/>
              <w:adjustRightInd w:val="0"/>
              <w:snapToGrid w:val="0"/>
              <w:spacing w:line="236" w:lineRule="auto"/>
              <w:ind w:left="0" w:leftChars="0"/>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1、投标保证金金额：</w:t>
            </w:r>
            <w:r>
              <w:rPr>
                <w:rFonts w:hint="eastAsia" w:ascii="仿宋" w:hAnsi="仿宋" w:eastAsia="仿宋" w:cs="仿宋"/>
                <w:b/>
                <w:bCs/>
                <w:color w:val="auto"/>
                <w:kern w:val="0"/>
                <w:sz w:val="24"/>
                <w:szCs w:val="24"/>
                <w:highlight w:val="none"/>
                <w:lang w:val="en-US" w:eastAsia="zh-CN"/>
              </w:rPr>
              <w:t>20000.00元（大写：贰万元整）</w:t>
            </w:r>
          </w:p>
          <w:p w14:paraId="7C3CC88F">
            <w:pPr>
              <w:keepNext w:val="0"/>
              <w:keepLines w:val="0"/>
              <w:pageBreakBefore w:val="0"/>
              <w:widowControl/>
              <w:kinsoku/>
              <w:wordWrap/>
              <w:overflowPunct/>
              <w:topLinePunct w:val="0"/>
              <w:autoSpaceDE/>
              <w:autoSpaceDN/>
              <w:bidi w:val="0"/>
              <w:adjustRightInd w:val="0"/>
              <w:snapToGrid w:val="0"/>
              <w:spacing w:line="236" w:lineRule="auto"/>
              <w:ind w:left="241" w:hanging="241" w:hangingChars="1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缴纳形式：以支票、汇票、本票或者金融机构、担保机构出具的保函、转账等非现金形式提交</w:t>
            </w:r>
          </w:p>
          <w:p w14:paraId="77C3F594">
            <w:pPr>
              <w:keepNext w:val="0"/>
              <w:keepLines w:val="0"/>
              <w:pageBreakBefore w:val="0"/>
              <w:widowControl w:val="0"/>
              <w:kinsoku/>
              <w:wordWrap/>
              <w:overflowPunct/>
              <w:topLinePunct w:val="0"/>
              <w:autoSpaceDE/>
              <w:autoSpaceDN/>
              <w:bidi w:val="0"/>
              <w:adjustRightInd w:val="0"/>
              <w:snapToGrid w:val="0"/>
              <w:spacing w:line="236" w:lineRule="auto"/>
              <w:ind w:left="0" w:right="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2、供应商应于</w:t>
            </w:r>
            <w:r>
              <w:rPr>
                <w:rFonts w:hint="eastAsia" w:ascii="仿宋" w:hAnsi="仿宋" w:eastAsia="仿宋" w:cs="仿宋"/>
                <w:b w:val="0"/>
                <w:bCs/>
                <w:i w:val="0"/>
                <w:caps w:val="0"/>
                <w:color w:val="auto"/>
                <w:spacing w:val="0"/>
                <w:sz w:val="24"/>
                <w:szCs w:val="24"/>
                <w:highlight w:val="none"/>
                <w:shd w:val="clear" w:color="auto" w:fill="FFFFFF"/>
                <w:lang w:val="en-US" w:eastAsia="zh-CN"/>
              </w:rPr>
              <w:t>2026年05月12日</w:t>
            </w:r>
            <w:r>
              <w:rPr>
                <w:rFonts w:hint="eastAsia" w:ascii="仿宋" w:hAnsi="仿宋" w:eastAsia="仿宋" w:cs="仿宋"/>
                <w:color w:val="auto"/>
                <w:kern w:val="2"/>
                <w:sz w:val="24"/>
                <w:szCs w:val="24"/>
                <w:highlight w:val="none"/>
                <w:lang w:val="en-US" w:eastAsia="zh-CN" w:bidi="ar-SA"/>
              </w:rPr>
              <w:t>11：00（北京时间）前，将投标保证金缴纳至采购代理机构指定账户，</w:t>
            </w:r>
            <w:r>
              <w:rPr>
                <w:rFonts w:hint="eastAsia" w:ascii="仿宋" w:hAnsi="仿宋" w:eastAsia="仿宋" w:cs="仿宋"/>
                <w:b w:val="0"/>
                <w:bCs w:val="0"/>
                <w:color w:val="auto"/>
                <w:sz w:val="24"/>
                <w:szCs w:val="24"/>
                <w:highlight w:val="none"/>
                <w:lang w:val="en-US" w:eastAsia="zh-CN"/>
              </w:rPr>
              <w:t>超过时间则不予认可</w:t>
            </w:r>
            <w:r>
              <w:rPr>
                <w:rFonts w:hint="eastAsia" w:ascii="仿宋" w:hAnsi="仿宋" w:eastAsia="仿宋" w:cs="仿宋"/>
                <w:color w:val="auto"/>
                <w:kern w:val="2"/>
                <w:sz w:val="24"/>
                <w:szCs w:val="24"/>
                <w:highlight w:val="none"/>
                <w:lang w:val="en-US" w:eastAsia="zh-CN" w:bidi="ar-SA"/>
              </w:rPr>
              <w:t>。</w:t>
            </w:r>
          </w:p>
          <w:p w14:paraId="54EF23B4">
            <w:pPr>
              <w:keepNext w:val="0"/>
              <w:keepLines w:val="0"/>
              <w:pageBreakBefore w:val="0"/>
              <w:widowControl w:val="0"/>
              <w:kinsoku/>
              <w:wordWrap/>
              <w:overflowPunct/>
              <w:topLinePunct w:val="0"/>
              <w:autoSpaceDE/>
              <w:autoSpaceDN/>
              <w:bidi w:val="0"/>
              <w:adjustRightInd w:val="0"/>
              <w:snapToGrid w:val="0"/>
              <w:spacing w:line="236" w:lineRule="auto"/>
              <w:ind w:left="0" w:right="0" w:firstLine="0" w:firstLineChars="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账户名称：新疆庆信达项目管理有限公司</w:t>
            </w:r>
          </w:p>
          <w:p w14:paraId="07789899">
            <w:pPr>
              <w:keepNext w:val="0"/>
              <w:keepLines w:val="0"/>
              <w:pageBreakBefore w:val="0"/>
              <w:widowControl w:val="0"/>
              <w:kinsoku/>
              <w:wordWrap/>
              <w:overflowPunct/>
              <w:topLinePunct w:val="0"/>
              <w:autoSpaceDE/>
              <w:autoSpaceDN/>
              <w:bidi w:val="0"/>
              <w:adjustRightInd w:val="0"/>
              <w:snapToGrid w:val="0"/>
              <w:spacing w:line="236" w:lineRule="auto"/>
              <w:ind w:left="0" w:right="0" w:firstLine="0" w:firstLineChars="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账    户：107672786077</w:t>
            </w:r>
          </w:p>
          <w:p w14:paraId="1C6202B2">
            <w:pPr>
              <w:keepNext w:val="0"/>
              <w:keepLines w:val="0"/>
              <w:pageBreakBefore w:val="0"/>
              <w:widowControl w:val="0"/>
              <w:kinsoku/>
              <w:wordWrap/>
              <w:overflowPunct/>
              <w:topLinePunct w:val="0"/>
              <w:autoSpaceDE/>
              <w:autoSpaceDN/>
              <w:bidi w:val="0"/>
              <w:adjustRightInd w:val="0"/>
              <w:snapToGrid w:val="0"/>
              <w:spacing w:line="236" w:lineRule="auto"/>
              <w:ind w:left="0" w:right="0" w:firstLine="0" w:firstLineChars="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开户行号：104896001037</w:t>
            </w:r>
          </w:p>
          <w:p w14:paraId="359426B6">
            <w:pPr>
              <w:keepNext w:val="0"/>
              <w:keepLines w:val="0"/>
              <w:pageBreakBefore w:val="0"/>
              <w:widowControl w:val="0"/>
              <w:kinsoku/>
              <w:wordWrap/>
              <w:overflowPunct/>
              <w:topLinePunct w:val="0"/>
              <w:autoSpaceDE/>
              <w:autoSpaceDN/>
              <w:bidi w:val="0"/>
              <w:adjustRightInd w:val="0"/>
              <w:snapToGrid w:val="0"/>
              <w:spacing w:line="236" w:lineRule="auto"/>
              <w:ind w:left="0" w:right="0" w:firstLine="0" w:firstLineChars="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开户银行：中国银行股份有限公司和田市乌鲁木齐北路支行</w:t>
            </w:r>
          </w:p>
          <w:p w14:paraId="4A093DC2">
            <w:pPr>
              <w:keepNext w:val="0"/>
              <w:keepLines w:val="0"/>
              <w:pageBreakBefore w:val="0"/>
              <w:widowControl w:val="0"/>
              <w:kinsoku/>
              <w:wordWrap/>
              <w:overflowPunct/>
              <w:topLinePunct w:val="0"/>
              <w:autoSpaceDE/>
              <w:autoSpaceDN/>
              <w:bidi w:val="0"/>
              <w:adjustRightInd w:val="0"/>
              <w:snapToGrid w:val="0"/>
              <w:spacing w:line="236" w:lineRule="auto"/>
              <w:ind w:left="0" w:right="0" w:firstLine="0" w:firstLineChars="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联系方式：0903-7820626</w:t>
            </w:r>
          </w:p>
          <w:p w14:paraId="51404E3D">
            <w:pPr>
              <w:keepNext w:val="0"/>
              <w:keepLines w:val="0"/>
              <w:pageBreakBefore w:val="0"/>
              <w:widowControl w:val="0"/>
              <w:kinsoku/>
              <w:wordWrap/>
              <w:overflowPunct/>
              <w:topLinePunct w:val="0"/>
              <w:autoSpaceDE/>
              <w:autoSpaceDN/>
              <w:bidi w:val="0"/>
              <w:adjustRightInd w:val="0"/>
              <w:snapToGrid w:val="0"/>
              <w:spacing w:line="236" w:lineRule="auto"/>
              <w:ind w:left="0" w:right="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w:t>
            </w:r>
            <w:r>
              <w:rPr>
                <w:rFonts w:hint="eastAsia" w:ascii="仿宋" w:hAnsi="仿宋" w:eastAsia="仿宋" w:cs="仿宋"/>
                <w:color w:val="auto"/>
                <w:kern w:val="2"/>
                <w:sz w:val="24"/>
                <w:szCs w:val="24"/>
                <w:highlight w:val="none"/>
                <w:lang w:val="en-US" w:eastAsia="zh-CN" w:bidi="ar-SA"/>
              </w:rPr>
              <w:t>1.如果发现供应商有围标、串标行为，其响应无效，且投标保证金将被没收，不予退还；</w:t>
            </w:r>
          </w:p>
          <w:p w14:paraId="03121A6E">
            <w:pPr>
              <w:keepNext w:val="0"/>
              <w:keepLines w:val="0"/>
              <w:pageBreakBefore w:val="0"/>
              <w:widowControl w:val="0"/>
              <w:kinsoku/>
              <w:wordWrap/>
              <w:overflowPunct/>
              <w:topLinePunct w:val="0"/>
              <w:autoSpaceDE/>
              <w:autoSpaceDN/>
              <w:bidi w:val="0"/>
              <w:adjustRightInd w:val="0"/>
              <w:snapToGrid w:val="0"/>
              <w:spacing w:line="236" w:lineRule="auto"/>
              <w:ind w:left="0" w:right="0" w:firstLine="240" w:firstLineChars="1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2.投标保证金未按规定时间缴纳或提交金额不足的，将被视为无效响应,其响应文件将不予接受。供应商应充分考虑资金在途时间；</w:t>
            </w:r>
          </w:p>
          <w:p w14:paraId="380F1BCB">
            <w:pPr>
              <w:keepNext w:val="0"/>
              <w:keepLines w:val="0"/>
              <w:pageBreakBefore w:val="0"/>
              <w:widowControl w:val="0"/>
              <w:kinsoku/>
              <w:wordWrap/>
              <w:overflowPunct/>
              <w:topLinePunct w:val="0"/>
              <w:autoSpaceDE/>
              <w:autoSpaceDN/>
              <w:bidi w:val="0"/>
              <w:adjustRightInd w:val="0"/>
              <w:snapToGrid w:val="0"/>
              <w:spacing w:line="236" w:lineRule="auto"/>
              <w:ind w:left="0" w:right="0" w:firstLine="240" w:firstLineChars="1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3.供应商递交保证金时请在用途栏注明“项目名称（可简写）/项目编号、汇款事由（投标保证金）”，对因未注明项目名称及汇款事由而造成保证金不能及时到账的，后果由供应商自负。</w:t>
            </w:r>
          </w:p>
          <w:p w14:paraId="047B0840">
            <w:pPr>
              <w:keepNext w:val="0"/>
              <w:keepLines w:val="0"/>
              <w:pageBreakBefore w:val="0"/>
              <w:widowControl w:val="0"/>
              <w:kinsoku/>
              <w:wordWrap/>
              <w:overflowPunct/>
              <w:topLinePunct w:val="0"/>
              <w:autoSpaceDE/>
              <w:autoSpaceDN/>
              <w:bidi w:val="0"/>
              <w:adjustRightInd w:val="0"/>
              <w:snapToGrid w:val="0"/>
              <w:spacing w:line="236" w:lineRule="auto"/>
              <w:ind w:left="0" w:right="0" w:firstLine="240" w:firstLineChars="1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105C342B">
            <w:pPr>
              <w:keepNext w:val="0"/>
              <w:keepLines w:val="0"/>
              <w:pageBreakBefore w:val="0"/>
              <w:kinsoku/>
              <w:wordWrap/>
              <w:overflowPunct/>
              <w:topLinePunct w:val="0"/>
              <w:autoSpaceDE/>
              <w:autoSpaceDN/>
              <w:bidi w:val="0"/>
              <w:adjustRightInd w:val="0"/>
              <w:snapToGrid w:val="0"/>
              <w:spacing w:line="236" w:lineRule="auto"/>
              <w:ind w:left="0" w:left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保函投保金额（元）：</w:t>
            </w:r>
            <w:r>
              <w:rPr>
                <w:rFonts w:hint="eastAsia" w:ascii="仿宋" w:hAnsi="仿宋" w:eastAsia="仿宋" w:cs="仿宋"/>
                <w:b/>
                <w:bCs/>
                <w:color w:val="auto"/>
                <w:kern w:val="0"/>
                <w:sz w:val="24"/>
                <w:szCs w:val="24"/>
                <w:highlight w:val="none"/>
                <w:lang w:val="en-US" w:eastAsia="zh-CN"/>
              </w:rPr>
              <w:t>20000.00元（大写：贰万元整）</w:t>
            </w:r>
          </w:p>
          <w:p w14:paraId="308F4024">
            <w:pPr>
              <w:pStyle w:val="14"/>
              <w:keepNext w:val="0"/>
              <w:keepLines w:val="0"/>
              <w:pageBreakBefore w:val="0"/>
              <w:widowControl w:val="0"/>
              <w:kinsoku/>
              <w:wordWrap/>
              <w:overflowPunct/>
              <w:topLinePunct w:val="0"/>
              <w:autoSpaceDE/>
              <w:autoSpaceDN/>
              <w:bidi w:val="0"/>
              <w:adjustRightInd w:val="0"/>
              <w:snapToGrid w:val="0"/>
              <w:spacing w:line="236"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保函承保期限：90日历天</w:t>
            </w:r>
          </w:p>
          <w:p w14:paraId="4DEC8435">
            <w:pPr>
              <w:keepNext w:val="0"/>
              <w:keepLines w:val="0"/>
              <w:pageBreakBefore w:val="0"/>
              <w:widowControl/>
              <w:numPr>
                <w:ilvl w:val="0"/>
                <w:numId w:val="0"/>
              </w:numPr>
              <w:kinsoku/>
              <w:wordWrap/>
              <w:overflowPunct/>
              <w:topLinePunct w:val="0"/>
              <w:autoSpaceDE/>
              <w:autoSpaceDN/>
              <w:bidi w:val="0"/>
              <w:adjustRightInd w:val="0"/>
              <w:snapToGrid w:val="0"/>
              <w:spacing w:line="236"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3、投标保证金缴纳方式：《关于促进政府采购公平竞争优化营商环境的通知》[财库〔2019〕38号文]。请各投标企业充分考虑当前营商环境情况，选择切实可行的方式缴纳。</w:t>
            </w:r>
          </w:p>
          <w:p w14:paraId="67F62EDF">
            <w:pPr>
              <w:pStyle w:val="14"/>
              <w:keepNext w:val="0"/>
              <w:keepLines w:val="0"/>
              <w:pageBreakBefore w:val="0"/>
              <w:numPr>
                <w:ilvl w:val="0"/>
                <w:numId w:val="0"/>
              </w:numPr>
              <w:kinsoku/>
              <w:wordWrap/>
              <w:overflowPunct/>
              <w:topLinePunct w:val="0"/>
              <w:autoSpaceDE/>
              <w:autoSpaceDN/>
              <w:bidi w:val="0"/>
              <w:adjustRightInd w:val="0"/>
              <w:snapToGrid w:val="0"/>
              <w:spacing w:line="236"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w:t>
            </w:r>
            <w:r>
              <w:rPr>
                <w:rFonts w:hint="eastAsia" w:ascii="仿宋" w:hAnsi="仿宋" w:eastAsia="仿宋" w:cs="仿宋"/>
                <w:b/>
                <w:bCs/>
                <w:color w:val="auto"/>
                <w:kern w:val="2"/>
                <w:sz w:val="24"/>
                <w:szCs w:val="24"/>
                <w:highlight w:val="none"/>
                <w:lang w:val="en-US" w:eastAsia="zh-CN" w:bidi="ar-SA"/>
              </w:rPr>
              <w:t>退保证金说明：</w:t>
            </w:r>
            <w:r>
              <w:rPr>
                <w:rFonts w:hint="eastAsia" w:ascii="仿宋" w:hAnsi="仿宋" w:eastAsia="仿宋" w:cs="仿宋"/>
                <w:b w:val="0"/>
                <w:bCs w:val="0"/>
                <w:color w:val="auto"/>
                <w:kern w:val="2"/>
                <w:sz w:val="24"/>
                <w:szCs w:val="24"/>
                <w:highlight w:val="none"/>
                <w:lang w:val="en-US" w:eastAsia="zh-CN" w:bidi="ar-SA"/>
              </w:rPr>
              <w:t>为确保投标保证金的及时退还，开标结束后投标企业需提供保证金汇款凭证、银行出具的“基本存款账户信息”或开户许可证（注明开户行行号、联系方式）加盖公司鲜章，交至或邮寄（EMS）新疆庆信达项目管理有限公司（联系电话：0903-7820626）。</w:t>
            </w:r>
          </w:p>
          <w:p w14:paraId="1481FA8E">
            <w:pPr>
              <w:pStyle w:val="14"/>
              <w:keepNext w:val="0"/>
              <w:keepLines w:val="0"/>
              <w:pageBreakBefore w:val="0"/>
              <w:numPr>
                <w:ilvl w:val="0"/>
                <w:numId w:val="0"/>
              </w:numPr>
              <w:kinsoku/>
              <w:wordWrap/>
              <w:overflowPunct/>
              <w:topLinePunct w:val="0"/>
              <w:autoSpaceDE/>
              <w:autoSpaceDN/>
              <w:bidi w:val="0"/>
              <w:adjustRightInd w:val="0"/>
              <w:snapToGrid w:val="0"/>
              <w:spacing w:line="236" w:lineRule="auto"/>
              <w:ind w:left="0" w:leftChars="0" w:firstLine="0" w:firstLineChars="0"/>
              <w:textAlignment w:val="auto"/>
              <w:rPr>
                <w:rFonts w:hint="eastAsia" w:ascii="仿宋" w:hAnsi="仿宋" w:eastAsia="仿宋" w:cs="仿宋"/>
                <w:color w:val="auto"/>
                <w:highlight w:val="none"/>
                <w:lang w:eastAsia="zh-CN"/>
              </w:rPr>
            </w:pPr>
            <w:r>
              <w:rPr>
                <w:rFonts w:hint="eastAsia" w:ascii="仿宋" w:hAnsi="仿宋" w:eastAsia="仿宋" w:cs="仿宋"/>
                <w:b w:val="0"/>
                <w:bCs w:val="0"/>
                <w:color w:val="auto"/>
                <w:kern w:val="2"/>
                <w:sz w:val="24"/>
                <w:szCs w:val="24"/>
                <w:highlight w:val="none"/>
                <w:lang w:val="en-US" w:eastAsia="zh-CN" w:bidi="ar-SA"/>
              </w:rPr>
              <w:t>（</w:t>
            </w:r>
            <w:r>
              <w:rPr>
                <w:rFonts w:hint="eastAsia" w:ascii="仿宋" w:hAnsi="仿宋" w:eastAsia="仿宋" w:cs="仿宋"/>
                <w:b/>
                <w:bCs/>
                <w:color w:val="auto"/>
                <w:kern w:val="2"/>
                <w:sz w:val="24"/>
                <w:szCs w:val="24"/>
                <w:highlight w:val="none"/>
                <w:lang w:val="en-US" w:eastAsia="zh-CN" w:bidi="ar-SA"/>
              </w:rPr>
              <w:t>注：</w:t>
            </w:r>
            <w:r>
              <w:rPr>
                <w:rFonts w:hint="eastAsia" w:ascii="仿宋" w:hAnsi="仿宋" w:eastAsia="仿宋" w:cs="仿宋"/>
                <w:b w:val="0"/>
                <w:bCs w:val="0"/>
                <w:color w:val="auto"/>
                <w:kern w:val="2"/>
                <w:sz w:val="24"/>
                <w:szCs w:val="24"/>
                <w:highlight w:val="none"/>
                <w:lang w:val="en-US" w:eastAsia="zh-CN" w:bidi="ar-SA"/>
              </w:rPr>
              <w:t>废标项目投保证金在后续项目再次招标时系统不做统计，请投标企业及时办理退款），中标企业签订政府采购合同后，携带合同原件一份及以上资料办理退投标保证金事宜。</w:t>
            </w:r>
          </w:p>
        </w:tc>
      </w:tr>
      <w:tr w14:paraId="5284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7A667F30">
            <w:pPr>
              <w:keepLines w:val="0"/>
              <w:pageBreakBefore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w:t>
            </w:r>
          </w:p>
        </w:tc>
        <w:tc>
          <w:tcPr>
            <w:tcW w:w="1947" w:type="dxa"/>
            <w:vAlign w:val="center"/>
          </w:tcPr>
          <w:p w14:paraId="184DA403">
            <w:pPr>
              <w:keepLines w:val="0"/>
              <w:pageBreakBefore w:val="0"/>
              <w:kinsoku/>
              <w:wordWrap/>
              <w:overflowPunct/>
              <w:topLinePunct w:val="0"/>
              <w:bidi w:val="0"/>
              <w:adjustRightInd w:val="0"/>
              <w:snapToGrid w:val="0"/>
              <w:spacing w:line="236" w:lineRule="auto"/>
              <w:ind w:lef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资格要求</w:t>
            </w:r>
          </w:p>
          <w:p w14:paraId="631C5B74">
            <w:pPr>
              <w:keepLines w:val="0"/>
              <w:pageBreakBefore w:val="0"/>
              <w:kinsoku/>
              <w:wordWrap/>
              <w:overflowPunct/>
              <w:topLinePunct w:val="0"/>
              <w:bidi w:val="0"/>
              <w:adjustRightInd w:val="0"/>
              <w:snapToGrid w:val="0"/>
              <w:spacing w:line="236" w:lineRule="auto"/>
              <w:ind w:left="0"/>
              <w:jc w:val="center"/>
              <w:textAlignment w:val="auto"/>
              <w:rPr>
                <w:rFonts w:hint="eastAsia" w:ascii="仿宋" w:hAnsi="仿宋" w:eastAsia="仿宋" w:cs="仿宋"/>
                <w:color w:val="auto"/>
                <w:sz w:val="24"/>
                <w:szCs w:val="24"/>
                <w:highlight w:val="none"/>
              </w:rPr>
            </w:pPr>
          </w:p>
        </w:tc>
        <w:tc>
          <w:tcPr>
            <w:tcW w:w="7542" w:type="dxa"/>
            <w:vAlign w:val="center"/>
          </w:tcPr>
          <w:p w14:paraId="3AB5EEE6">
            <w:pPr>
              <w:keepNext w:val="0"/>
              <w:keepLines w:val="0"/>
              <w:pageBreakBefore w:val="0"/>
              <w:widowControl w:val="0"/>
              <w:kinsoku/>
              <w:wordWrap/>
              <w:overflowPunct/>
              <w:topLinePunct w:val="0"/>
              <w:autoSpaceDE/>
              <w:autoSpaceDN/>
              <w:bidi w:val="0"/>
              <w:adjustRightInd/>
              <w:snapToGrid w:val="0"/>
              <w:spacing w:beforeAutospacing="0" w:afterAutospacing="0" w:line="236" w:lineRule="auto"/>
              <w:ind w:right="0"/>
              <w:jc w:val="left"/>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1.满足《中华人民共和国政府采购法》第二十二条规定；</w:t>
            </w:r>
          </w:p>
          <w:p w14:paraId="11B857B9">
            <w:pPr>
              <w:keepNext w:val="0"/>
              <w:keepLines w:val="0"/>
              <w:pageBreakBefore w:val="0"/>
              <w:widowControl w:val="0"/>
              <w:kinsoku/>
              <w:wordWrap/>
              <w:overflowPunct/>
              <w:topLinePunct w:val="0"/>
              <w:autoSpaceDE/>
              <w:autoSpaceDN/>
              <w:bidi w:val="0"/>
              <w:adjustRightInd/>
              <w:snapToGrid w:val="0"/>
              <w:spacing w:beforeAutospacing="0" w:afterAutospacing="0" w:line="236" w:lineRule="auto"/>
              <w:ind w:right="0"/>
              <w:jc w:val="left"/>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2.落实政府采购政策需满足的资格要求：</w:t>
            </w:r>
          </w:p>
          <w:p w14:paraId="5601F6BC">
            <w:pPr>
              <w:keepNext w:val="0"/>
              <w:keepLines w:val="0"/>
              <w:pageBreakBefore w:val="0"/>
              <w:widowControl w:val="0"/>
              <w:kinsoku/>
              <w:wordWrap/>
              <w:overflowPunct/>
              <w:topLinePunct w:val="0"/>
              <w:autoSpaceDE/>
              <w:autoSpaceDN/>
              <w:bidi w:val="0"/>
              <w:adjustRightInd/>
              <w:snapToGrid w:val="0"/>
              <w:spacing w:beforeAutospacing="0" w:afterAutospacing="0" w:line="236" w:lineRule="auto"/>
              <w:ind w:right="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（1）根据《政府采购促进中小企业发展办法》（财库〔2020〕46号）的相关规定，本项目专门面向中小企业(含JY企业、残疾人福利单位)采购；</w:t>
            </w:r>
          </w:p>
          <w:p w14:paraId="798A6FF1">
            <w:pPr>
              <w:keepNext w:val="0"/>
              <w:keepLines w:val="0"/>
              <w:pageBreakBefore w:val="0"/>
              <w:widowControl w:val="0"/>
              <w:kinsoku/>
              <w:wordWrap/>
              <w:overflowPunct/>
              <w:topLinePunct w:val="0"/>
              <w:autoSpaceDE/>
              <w:autoSpaceDN/>
              <w:bidi w:val="0"/>
              <w:adjustRightInd/>
              <w:snapToGrid w:val="0"/>
              <w:spacing w:beforeAutospacing="0" w:afterAutospacing="0" w:line="236" w:lineRule="auto"/>
              <w:ind w:right="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（2）具有有效经年检合格的“三证合一”营业执照；</w:t>
            </w:r>
          </w:p>
          <w:p w14:paraId="69239C9E">
            <w:pPr>
              <w:keepNext w:val="0"/>
              <w:keepLines w:val="0"/>
              <w:pageBreakBefore w:val="0"/>
              <w:widowControl w:val="0"/>
              <w:kinsoku/>
              <w:wordWrap/>
              <w:overflowPunct/>
              <w:topLinePunct w:val="0"/>
              <w:autoSpaceDE/>
              <w:autoSpaceDN/>
              <w:bidi w:val="0"/>
              <w:adjustRightInd/>
              <w:snapToGrid w:val="0"/>
              <w:spacing w:beforeAutospacing="0" w:afterAutospacing="0" w:line="236" w:lineRule="auto"/>
              <w:ind w:right="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（3）法定代表人开标应附《法定代表人身份证明书》及身份证复印件，委托代理人开标应附《法定代表人授权委托书》及被委托人身份证复印件；</w:t>
            </w:r>
          </w:p>
          <w:p w14:paraId="7FAAE083">
            <w:pPr>
              <w:keepNext w:val="0"/>
              <w:keepLines w:val="0"/>
              <w:pageBreakBefore w:val="0"/>
              <w:widowControl w:val="0"/>
              <w:kinsoku/>
              <w:wordWrap/>
              <w:overflowPunct/>
              <w:topLinePunct w:val="0"/>
              <w:autoSpaceDE/>
              <w:autoSpaceDN/>
              <w:bidi w:val="0"/>
              <w:adjustRightInd/>
              <w:snapToGrid w:val="0"/>
              <w:spacing w:beforeAutospacing="0" w:afterAutospacing="0" w:line="236" w:lineRule="auto"/>
              <w:ind w:right="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提供本单位缴纳的近三个月（近三个月是指2026年01月-2026年03月）社保缴纳证明（社保证明材料须是社保局出具的缴纳证明或社保系统导出的缴纳汇总凭证；新成立不足三个月的公司以实际发生的为准，如依法不需要缴纳社会保障资金的，应提供相应文件证明）。</w:t>
            </w:r>
          </w:p>
          <w:p w14:paraId="53544FBA">
            <w:pPr>
              <w:keepNext w:val="0"/>
              <w:keepLines w:val="0"/>
              <w:pageBreakBefore w:val="0"/>
              <w:widowControl w:val="0"/>
              <w:kinsoku/>
              <w:wordWrap/>
              <w:overflowPunct/>
              <w:topLinePunct w:val="0"/>
              <w:autoSpaceDE/>
              <w:autoSpaceDN/>
              <w:bidi w:val="0"/>
              <w:adjustRightInd/>
              <w:snapToGrid w:val="0"/>
              <w:spacing w:beforeAutospacing="0" w:afterAutospacing="0" w:line="236" w:lineRule="auto"/>
              <w:ind w:right="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（5）投标人需提供2024年度或2025年度第三方审计机构出具的财务审计报告(2025年10月以后新成立公司可不提供）；</w:t>
            </w:r>
          </w:p>
          <w:p w14:paraId="4145E1A9">
            <w:pPr>
              <w:keepNext w:val="0"/>
              <w:keepLines w:val="0"/>
              <w:pageBreakBefore w:val="0"/>
              <w:widowControl w:val="0"/>
              <w:kinsoku/>
              <w:wordWrap/>
              <w:overflowPunct/>
              <w:topLinePunct w:val="0"/>
              <w:autoSpaceDE/>
              <w:autoSpaceDN/>
              <w:bidi w:val="0"/>
              <w:adjustRightInd/>
              <w:snapToGrid w:val="0"/>
              <w:spacing w:beforeAutospacing="0" w:afterAutospacing="0" w:line="236" w:lineRule="auto"/>
              <w:ind w:right="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6）提供税务部门出具近三个月（近三个月是指2026年01月-2026年03月）依法缴纳税收的完税证明（需含增值税、印花税等税种；如当月无需缴税需提供税务机关出具的无欠税证明），新成立公司按实际发生提供税务机关出具的无欠税证明；</w:t>
            </w:r>
          </w:p>
          <w:p w14:paraId="65CD0434">
            <w:pPr>
              <w:keepNext w:val="0"/>
              <w:keepLines w:val="0"/>
              <w:pageBreakBefore w:val="0"/>
              <w:widowControl w:val="0"/>
              <w:kinsoku/>
              <w:wordWrap/>
              <w:overflowPunct/>
              <w:topLinePunct w:val="0"/>
              <w:autoSpaceDE/>
              <w:autoSpaceDN/>
              <w:bidi w:val="0"/>
              <w:adjustRightInd/>
              <w:snapToGrid w:val="0"/>
              <w:spacing w:beforeAutospacing="0" w:afterAutospacing="0" w:line="236" w:lineRule="auto"/>
              <w:ind w:right="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7）凡拟参加本次招标项目的投标人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被列入经营异常名录信息、严重违法失信名单（黑名单）信息（尚在处罚期内的）；将拒绝其参与本次政府采购活动；</w:t>
            </w:r>
          </w:p>
          <w:p w14:paraId="718352F7">
            <w:pPr>
              <w:keepNext w:val="0"/>
              <w:keepLines w:val="0"/>
              <w:pageBreakBefore w:val="0"/>
              <w:widowControl w:val="0"/>
              <w:kinsoku/>
              <w:wordWrap/>
              <w:overflowPunct/>
              <w:topLinePunct w:val="0"/>
              <w:autoSpaceDE/>
              <w:autoSpaceDN/>
              <w:bidi w:val="0"/>
              <w:adjustRightInd/>
              <w:snapToGrid w:val="0"/>
              <w:spacing w:beforeAutospacing="0" w:afterAutospacing="0" w:line="236" w:lineRule="auto"/>
              <w:ind w:right="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（8）企业负责人为同一人或者存在直接控股、管理关系的不同供应商，不得参加同一合同项下的政府采购活动。否则，皆取消投标资格；</w:t>
            </w:r>
          </w:p>
          <w:p w14:paraId="7482A784">
            <w:pPr>
              <w:keepNext w:val="0"/>
              <w:keepLines w:val="0"/>
              <w:pageBreakBefore w:val="0"/>
              <w:widowControl w:val="0"/>
              <w:kinsoku/>
              <w:wordWrap/>
              <w:overflowPunct/>
              <w:topLinePunct w:val="0"/>
              <w:autoSpaceDE/>
              <w:autoSpaceDN/>
              <w:bidi w:val="0"/>
              <w:adjustRightInd/>
              <w:snapToGrid w:val="0"/>
              <w:spacing w:beforeAutospacing="0" w:afterAutospacing="0" w:line="236" w:lineRule="auto"/>
              <w:ind w:right="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（9）本项目不接受联合体投标。</w:t>
            </w:r>
          </w:p>
          <w:p w14:paraId="0EB51686">
            <w:pPr>
              <w:keepNext w:val="0"/>
              <w:keepLines w:val="0"/>
              <w:pageBreakBefore w:val="0"/>
              <w:widowControl w:val="0"/>
              <w:kinsoku/>
              <w:wordWrap/>
              <w:overflowPunct/>
              <w:topLinePunct w:val="0"/>
              <w:autoSpaceDE/>
              <w:autoSpaceDN/>
              <w:bidi w:val="0"/>
              <w:adjustRightInd/>
              <w:snapToGrid w:val="0"/>
              <w:spacing w:beforeAutospacing="0" w:afterAutospacing="0" w:line="236" w:lineRule="auto"/>
              <w:ind w:right="0"/>
              <w:jc w:val="left"/>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rPr>
              <w:t>3.本项目的特定资格要求：</w:t>
            </w:r>
            <w:r>
              <w:rPr>
                <w:rFonts w:hint="eastAsia" w:ascii="仿宋" w:hAnsi="仿宋" w:eastAsia="仿宋" w:cs="仿宋"/>
                <w:b w:val="0"/>
                <w:bCs w:val="0"/>
                <w:color w:val="auto"/>
                <w:kern w:val="2"/>
                <w:sz w:val="24"/>
                <w:szCs w:val="24"/>
                <w:highlight w:val="none"/>
                <w:lang w:val="en-US" w:eastAsia="zh-CN"/>
              </w:rPr>
              <w:t>投标人须具备有效的《保安服务许可证》。</w:t>
            </w:r>
          </w:p>
        </w:tc>
      </w:tr>
      <w:tr w14:paraId="41FB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783DF92E">
            <w:pPr>
              <w:keepLines w:val="0"/>
              <w:pageBreakBefore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w:t>
            </w:r>
          </w:p>
        </w:tc>
        <w:tc>
          <w:tcPr>
            <w:tcW w:w="1947" w:type="dxa"/>
            <w:vAlign w:val="center"/>
          </w:tcPr>
          <w:p w14:paraId="1AE55446">
            <w:pPr>
              <w:pStyle w:val="116"/>
              <w:keepNext w:val="0"/>
              <w:keepLines w:val="0"/>
              <w:pageBreakBefore w:val="0"/>
              <w:kinsoku/>
              <w:wordWrap/>
              <w:overflowPunct/>
              <w:topLinePunct w:val="0"/>
              <w:autoSpaceDE/>
              <w:autoSpaceDN/>
              <w:bidi w:val="0"/>
              <w:adjustRightInd w:val="0"/>
              <w:snapToGrid w:val="0"/>
              <w:spacing w:line="236" w:lineRule="auto"/>
              <w:ind w:left="38"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rPr>
              <w:t>信用情况</w:t>
            </w:r>
          </w:p>
        </w:tc>
        <w:tc>
          <w:tcPr>
            <w:tcW w:w="7542" w:type="dxa"/>
            <w:vAlign w:val="center"/>
          </w:tcPr>
          <w:p w14:paraId="09C0894A">
            <w:pPr>
              <w:keepNext w:val="0"/>
              <w:keepLines w:val="0"/>
              <w:pageBreakBefore w:val="0"/>
              <w:widowControl/>
              <w:kinsoku/>
              <w:wordWrap/>
              <w:overflowPunct/>
              <w:topLinePunct w:val="0"/>
              <w:autoSpaceDE/>
              <w:autoSpaceDN/>
              <w:bidi w:val="0"/>
              <w:adjustRightInd w:val="0"/>
              <w:snapToGrid w:val="0"/>
              <w:spacing w:line="236"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信用记录查询时间及方式：</w:t>
            </w:r>
          </w:p>
          <w:p w14:paraId="446A21FD">
            <w:pPr>
              <w:keepNext w:val="0"/>
              <w:keepLines w:val="0"/>
              <w:pageBreakBefore w:val="0"/>
              <w:widowControl/>
              <w:kinsoku/>
              <w:wordWrap/>
              <w:overflowPunct/>
              <w:topLinePunct w:val="0"/>
              <w:autoSpaceDE/>
              <w:autoSpaceDN/>
              <w:bidi w:val="0"/>
              <w:adjustRightInd w:val="0"/>
              <w:snapToGrid w:val="0"/>
              <w:spacing w:line="236"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（1）查询时间：自</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招标公告发布</w:t>
            </w:r>
            <w:r>
              <w:rPr>
                <w:rFonts w:hint="eastAsia" w:ascii="仿宋" w:hAnsi="仿宋" w:eastAsia="仿宋" w:cs="仿宋"/>
                <w:color w:val="auto"/>
                <w:sz w:val="24"/>
                <w:szCs w:val="24"/>
                <w:highlight w:val="none"/>
                <w:lang w:val="en-US" w:eastAsia="zh-CN"/>
              </w:rPr>
              <w:t>之日</w:t>
            </w:r>
            <w:r>
              <w:rPr>
                <w:rFonts w:hint="eastAsia" w:ascii="仿宋" w:hAnsi="仿宋" w:eastAsia="仿宋" w:cs="仿宋"/>
                <w:color w:val="auto"/>
                <w:sz w:val="24"/>
                <w:szCs w:val="24"/>
                <w:highlight w:val="none"/>
              </w:rPr>
              <w:t>起至开标</w:t>
            </w:r>
            <w:r>
              <w:rPr>
                <w:rFonts w:hint="eastAsia" w:ascii="仿宋" w:hAnsi="仿宋" w:eastAsia="仿宋" w:cs="仿宋"/>
                <w:color w:val="auto"/>
                <w:sz w:val="24"/>
                <w:szCs w:val="24"/>
                <w:highlight w:val="none"/>
                <w:lang w:val="en-US" w:eastAsia="zh-CN"/>
              </w:rPr>
              <w:t>时间</w:t>
            </w:r>
            <w:r>
              <w:rPr>
                <w:rFonts w:hint="eastAsia" w:ascii="仿宋" w:hAnsi="仿宋" w:eastAsia="仿宋" w:cs="仿宋"/>
                <w:color w:val="auto"/>
                <w:sz w:val="24"/>
                <w:szCs w:val="24"/>
                <w:highlight w:val="none"/>
              </w:rPr>
              <w:t>止，超出此时间范围将被视为无效投标。</w:t>
            </w:r>
          </w:p>
          <w:p w14:paraId="3E80E310">
            <w:pPr>
              <w:keepNext w:val="0"/>
              <w:keepLines w:val="0"/>
              <w:pageBreakBefore w:val="0"/>
              <w:widowControl/>
              <w:kinsoku/>
              <w:wordWrap/>
              <w:overflowPunct/>
              <w:topLinePunct w:val="0"/>
              <w:autoSpaceDE/>
              <w:autoSpaceDN/>
              <w:bidi w:val="0"/>
              <w:adjustRightInd w:val="0"/>
              <w:snapToGrid w:val="0"/>
              <w:spacing w:line="236"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（2）查询方式：投标人自行通过“</w:t>
            </w:r>
            <w:r>
              <w:rPr>
                <w:rFonts w:hint="eastAsia" w:ascii="仿宋" w:hAnsi="仿宋" w:eastAsia="仿宋" w:cs="仿宋"/>
                <w:color w:val="auto"/>
                <w:kern w:val="2"/>
                <w:sz w:val="24"/>
                <w:szCs w:val="24"/>
                <w:highlight w:val="none"/>
                <w:shd w:val="clear" w:color="auto" w:fill="FFFFFF"/>
                <w:lang w:val="en-US" w:eastAsia="zh-CN" w:bidi="ar-SA"/>
              </w:rPr>
              <w:t>信用中国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shd w:val="clear" w:color="auto" w:fill="FFFFFF"/>
                <w:lang w:val="en-US" w:eastAsia="zh-CN" w:bidi="ar-SA"/>
              </w:rPr>
              <w:t>中国政府采购网</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国家企业信用信息公示系统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查询，并按招标文件要求提供网页</w:t>
            </w:r>
            <w:r>
              <w:rPr>
                <w:rFonts w:hint="eastAsia" w:ascii="仿宋" w:hAnsi="仿宋" w:eastAsia="仿宋" w:cs="仿宋"/>
                <w:color w:val="auto"/>
                <w:sz w:val="24"/>
                <w:szCs w:val="24"/>
                <w:highlight w:val="none"/>
                <w:lang w:eastAsia="zh-CN"/>
              </w:rPr>
              <w:t>查询</w:t>
            </w:r>
            <w:r>
              <w:rPr>
                <w:rFonts w:hint="eastAsia" w:ascii="仿宋" w:hAnsi="仿宋" w:eastAsia="仿宋" w:cs="仿宋"/>
                <w:color w:val="auto"/>
                <w:sz w:val="24"/>
                <w:szCs w:val="24"/>
                <w:highlight w:val="none"/>
              </w:rPr>
              <w:t>材料。</w:t>
            </w:r>
            <w:r>
              <w:rPr>
                <w:rFonts w:hint="eastAsia" w:ascii="仿宋" w:hAnsi="仿宋" w:eastAsia="仿宋" w:cs="仿宋"/>
                <w:color w:val="auto"/>
                <w:kern w:val="2"/>
                <w:sz w:val="24"/>
                <w:szCs w:val="24"/>
                <w:highlight w:val="none"/>
                <w:shd w:val="clear" w:color="auto" w:fill="FFFFFF"/>
                <w:lang w:val="en-US" w:eastAsia="zh-CN" w:bidi="ar-SA"/>
              </w:rPr>
              <w:t>被列入失信被执行人、企业经营异常名录、重大税收违法案件当事人名单、政府采购严重违法失信名单、政府采购严重违法失信行为记录名单、</w:t>
            </w:r>
            <w:r>
              <w:rPr>
                <w:rFonts w:hint="eastAsia" w:ascii="仿宋" w:hAnsi="仿宋" w:eastAsia="仿宋" w:cs="仿宋"/>
                <w:b w:val="0"/>
                <w:bCs w:val="0"/>
                <w:color w:val="auto"/>
                <w:sz w:val="24"/>
                <w:szCs w:val="24"/>
                <w:highlight w:val="none"/>
                <w:lang w:val="en-US" w:eastAsia="zh-CN"/>
              </w:rPr>
              <w:t>经营异常名录信息、严重违法失信名单（黑名单）信息</w:t>
            </w:r>
            <w:r>
              <w:rPr>
                <w:rFonts w:hint="eastAsia" w:ascii="仿宋" w:hAnsi="仿宋" w:eastAsia="仿宋" w:cs="仿宋"/>
                <w:color w:val="auto"/>
                <w:kern w:val="2"/>
                <w:sz w:val="24"/>
                <w:szCs w:val="24"/>
                <w:highlight w:val="none"/>
                <w:shd w:val="clear" w:color="auto" w:fill="FFFFFF"/>
                <w:lang w:val="en-US" w:eastAsia="zh-CN" w:bidi="ar-SA"/>
              </w:rPr>
              <w:t>（尚在处罚期内的）</w:t>
            </w:r>
            <w:r>
              <w:rPr>
                <w:rFonts w:hint="eastAsia" w:ascii="仿宋" w:hAnsi="仿宋" w:eastAsia="仿宋" w:cs="仿宋"/>
                <w:color w:val="auto"/>
                <w:sz w:val="24"/>
                <w:szCs w:val="24"/>
                <w:highlight w:val="none"/>
              </w:rPr>
              <w:t>,其他不符合《中华人民共和国政府采购法》第二十二条规定条件的供应商，其投标文件将被视为无效投标。</w:t>
            </w:r>
          </w:p>
          <w:p w14:paraId="6A234926">
            <w:pPr>
              <w:keepNext w:val="0"/>
              <w:keepLines w:val="0"/>
              <w:pageBreakBefore w:val="0"/>
              <w:widowControl/>
              <w:kinsoku/>
              <w:wordWrap/>
              <w:overflowPunct/>
              <w:topLinePunct w:val="0"/>
              <w:autoSpaceDE/>
              <w:autoSpaceDN/>
              <w:bidi w:val="0"/>
              <w:adjustRightInd w:val="0"/>
              <w:snapToGrid w:val="0"/>
              <w:spacing w:line="236" w:lineRule="auto"/>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本项目不接受失信企业投标</w:t>
            </w:r>
            <w:r>
              <w:rPr>
                <w:rFonts w:hint="eastAsia" w:ascii="仿宋" w:hAnsi="仿宋" w:eastAsia="仿宋" w:cs="仿宋"/>
                <w:color w:val="auto"/>
                <w:sz w:val="24"/>
                <w:szCs w:val="24"/>
                <w:highlight w:val="none"/>
                <w:lang w:eastAsia="zh-CN"/>
              </w:rPr>
              <w:t>。</w:t>
            </w:r>
          </w:p>
        </w:tc>
      </w:tr>
      <w:tr w14:paraId="248F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5C8E548B">
            <w:pPr>
              <w:keepLines w:val="0"/>
              <w:pageBreakBefore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11</w:t>
            </w:r>
          </w:p>
        </w:tc>
        <w:tc>
          <w:tcPr>
            <w:tcW w:w="1947" w:type="dxa"/>
            <w:vAlign w:val="center"/>
          </w:tcPr>
          <w:p w14:paraId="752A0BE4">
            <w:pPr>
              <w:keepNext w:val="0"/>
              <w:keepLines w:val="0"/>
              <w:pageBreakBefore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val="0"/>
                <w:bCs w:val="0"/>
                <w:color w:val="auto"/>
                <w:kern w:val="2"/>
                <w:sz w:val="24"/>
                <w:szCs w:val="24"/>
                <w:highlight w:val="none"/>
              </w:rPr>
              <w:t>标前准备</w:t>
            </w:r>
          </w:p>
        </w:tc>
        <w:tc>
          <w:tcPr>
            <w:tcW w:w="7542" w:type="dxa"/>
            <w:vAlign w:val="center"/>
          </w:tcPr>
          <w:p w14:paraId="7D1D6867">
            <w:pPr>
              <w:keepNext w:val="0"/>
              <w:keepLines w:val="0"/>
              <w:pageBreakBefore w:val="0"/>
              <w:widowControl w:val="0"/>
              <w:numPr>
                <w:ilvl w:val="0"/>
                <w:numId w:val="0"/>
              </w:numPr>
              <w:kinsoku/>
              <w:wordWrap/>
              <w:overflowPunct/>
              <w:topLinePunct w:val="0"/>
              <w:bidi w:val="0"/>
              <w:adjustRightInd/>
              <w:snapToGrid w:val="0"/>
              <w:spacing w:line="236" w:lineRule="auto"/>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本项目实行网上投标，采用电子投标文件。若供应商参与投标，自行承担投标一切费用。</w:t>
            </w:r>
          </w:p>
          <w:p w14:paraId="221E20C4">
            <w:pPr>
              <w:keepNext w:val="0"/>
              <w:keepLines w:val="0"/>
              <w:pageBreakBefore w:val="0"/>
              <w:widowControl w:val="0"/>
              <w:numPr>
                <w:ilvl w:val="0"/>
                <w:numId w:val="0"/>
              </w:numPr>
              <w:kinsoku/>
              <w:wordWrap/>
              <w:overflowPunct/>
              <w:topLinePunct w:val="0"/>
              <w:bidi w:val="0"/>
              <w:adjustRightInd/>
              <w:snapToGrid w:val="0"/>
              <w:spacing w:line="236" w:lineRule="auto"/>
              <w:ind w:left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各供应商应在开标前应确保成为新疆维吾尔自治区政府采购网正式注册入库供应商，并完成 CA 数字证书申领。因未注册入库、未办理 CA 数字证书等原因造成无法投标或投标失败等后果由供应商自行承担。</w:t>
            </w:r>
          </w:p>
          <w:p w14:paraId="689189F9">
            <w:pPr>
              <w:keepNext w:val="0"/>
              <w:keepLines w:val="0"/>
              <w:pageBreakBefore w:val="0"/>
              <w:widowControl w:val="0"/>
              <w:numPr>
                <w:ilvl w:val="0"/>
                <w:numId w:val="0"/>
              </w:numPr>
              <w:kinsoku/>
              <w:wordWrap/>
              <w:overflowPunct/>
              <w:topLinePunct w:val="0"/>
              <w:bidi w:val="0"/>
              <w:adjustRightInd/>
              <w:snapToGrid w:val="0"/>
              <w:spacing w:line="236" w:lineRule="auto"/>
              <w:ind w:left="0" w:leftChars="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color w:val="auto"/>
                <w:sz w:val="24"/>
                <w:szCs w:val="24"/>
                <w:highlight w:val="none"/>
              </w:rPr>
              <w:t xml:space="preserve">3、本项目为电子招投标，投标人需要使用 CA 加密设备，有意向参与新疆区域电子开评标的供应商，请访问新疆数字证书认证中心官方网站（https://www.xjca.com.cn/）或下载 新疆政务 通 ;APP 自 行 进 行 申 领 。 如 需 咨 询 ， 请 联 系 新 疆 CA 服 务 热 线 0991-28192904、供应商将政采云电子交易客户端下载、安装完成后，可通过账号密码或 CA 登录客户端进行投标文件制作。在使用政采云投标客户端时，建议使用 WIN7 及以上操作系统。客户端请至新疆政府采购网（https://www.zcygov.cn/）下载专区查看，如有问题可拨打政采云客户服务热线 </w:t>
            </w:r>
            <w:r>
              <w:rPr>
                <w:rFonts w:hint="eastAsia" w:ascii="仿宋" w:hAnsi="仿宋" w:eastAsia="仿宋" w:cs="仿宋"/>
                <w:b w:val="0"/>
                <w:bCs/>
                <w:color w:val="auto"/>
                <w:sz w:val="24"/>
                <w:szCs w:val="24"/>
                <w:highlight w:val="none"/>
                <w:lang w:eastAsia="zh-CN"/>
              </w:rPr>
              <w:t>95763</w:t>
            </w:r>
            <w:r>
              <w:rPr>
                <w:rFonts w:hint="eastAsia" w:ascii="仿宋" w:hAnsi="仿宋" w:eastAsia="仿宋" w:cs="仿宋"/>
                <w:b w:val="0"/>
                <w:bCs/>
                <w:color w:val="auto"/>
                <w:sz w:val="24"/>
                <w:szCs w:val="24"/>
                <w:highlight w:val="none"/>
              </w:rPr>
              <w:t xml:space="preserve"> 进行咨询。</w:t>
            </w:r>
          </w:p>
        </w:tc>
      </w:tr>
      <w:tr w14:paraId="48D9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279F35CD">
            <w:pPr>
              <w:keepLines w:val="0"/>
              <w:pageBreakBefore w:val="0"/>
              <w:widowControl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w:t>
            </w:r>
          </w:p>
        </w:tc>
        <w:tc>
          <w:tcPr>
            <w:tcW w:w="1947" w:type="dxa"/>
            <w:vAlign w:val="center"/>
          </w:tcPr>
          <w:p w14:paraId="456B3713">
            <w:pPr>
              <w:keepNext w:val="0"/>
              <w:keepLines w:val="0"/>
              <w:pageBreakBefore w:val="0"/>
              <w:widowControl w:val="0"/>
              <w:kinsoku/>
              <w:wordWrap/>
              <w:overflowPunct/>
              <w:topLinePunct w:val="0"/>
              <w:autoSpaceDE/>
              <w:autoSpaceDN/>
              <w:bidi w:val="0"/>
              <w:adjustRightInd/>
              <w:snapToGrid w:val="0"/>
              <w:spacing w:line="288"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合同履行期限</w:t>
            </w:r>
          </w:p>
        </w:tc>
        <w:tc>
          <w:tcPr>
            <w:tcW w:w="7542" w:type="dxa"/>
            <w:vAlign w:val="center"/>
          </w:tcPr>
          <w:p w14:paraId="7177776F">
            <w:pPr>
              <w:keepNext w:val="0"/>
              <w:keepLines w:val="0"/>
              <w:pageBreakBefore w:val="0"/>
              <w:widowControl w:val="0"/>
              <w:kinsoku/>
              <w:wordWrap/>
              <w:overflowPunct/>
              <w:topLinePunct w:val="0"/>
              <w:autoSpaceDE/>
              <w:autoSpaceDN/>
              <w:bidi w:val="0"/>
              <w:adjustRightInd/>
              <w:snapToGrid w:val="0"/>
              <w:spacing w:line="288" w:lineRule="auto"/>
              <w:ind w:left="0" w:leftChars="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合同签订之日起</w:t>
            </w:r>
            <w:r>
              <w:rPr>
                <w:rFonts w:hint="eastAsia" w:ascii="仿宋" w:hAnsi="仿宋" w:eastAsia="仿宋" w:cs="仿宋"/>
                <w:color w:val="auto"/>
                <w:kern w:val="0"/>
                <w:sz w:val="24"/>
                <w:szCs w:val="24"/>
                <w:highlight w:val="none"/>
                <w:lang w:val="en-US" w:eastAsia="zh-CN" w:bidi="ar"/>
              </w:rPr>
              <w:t>三年</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
              </w:rPr>
              <w:t>合同一年一签</w:t>
            </w:r>
            <w:r>
              <w:rPr>
                <w:rFonts w:hint="eastAsia" w:ascii="仿宋" w:hAnsi="仿宋" w:eastAsia="仿宋" w:cs="仿宋"/>
                <w:color w:val="auto"/>
                <w:sz w:val="24"/>
                <w:szCs w:val="24"/>
                <w:highlight w:val="none"/>
                <w:lang w:val="en-US" w:eastAsia="zh-CN"/>
              </w:rPr>
              <w:t>)</w:t>
            </w:r>
          </w:p>
        </w:tc>
      </w:tr>
      <w:tr w14:paraId="5B59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1B034A84">
            <w:pPr>
              <w:keepLines w:val="0"/>
              <w:pageBreakBefore w:val="0"/>
              <w:widowControl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p>
        </w:tc>
        <w:tc>
          <w:tcPr>
            <w:tcW w:w="1947" w:type="dxa"/>
            <w:vAlign w:val="center"/>
          </w:tcPr>
          <w:p w14:paraId="2AA9D6A1">
            <w:pPr>
              <w:keepNext w:val="0"/>
              <w:keepLines w:val="0"/>
              <w:pageBreakBefore w:val="0"/>
              <w:widowControl w:val="0"/>
              <w:kinsoku/>
              <w:wordWrap/>
              <w:overflowPunct/>
              <w:topLinePunct w:val="0"/>
              <w:autoSpaceDE/>
              <w:autoSpaceDN/>
              <w:bidi w:val="0"/>
              <w:adjustRightInd/>
              <w:snapToGrid w:val="0"/>
              <w:spacing w:line="288" w:lineRule="auto"/>
              <w:ind w:left="0" w:lef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eastAsia="zh-CN"/>
              </w:rPr>
              <w:t>服务地点</w:t>
            </w:r>
          </w:p>
        </w:tc>
        <w:tc>
          <w:tcPr>
            <w:tcW w:w="7542" w:type="dxa"/>
            <w:vAlign w:val="center"/>
          </w:tcPr>
          <w:p w14:paraId="3839E7B2">
            <w:pPr>
              <w:keepNext w:val="0"/>
              <w:keepLines w:val="0"/>
              <w:pageBreakBefore w:val="0"/>
              <w:widowControl w:val="0"/>
              <w:kinsoku/>
              <w:wordWrap/>
              <w:overflowPunct/>
              <w:topLinePunct w:val="0"/>
              <w:autoSpaceDE/>
              <w:autoSpaceDN/>
              <w:bidi w:val="0"/>
              <w:adjustRightInd/>
              <w:snapToGrid w:val="0"/>
              <w:spacing w:line="288" w:lineRule="auto"/>
              <w:ind w:left="0" w:lef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和田地区人民医院（甲方指定地点）</w:t>
            </w:r>
          </w:p>
        </w:tc>
      </w:tr>
      <w:tr w14:paraId="5BB8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19811493">
            <w:pPr>
              <w:keepLines w:val="0"/>
              <w:pageBreakBefore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14</w:t>
            </w:r>
          </w:p>
        </w:tc>
        <w:tc>
          <w:tcPr>
            <w:tcW w:w="1947" w:type="dxa"/>
            <w:vAlign w:val="center"/>
          </w:tcPr>
          <w:p w14:paraId="38FE6D0F">
            <w:pPr>
              <w:pStyle w:val="116"/>
              <w:keepNext/>
              <w:keepLines w:val="0"/>
              <w:pageBreakBefore w:val="0"/>
              <w:widowControl w:val="0"/>
              <w:kinsoku/>
              <w:wordWrap/>
              <w:overflowPunct/>
              <w:topLinePunct w:val="0"/>
              <w:bidi w:val="0"/>
              <w:snapToGrid w:val="0"/>
              <w:spacing w:line="240" w:lineRule="auto"/>
              <w:ind w:left="96"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lang w:val="en-US" w:eastAsia="zh-CN"/>
              </w:rPr>
              <w:t>服务要求</w:t>
            </w:r>
          </w:p>
        </w:tc>
        <w:tc>
          <w:tcPr>
            <w:tcW w:w="7542" w:type="dxa"/>
            <w:vAlign w:val="center"/>
          </w:tcPr>
          <w:p w14:paraId="34B21E7C">
            <w:pPr>
              <w:pStyle w:val="116"/>
              <w:keepNext/>
              <w:keepLines w:val="0"/>
              <w:pageBreakBefore w:val="0"/>
              <w:widowControl w:val="0"/>
              <w:tabs>
                <w:tab w:val="left" w:pos="340"/>
              </w:tabs>
              <w:kinsoku/>
              <w:wordWrap/>
              <w:overflowPunct/>
              <w:topLinePunct w:val="0"/>
              <w:bidi w:val="0"/>
              <w:snapToGrid w:val="0"/>
              <w:spacing w:line="240" w:lineRule="auto"/>
              <w:ind w:right="220" w:rightChars="105"/>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必须达到国家和行业规定标准及招标文件中规定的要求标准，并通过验收。</w:t>
            </w:r>
          </w:p>
        </w:tc>
      </w:tr>
      <w:tr w14:paraId="254D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6DCEB5E5">
            <w:pPr>
              <w:keepLines w:val="0"/>
              <w:pageBreakBefore w:val="0"/>
              <w:widowControl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1947" w:type="dxa"/>
            <w:vAlign w:val="center"/>
          </w:tcPr>
          <w:p w14:paraId="1B2E32F2">
            <w:pPr>
              <w:keepNext w:val="0"/>
              <w:keepLines w:val="0"/>
              <w:pageBreakBefore w:val="0"/>
              <w:widowControl w:val="0"/>
              <w:kinsoku/>
              <w:wordWrap/>
              <w:overflowPunct/>
              <w:topLinePunct w:val="0"/>
              <w:autoSpaceDE/>
              <w:autoSpaceDN/>
              <w:bidi w:val="0"/>
              <w:adjustRightInd/>
              <w:snapToGrid w:val="0"/>
              <w:spacing w:line="288" w:lineRule="auto"/>
              <w:ind w:left="0" w:leftChars="0"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付款方式</w:t>
            </w:r>
          </w:p>
        </w:tc>
        <w:tc>
          <w:tcPr>
            <w:tcW w:w="7542" w:type="dxa"/>
            <w:vAlign w:val="center"/>
          </w:tcPr>
          <w:p w14:paraId="262454C4">
            <w:pPr>
              <w:keepNext w:val="0"/>
              <w:keepLines w:val="0"/>
              <w:pageBreakBefore w:val="0"/>
              <w:widowControl w:val="0"/>
              <w:kinsoku/>
              <w:wordWrap/>
              <w:overflowPunct/>
              <w:topLinePunct w:val="0"/>
              <w:autoSpaceDE/>
              <w:autoSpaceDN/>
              <w:bidi w:val="0"/>
              <w:adjustRightInd/>
              <w:snapToGrid w:val="0"/>
              <w:spacing w:line="288" w:lineRule="auto"/>
              <w:ind w:left="0" w:leftChars="0" w:right="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按季度支付，具体以双方签订合同为准。</w:t>
            </w:r>
          </w:p>
        </w:tc>
      </w:tr>
      <w:tr w14:paraId="1944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588D4BAC">
            <w:pPr>
              <w:keepLines w:val="0"/>
              <w:pageBreakBefore w:val="0"/>
              <w:widowControl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1947" w:type="dxa"/>
            <w:vAlign w:val="center"/>
          </w:tcPr>
          <w:p w14:paraId="2BD03825">
            <w:pPr>
              <w:keepNext w:val="0"/>
              <w:keepLines w:val="0"/>
              <w:pageBreakBefore w:val="0"/>
              <w:widowControl w:val="0"/>
              <w:kinsoku/>
              <w:wordWrap/>
              <w:overflowPunct/>
              <w:topLinePunct w:val="0"/>
              <w:autoSpaceDE/>
              <w:autoSpaceDN/>
              <w:bidi w:val="0"/>
              <w:adjustRightInd/>
              <w:snapToGrid w:val="0"/>
              <w:spacing w:line="288"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资金来源</w:t>
            </w:r>
          </w:p>
        </w:tc>
        <w:tc>
          <w:tcPr>
            <w:tcW w:w="7542" w:type="dxa"/>
            <w:vAlign w:val="center"/>
          </w:tcPr>
          <w:p w14:paraId="2958339B">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自筹资金</w:t>
            </w:r>
          </w:p>
        </w:tc>
      </w:tr>
      <w:tr w14:paraId="17FC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14E36CFE">
            <w:pPr>
              <w:keepLines w:val="0"/>
              <w:pageBreakBefore w:val="0"/>
              <w:widowControl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17</w:t>
            </w:r>
          </w:p>
        </w:tc>
        <w:tc>
          <w:tcPr>
            <w:tcW w:w="1947" w:type="dxa"/>
            <w:vAlign w:val="center"/>
          </w:tcPr>
          <w:p w14:paraId="05BB65F4">
            <w:pPr>
              <w:keepNext w:val="0"/>
              <w:keepLines w:val="0"/>
              <w:pageBreakBefore w:val="0"/>
              <w:widowControl w:val="0"/>
              <w:kinsoku/>
              <w:wordWrap/>
              <w:overflowPunct/>
              <w:topLinePunct w:val="0"/>
              <w:autoSpaceDE/>
              <w:autoSpaceDN/>
              <w:bidi w:val="0"/>
              <w:adjustRightInd/>
              <w:snapToGrid w:val="0"/>
              <w:spacing w:line="288"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7542" w:type="dxa"/>
            <w:vAlign w:val="center"/>
          </w:tcPr>
          <w:p w14:paraId="606DA371">
            <w:pPr>
              <w:keepNext w:val="0"/>
              <w:keepLines w:val="0"/>
              <w:pageBreakBefore w:val="0"/>
              <w:widowControl w:val="0"/>
              <w:kinsoku/>
              <w:wordWrap/>
              <w:overflowPunct/>
              <w:topLinePunct w:val="0"/>
              <w:autoSpaceDE/>
              <w:autoSpaceDN/>
              <w:bidi w:val="0"/>
              <w:adjustRightInd/>
              <w:snapToGrid w:val="0"/>
              <w:spacing w:line="288"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90</w:t>
            </w:r>
            <w:r>
              <w:rPr>
                <w:rFonts w:hint="eastAsia" w:ascii="仿宋" w:hAnsi="仿宋" w:eastAsia="仿宋" w:cs="仿宋"/>
                <w:color w:val="auto"/>
                <w:sz w:val="24"/>
                <w:szCs w:val="24"/>
                <w:highlight w:val="none"/>
                <w:lang w:eastAsia="zh-CN"/>
              </w:rPr>
              <w:t>日历天</w:t>
            </w:r>
            <w:r>
              <w:rPr>
                <w:rFonts w:hint="eastAsia" w:ascii="仿宋" w:hAnsi="仿宋" w:eastAsia="仿宋" w:cs="仿宋"/>
                <w:color w:val="auto"/>
                <w:sz w:val="24"/>
                <w:szCs w:val="24"/>
                <w:highlight w:val="none"/>
              </w:rPr>
              <w:t>（从投标截止之日算起）</w:t>
            </w:r>
          </w:p>
        </w:tc>
      </w:tr>
      <w:tr w14:paraId="4869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3E470C59">
            <w:pPr>
              <w:keepLines w:val="0"/>
              <w:pageBreakBefore w:val="0"/>
              <w:kinsoku/>
              <w:wordWrap/>
              <w:overflowPunct/>
              <w:topLinePunct w:val="0"/>
              <w:bidi w:val="0"/>
              <w:adjustRightInd/>
              <w:snapToGrid w:val="0"/>
              <w:spacing w:line="236" w:lineRule="auto"/>
              <w:ind w:left="0" w:leftChars="0" w:right="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18</w:t>
            </w:r>
          </w:p>
        </w:tc>
        <w:tc>
          <w:tcPr>
            <w:tcW w:w="1947" w:type="dxa"/>
            <w:vAlign w:val="center"/>
          </w:tcPr>
          <w:p w14:paraId="7CBDAD9B">
            <w:pPr>
              <w:keepNext w:val="0"/>
              <w:keepLines w:val="0"/>
              <w:pageBreakBefore w:val="0"/>
              <w:widowControl w:val="0"/>
              <w:kinsoku/>
              <w:wordWrap/>
              <w:overflowPunct/>
              <w:topLinePunct w:val="0"/>
              <w:autoSpaceDE/>
              <w:autoSpaceDN/>
              <w:bidi w:val="0"/>
              <w:adjustRightInd w:val="0"/>
              <w:snapToGrid w:val="0"/>
              <w:spacing w:line="236" w:lineRule="auto"/>
              <w:ind w:left="0" w:lef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投标人对招标文件提出质疑的时间</w:t>
            </w:r>
          </w:p>
        </w:tc>
        <w:tc>
          <w:tcPr>
            <w:tcW w:w="7542" w:type="dxa"/>
            <w:vAlign w:val="center"/>
          </w:tcPr>
          <w:p w14:paraId="66740274">
            <w:pPr>
              <w:keepNext w:val="0"/>
              <w:keepLines w:val="0"/>
              <w:pageBreakBefore w:val="0"/>
              <w:widowControl w:val="0"/>
              <w:kinsoku/>
              <w:wordWrap/>
              <w:overflowPunct/>
              <w:topLinePunct w:val="0"/>
              <w:autoSpaceDE/>
              <w:autoSpaceDN/>
              <w:bidi w:val="0"/>
              <w:adjustRightInd w:val="0"/>
              <w:snapToGrid w:val="0"/>
              <w:spacing w:line="236"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提出质疑函的时限：对采购文件提出质疑的，应当在获取采购文件或者采购文件公告期限届满之日起7个工作日内提出。</w:t>
            </w:r>
          </w:p>
          <w:p w14:paraId="62149CD2">
            <w:pPr>
              <w:keepNext w:val="0"/>
              <w:keepLines w:val="0"/>
              <w:pageBreakBefore w:val="0"/>
              <w:widowControl w:val="0"/>
              <w:kinsoku/>
              <w:wordWrap/>
              <w:overflowPunct/>
              <w:topLinePunct w:val="0"/>
              <w:autoSpaceDE/>
              <w:autoSpaceDN/>
              <w:bidi w:val="0"/>
              <w:adjustRightInd w:val="0"/>
              <w:snapToGrid w:val="0"/>
              <w:spacing w:line="236"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接收质疑函的方式：将PDF格式电子版质疑文件加盖公章扫描发送至3521573009@qq.com邮箱。</w:t>
            </w:r>
          </w:p>
          <w:p w14:paraId="2C7FECB8">
            <w:pPr>
              <w:keepNext w:val="0"/>
              <w:keepLines w:val="0"/>
              <w:pageBreakBefore w:val="0"/>
              <w:widowControl w:val="0"/>
              <w:kinsoku/>
              <w:wordWrap/>
              <w:overflowPunct/>
              <w:topLinePunct w:val="0"/>
              <w:autoSpaceDE/>
              <w:autoSpaceDN/>
              <w:bidi w:val="0"/>
              <w:adjustRightInd w:val="0"/>
              <w:snapToGrid w:val="0"/>
              <w:spacing w:line="236"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接受质疑的单位：新疆庆信达项目管理有限公司</w:t>
            </w:r>
          </w:p>
          <w:p w14:paraId="56FB1203">
            <w:pPr>
              <w:keepNext w:val="0"/>
              <w:keepLines w:val="0"/>
              <w:pageBreakBefore w:val="0"/>
              <w:widowControl w:val="0"/>
              <w:kinsoku/>
              <w:wordWrap/>
              <w:overflowPunct/>
              <w:topLinePunct w:val="0"/>
              <w:autoSpaceDE/>
              <w:autoSpaceDN/>
              <w:bidi w:val="0"/>
              <w:adjustRightInd w:val="0"/>
              <w:snapToGrid w:val="0"/>
              <w:spacing w:line="236"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联系电话：0903-7820626  </w:t>
            </w:r>
          </w:p>
          <w:p w14:paraId="5FD0ED98">
            <w:pPr>
              <w:keepNext w:val="0"/>
              <w:keepLines w:val="0"/>
              <w:pageBreakBefore w:val="0"/>
              <w:widowControl w:val="0"/>
              <w:kinsoku/>
              <w:wordWrap/>
              <w:overflowPunct/>
              <w:topLinePunct w:val="0"/>
              <w:autoSpaceDE/>
              <w:autoSpaceDN/>
              <w:bidi w:val="0"/>
              <w:adjustRightInd w:val="0"/>
              <w:snapToGrid w:val="0"/>
              <w:spacing w:line="236"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地址：</w:t>
            </w:r>
            <w:r>
              <w:rPr>
                <w:rFonts w:hint="eastAsia" w:ascii="仿宋" w:hAnsi="仿宋" w:eastAsia="仿宋" w:cs="仿宋"/>
                <w:b w:val="0"/>
                <w:color w:val="auto"/>
                <w:kern w:val="2"/>
                <w:sz w:val="24"/>
                <w:szCs w:val="24"/>
                <w:highlight w:val="none"/>
                <w:lang w:val="en-US" w:eastAsia="zh-CN" w:bidi="ar-SA"/>
              </w:rPr>
              <w:t>和田市人民街18号玉都国际广场金座703号</w:t>
            </w:r>
          </w:p>
          <w:p w14:paraId="4DB8E120">
            <w:pPr>
              <w:pStyle w:val="89"/>
              <w:keepNext w:val="0"/>
              <w:keepLines w:val="0"/>
              <w:pageBreakBefore w:val="0"/>
              <w:widowControl w:val="0"/>
              <w:numPr>
                <w:ilvl w:val="0"/>
                <w:numId w:val="0"/>
              </w:numPr>
              <w:kinsoku/>
              <w:wordWrap/>
              <w:overflowPunct/>
              <w:topLinePunct w:val="0"/>
              <w:autoSpaceDE/>
              <w:autoSpaceDN/>
              <w:bidi w:val="0"/>
              <w:adjustRightInd w:val="0"/>
              <w:snapToGrid w:val="0"/>
              <w:spacing w:line="236"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w:t>
            </w:r>
            <w:r>
              <w:rPr>
                <w:rFonts w:hint="eastAsia" w:ascii="仿宋" w:hAnsi="仿宋" w:eastAsia="仿宋" w:cs="仿宋"/>
                <w:b w:val="0"/>
                <w:bCs w:val="0"/>
                <w:color w:val="auto"/>
                <w:kern w:val="2"/>
                <w:sz w:val="24"/>
                <w:szCs w:val="24"/>
                <w:highlight w:val="none"/>
                <w:lang w:val="en-US" w:eastAsia="zh-CN" w:bidi="ar-SA"/>
              </w:rPr>
              <w:t>供应商认为采购文件、采购过程、中标或者成交结果使自己的权益受到损害的，可以根据中华人民共和国财政部令第94号中第十条，以书面形式向采购人、采购代理机构一次性针对同一采购程序环节质疑。</w:t>
            </w:r>
          </w:p>
          <w:p w14:paraId="3F32A59A">
            <w:pPr>
              <w:pStyle w:val="89"/>
              <w:keepNext w:val="0"/>
              <w:keepLines w:val="0"/>
              <w:pageBreakBefore w:val="0"/>
              <w:widowControl w:val="0"/>
              <w:numPr>
                <w:ilvl w:val="0"/>
                <w:numId w:val="0"/>
              </w:numPr>
              <w:kinsoku/>
              <w:wordWrap/>
              <w:overflowPunct/>
              <w:topLinePunct w:val="0"/>
              <w:autoSpaceDE/>
              <w:autoSpaceDN/>
              <w:bidi w:val="0"/>
              <w:adjustRightInd w:val="0"/>
              <w:snapToGrid w:val="0"/>
              <w:spacing w:line="236" w:lineRule="auto"/>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根据中华人民共和国政府采购法实施条例（中华人民共和国国务院令第658号）第七十一条有政府采购法第七十一条、第七十二条规定的违法行为之一，影响或者可能影响中标、成交结果的，依照下列规定处理中的第二条(二)已确定中标或者成交供应商但尚未签订政府采购合同的，中标或者成交结果无效，从合格的中标或者成交候选人中另行确定中标或者成交供应商；没有合格的中标或者成交候选人的，重新开展政府采购活动。</w:t>
            </w:r>
          </w:p>
        </w:tc>
      </w:tr>
      <w:tr w14:paraId="5C3C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376FA3B6">
            <w:pPr>
              <w:keepLines w:val="0"/>
              <w:pageBreakBefore w:val="0"/>
              <w:kinsoku/>
              <w:wordWrap/>
              <w:overflowPunct/>
              <w:topLinePunct w:val="0"/>
              <w:bidi w:val="0"/>
              <w:adjustRightInd/>
              <w:snapToGrid w:val="0"/>
              <w:spacing w:line="236" w:lineRule="auto"/>
              <w:ind w:left="0" w:leftChars="0" w:right="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19</w:t>
            </w:r>
          </w:p>
        </w:tc>
        <w:tc>
          <w:tcPr>
            <w:tcW w:w="1947" w:type="dxa"/>
            <w:vAlign w:val="center"/>
          </w:tcPr>
          <w:p w14:paraId="77CFF4C8">
            <w:pPr>
              <w:keepNext w:val="0"/>
              <w:keepLines w:val="0"/>
              <w:pageBreakBefore w:val="0"/>
              <w:widowControl w:val="0"/>
              <w:kinsoku/>
              <w:wordWrap/>
              <w:overflowPunct/>
              <w:topLinePunct w:val="0"/>
              <w:autoSpaceDE/>
              <w:autoSpaceDN/>
              <w:bidi w:val="0"/>
              <w:adjustRightInd w:val="0"/>
              <w:snapToGrid w:val="0"/>
              <w:spacing w:line="236" w:lineRule="auto"/>
              <w:ind w:left="0" w:leftChars="0"/>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招标</w:t>
            </w:r>
            <w:r>
              <w:rPr>
                <w:rFonts w:hint="eastAsia" w:ascii="仿宋" w:hAnsi="仿宋" w:eastAsia="仿宋" w:cs="仿宋"/>
                <w:b w:val="0"/>
                <w:bCs w:val="0"/>
                <w:color w:val="auto"/>
                <w:sz w:val="24"/>
                <w:szCs w:val="24"/>
                <w:highlight w:val="none"/>
              </w:rPr>
              <w:t>文件</w:t>
            </w:r>
            <w:r>
              <w:rPr>
                <w:rFonts w:hint="eastAsia" w:ascii="仿宋" w:hAnsi="仿宋" w:eastAsia="仿宋" w:cs="仿宋"/>
                <w:b w:val="0"/>
                <w:bCs w:val="0"/>
                <w:color w:val="auto"/>
                <w:sz w:val="24"/>
                <w:szCs w:val="24"/>
                <w:highlight w:val="none"/>
                <w:lang w:eastAsia="zh-CN"/>
              </w:rPr>
              <w:t>发放</w:t>
            </w:r>
          </w:p>
        </w:tc>
        <w:tc>
          <w:tcPr>
            <w:tcW w:w="7542" w:type="dxa"/>
            <w:vAlign w:val="center"/>
          </w:tcPr>
          <w:p w14:paraId="48F4E03F">
            <w:pPr>
              <w:keepNext w:val="0"/>
              <w:keepLines w:val="0"/>
              <w:pageBreakBefore w:val="0"/>
              <w:widowControl w:val="0"/>
              <w:kinsoku/>
              <w:wordWrap/>
              <w:overflowPunct/>
              <w:topLinePunct w:val="0"/>
              <w:autoSpaceDE/>
              <w:autoSpaceDN/>
              <w:bidi w:val="0"/>
              <w:adjustRightInd w:val="0"/>
              <w:snapToGrid w:val="0"/>
              <w:spacing w:line="236" w:lineRule="auto"/>
              <w:ind w:left="0"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供应商登录政采云平台</w:t>
            </w:r>
            <w:r>
              <w:rPr>
                <w:rFonts w:hint="eastAsia" w:ascii="仿宋" w:hAnsi="仿宋" w:eastAsia="仿宋" w:cs="仿宋"/>
                <w:b w:val="0"/>
                <w:bCs w:val="0"/>
                <w:color w:val="auto"/>
                <w:sz w:val="24"/>
                <w:szCs w:val="24"/>
                <w:highlight w:val="none"/>
                <w:lang w:val="en-US" w:eastAsia="zh-CN"/>
              </w:rPr>
              <w:fldChar w:fldCharType="begin"/>
            </w:r>
            <w:r>
              <w:rPr>
                <w:rFonts w:hint="eastAsia" w:ascii="仿宋" w:hAnsi="仿宋" w:eastAsia="仿宋" w:cs="仿宋"/>
                <w:b w:val="0"/>
                <w:bCs w:val="0"/>
                <w:color w:val="auto"/>
                <w:sz w:val="24"/>
                <w:szCs w:val="24"/>
                <w:highlight w:val="none"/>
                <w:lang w:val="en-US" w:eastAsia="zh-CN"/>
              </w:rPr>
              <w:instrText xml:space="preserve"> HYPERLINK "https://www.zcygov.cn/" </w:instrText>
            </w:r>
            <w:r>
              <w:rPr>
                <w:rFonts w:hint="eastAsia" w:ascii="仿宋" w:hAnsi="仿宋" w:eastAsia="仿宋" w:cs="仿宋"/>
                <w:b w:val="0"/>
                <w:bCs w:val="0"/>
                <w:color w:val="auto"/>
                <w:sz w:val="24"/>
                <w:szCs w:val="24"/>
                <w:highlight w:val="none"/>
                <w:lang w:val="en-US" w:eastAsia="zh-CN"/>
              </w:rPr>
              <w:fldChar w:fldCharType="separate"/>
            </w:r>
            <w:r>
              <w:rPr>
                <w:rFonts w:hint="eastAsia" w:ascii="仿宋" w:hAnsi="仿宋" w:eastAsia="仿宋" w:cs="仿宋"/>
                <w:b w:val="0"/>
                <w:bCs w:val="0"/>
                <w:color w:val="auto"/>
                <w:sz w:val="24"/>
                <w:szCs w:val="24"/>
                <w:highlight w:val="none"/>
                <w:lang w:val="en-US" w:eastAsia="zh-CN"/>
              </w:rPr>
              <w:t>https://www.zcygov.cn/</w:t>
            </w:r>
            <w:r>
              <w:rPr>
                <w:rFonts w:hint="eastAsia" w:ascii="仿宋" w:hAnsi="仿宋" w:eastAsia="仿宋" w:cs="仿宋"/>
                <w:b w:val="0"/>
                <w:bCs w:val="0"/>
                <w:color w:val="auto"/>
                <w:sz w:val="24"/>
                <w:szCs w:val="24"/>
                <w:highlight w:val="none"/>
                <w:lang w:val="en-US" w:eastAsia="zh-CN"/>
              </w:rPr>
              <w:fldChar w:fldCharType="end"/>
            </w:r>
            <w:r>
              <w:rPr>
                <w:rFonts w:hint="eastAsia" w:ascii="仿宋" w:hAnsi="仿宋" w:eastAsia="仿宋" w:cs="仿宋"/>
                <w:b w:val="0"/>
                <w:bCs w:val="0"/>
                <w:color w:val="auto"/>
                <w:sz w:val="24"/>
                <w:szCs w:val="24"/>
                <w:highlight w:val="none"/>
                <w:lang w:val="en-US" w:eastAsia="zh-CN"/>
              </w:rPr>
              <w:t>在线申请获取采购文件（进入“项目采购”应用，在获取采购文件菜单中选择项目，申请获取采购文件）</w:t>
            </w:r>
          </w:p>
        </w:tc>
      </w:tr>
      <w:tr w14:paraId="1290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00671FDB">
            <w:pPr>
              <w:keepLines w:val="0"/>
              <w:pageBreakBefore w:val="0"/>
              <w:kinsoku/>
              <w:wordWrap/>
              <w:overflowPunct/>
              <w:topLinePunct w:val="0"/>
              <w:bidi w:val="0"/>
              <w:adjustRightInd/>
              <w:snapToGrid w:val="0"/>
              <w:spacing w:line="236" w:lineRule="auto"/>
              <w:ind w:left="0" w:leftChars="0"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w:t>
            </w:r>
          </w:p>
        </w:tc>
        <w:tc>
          <w:tcPr>
            <w:tcW w:w="1947" w:type="dxa"/>
            <w:vAlign w:val="center"/>
          </w:tcPr>
          <w:p w14:paraId="19618768">
            <w:pPr>
              <w:keepNext w:val="0"/>
              <w:keepLines w:val="0"/>
              <w:pageBreakBefore w:val="0"/>
              <w:widowControl w:val="0"/>
              <w:kinsoku/>
              <w:wordWrap/>
              <w:overflowPunct/>
              <w:topLinePunct w:val="0"/>
              <w:bidi w:val="0"/>
              <w:adjustRightInd/>
              <w:snapToGrid w:val="0"/>
              <w:spacing w:line="236"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构成招标文件</w:t>
            </w:r>
          </w:p>
          <w:p w14:paraId="22BD2C16">
            <w:pPr>
              <w:keepNext w:val="0"/>
              <w:keepLines w:val="0"/>
              <w:pageBreakBefore w:val="0"/>
              <w:widowControl w:val="0"/>
              <w:kinsoku/>
              <w:wordWrap/>
              <w:overflowPunct/>
              <w:topLinePunct w:val="0"/>
              <w:bidi w:val="0"/>
              <w:adjustRightInd/>
              <w:snapToGrid w:val="0"/>
              <w:spacing w:line="236" w:lineRule="auto"/>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的其他文件</w:t>
            </w:r>
          </w:p>
        </w:tc>
        <w:tc>
          <w:tcPr>
            <w:tcW w:w="7542" w:type="dxa"/>
            <w:vAlign w:val="center"/>
          </w:tcPr>
          <w:p w14:paraId="01012103">
            <w:pPr>
              <w:keepNext w:val="0"/>
              <w:keepLines w:val="0"/>
              <w:pageBreakBefore w:val="0"/>
              <w:kinsoku/>
              <w:wordWrap/>
              <w:overflowPunct/>
              <w:topLinePunct w:val="0"/>
              <w:bidi w:val="0"/>
              <w:adjustRightInd/>
              <w:snapToGrid w:val="0"/>
              <w:spacing w:line="236" w:lineRule="auto"/>
              <w:ind w:left="0" w:leftChars="0" w:right="0" w:rightChars="0"/>
              <w:jc w:val="left"/>
              <w:textAlignment w:val="auto"/>
              <w:rPr>
                <w:rFonts w:hint="eastAsia" w:ascii="仿宋" w:hAnsi="仿宋" w:eastAsia="仿宋" w:cs="仿宋"/>
                <w:b/>
                <w:bCs w:val="0"/>
                <w:color w:val="auto"/>
                <w:sz w:val="24"/>
                <w:szCs w:val="24"/>
                <w:highlight w:val="none"/>
                <w:u w:val="none"/>
                <w:lang w:val="en-US" w:eastAsia="zh-CN"/>
              </w:rPr>
            </w:pPr>
            <w:r>
              <w:rPr>
                <w:rFonts w:hint="eastAsia" w:ascii="仿宋" w:hAnsi="仿宋" w:eastAsia="仿宋" w:cs="仿宋"/>
                <w:bCs/>
                <w:color w:val="auto"/>
                <w:sz w:val="24"/>
                <w:szCs w:val="24"/>
                <w:highlight w:val="none"/>
              </w:rPr>
              <w:t>招标文件的澄清、修改书及有关补充通知为招标文件的有效组成部分</w:t>
            </w:r>
            <w:r>
              <w:rPr>
                <w:rFonts w:hint="eastAsia" w:ascii="仿宋" w:hAnsi="仿宋" w:eastAsia="仿宋" w:cs="仿宋"/>
                <w:bCs/>
                <w:color w:val="auto"/>
                <w:sz w:val="24"/>
                <w:szCs w:val="24"/>
                <w:highlight w:val="none"/>
                <w:lang w:eastAsia="zh-CN"/>
              </w:rPr>
              <w:t>。</w:t>
            </w:r>
          </w:p>
        </w:tc>
      </w:tr>
      <w:tr w14:paraId="3CAC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0207BAA3">
            <w:pPr>
              <w:keepLines w:val="0"/>
              <w:pageBreakBefore w:val="0"/>
              <w:widowControl w:val="0"/>
              <w:kinsoku/>
              <w:wordWrap/>
              <w:overflowPunct/>
              <w:topLinePunct w:val="0"/>
              <w:bidi w:val="0"/>
              <w:adjustRightInd/>
              <w:snapToGrid w:val="0"/>
              <w:spacing w:line="236" w:lineRule="auto"/>
              <w:ind w:left="0" w:leftChars="0"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w:t>
            </w:r>
          </w:p>
        </w:tc>
        <w:tc>
          <w:tcPr>
            <w:tcW w:w="1947" w:type="dxa"/>
            <w:vAlign w:val="center"/>
          </w:tcPr>
          <w:p w14:paraId="3F16216F">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rPr>
              <w:t>投标截止时间</w:t>
            </w:r>
          </w:p>
        </w:tc>
        <w:tc>
          <w:tcPr>
            <w:tcW w:w="7542" w:type="dxa"/>
            <w:vAlign w:val="center"/>
          </w:tcPr>
          <w:p w14:paraId="48FBC4EA">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i w:val="0"/>
                <w:caps w:val="0"/>
                <w:color w:val="auto"/>
                <w:spacing w:val="0"/>
                <w:sz w:val="24"/>
                <w:szCs w:val="24"/>
                <w:highlight w:val="none"/>
                <w:shd w:val="clear" w:color="auto" w:fill="FFFFFF"/>
                <w:lang w:val="en-US" w:eastAsia="zh-CN"/>
              </w:rPr>
              <w:t xml:space="preserve">2026年05月12日 </w:t>
            </w:r>
            <w:r>
              <w:rPr>
                <w:rFonts w:hint="eastAsia" w:ascii="仿宋" w:hAnsi="仿宋" w:eastAsia="仿宋" w:cs="仿宋"/>
                <w:b/>
                <w:bCs/>
                <w:color w:val="auto"/>
                <w:kern w:val="2"/>
                <w:sz w:val="24"/>
                <w:szCs w:val="24"/>
                <w:highlight w:val="none"/>
                <w:lang w:val="en-US" w:eastAsia="zh-CN" w:bidi="ar-SA"/>
              </w:rPr>
              <w:t>11:00（北京时间</w:t>
            </w:r>
            <w:r>
              <w:rPr>
                <w:rFonts w:hint="eastAsia" w:ascii="仿宋" w:hAnsi="仿宋" w:eastAsia="仿宋" w:cs="仿宋"/>
                <w:b/>
                <w:bCs/>
                <w:color w:val="auto"/>
                <w:sz w:val="24"/>
                <w:szCs w:val="24"/>
                <w:highlight w:val="none"/>
                <w:lang w:eastAsia="zh-CN"/>
              </w:rPr>
              <w:t>）</w:t>
            </w:r>
          </w:p>
        </w:tc>
      </w:tr>
      <w:tr w14:paraId="16DF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190CCCD9">
            <w:pPr>
              <w:keepLines w:val="0"/>
              <w:pageBreakBefore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22</w:t>
            </w:r>
          </w:p>
        </w:tc>
        <w:tc>
          <w:tcPr>
            <w:tcW w:w="1947" w:type="dxa"/>
            <w:vAlign w:val="center"/>
          </w:tcPr>
          <w:p w14:paraId="67D74AD6">
            <w:pPr>
              <w:keepNext w:val="0"/>
              <w:keepLines w:val="0"/>
              <w:pageBreakBefore w:val="0"/>
              <w:kinsoku/>
              <w:wordWrap/>
              <w:overflowPunct/>
              <w:topLinePunct w:val="0"/>
              <w:autoSpaceDE/>
              <w:autoSpaceDN/>
              <w:bidi w:val="0"/>
              <w:adjustRightInd/>
              <w:snapToGrid w:val="0"/>
              <w:spacing w:line="236"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递交投标文件的地点及方式</w:t>
            </w:r>
          </w:p>
        </w:tc>
        <w:tc>
          <w:tcPr>
            <w:tcW w:w="7542" w:type="dxa"/>
            <w:vAlign w:val="center"/>
          </w:tcPr>
          <w:p w14:paraId="73F7E25F">
            <w:pPr>
              <w:keepNext w:val="0"/>
              <w:keepLines w:val="0"/>
              <w:pageBreakBefore w:val="0"/>
              <w:shd w:val="clear" w:color="auto" w:fill="auto"/>
              <w:kinsoku/>
              <w:wordWrap/>
              <w:overflowPunct/>
              <w:topLinePunct w:val="0"/>
              <w:autoSpaceDE/>
              <w:autoSpaceDN/>
              <w:bidi w:val="0"/>
              <w:snapToGrid w:val="0"/>
              <w:spacing w:line="236" w:lineRule="auto"/>
              <w:jc w:val="left"/>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color w:val="auto"/>
                <w:sz w:val="24"/>
                <w:szCs w:val="24"/>
                <w:highlight w:val="none"/>
              </w:rPr>
              <w:t>开标地点：政采云平台不见面开标大厅（网址：https://www.zcygov.cn/）递交投标文件的地点及方式：</w:t>
            </w:r>
            <w:r>
              <w:rPr>
                <w:rFonts w:hint="eastAsia" w:ascii="仿宋" w:hAnsi="仿宋" w:eastAsia="仿宋" w:cs="仿宋"/>
                <w:bCs/>
                <w:color w:val="auto"/>
                <w:sz w:val="24"/>
                <w:szCs w:val="24"/>
                <w:highlight w:val="none"/>
              </w:rPr>
              <w:t>投标人</w:t>
            </w:r>
            <w:r>
              <w:rPr>
                <w:rFonts w:hint="eastAsia" w:ascii="仿宋" w:hAnsi="仿宋" w:eastAsia="仿宋" w:cs="仿宋"/>
                <w:bCs/>
                <w:color w:val="auto"/>
                <w:sz w:val="24"/>
                <w:szCs w:val="24"/>
                <w:highlight w:val="none"/>
                <w:lang w:eastAsia="zh-CN"/>
              </w:rPr>
              <w:t>应在</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2026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05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12 </w:t>
            </w:r>
            <w:r>
              <w:rPr>
                <w:rFonts w:hint="eastAsia" w:ascii="仿宋" w:hAnsi="仿宋" w:eastAsia="仿宋" w:cs="仿宋"/>
                <w:color w:val="auto"/>
                <w:sz w:val="24"/>
                <w:szCs w:val="24"/>
                <w:highlight w:val="none"/>
                <w:lang w:val="en-US" w:eastAsia="zh-CN"/>
              </w:rPr>
              <w:t>日</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lang w:val="en-US" w:eastAsia="zh-CN"/>
              </w:rPr>
              <w:t xml:space="preserve">11 </w:t>
            </w:r>
            <w:r>
              <w:rPr>
                <w:rFonts w:hint="eastAsia" w:ascii="仿宋" w:hAnsi="仿宋" w:eastAsia="仿宋" w:cs="仿宋"/>
                <w:bCs/>
                <w:color w:val="auto"/>
                <w:sz w:val="24"/>
                <w:szCs w:val="24"/>
                <w:highlight w:val="none"/>
                <w:u w:val="none"/>
              </w:rPr>
              <w:t>点</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00</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none"/>
              </w:rPr>
              <w:t>分</w:t>
            </w:r>
            <w:r>
              <w:rPr>
                <w:rFonts w:hint="eastAsia" w:ascii="仿宋" w:hAnsi="仿宋" w:eastAsia="仿宋" w:cs="仿宋"/>
                <w:bCs/>
                <w:color w:val="auto"/>
                <w:sz w:val="24"/>
                <w:szCs w:val="24"/>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r>
              <w:rPr>
                <w:rFonts w:hint="eastAsia" w:ascii="仿宋" w:hAnsi="仿宋" w:eastAsia="仿宋" w:cs="仿宋"/>
                <w:bCs/>
                <w:color w:val="auto"/>
                <w:sz w:val="24"/>
                <w:szCs w:val="24"/>
                <w:highlight w:val="none"/>
                <w:lang w:val="en-US" w:eastAsia="zh-CN"/>
              </w:rPr>
              <w:t>或95763</w:t>
            </w:r>
            <w:r>
              <w:rPr>
                <w:rFonts w:hint="eastAsia" w:ascii="仿宋" w:hAnsi="仿宋" w:eastAsia="仿宋" w:cs="仿宋"/>
                <w:bCs/>
                <w:color w:val="auto"/>
                <w:sz w:val="24"/>
                <w:szCs w:val="24"/>
                <w:highlight w:val="none"/>
              </w:rPr>
              <w:t>。</w:t>
            </w:r>
          </w:p>
        </w:tc>
      </w:tr>
      <w:tr w14:paraId="7FF5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1B6BDB47">
            <w:pPr>
              <w:keepLines w:val="0"/>
              <w:pageBreakBefore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23</w:t>
            </w:r>
          </w:p>
        </w:tc>
        <w:tc>
          <w:tcPr>
            <w:tcW w:w="1947" w:type="dxa"/>
            <w:vAlign w:val="center"/>
          </w:tcPr>
          <w:p w14:paraId="77FF472E">
            <w:pPr>
              <w:keepNext w:val="0"/>
              <w:keepLines w:val="0"/>
              <w:pageBreakBefore w:val="0"/>
              <w:widowControl w:val="0"/>
              <w:kinsoku/>
              <w:wordWrap/>
              <w:overflowPunct/>
              <w:topLinePunct w:val="0"/>
              <w:autoSpaceDE/>
              <w:autoSpaceDN/>
              <w:bidi w:val="0"/>
              <w:adjustRightInd/>
              <w:snapToGrid/>
              <w:spacing w:line="236" w:lineRule="auto"/>
              <w:ind w:left="0" w:leftChars="0" w:firstLine="0" w:firstLineChars="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响应文件</w:t>
            </w:r>
          </w:p>
          <w:p w14:paraId="4B01CB52">
            <w:pPr>
              <w:keepNext w:val="0"/>
              <w:keepLines w:val="0"/>
              <w:pageBreakBefore w:val="0"/>
              <w:widowControl w:val="0"/>
              <w:kinsoku/>
              <w:wordWrap/>
              <w:overflowPunct/>
              <w:topLinePunct w:val="0"/>
              <w:autoSpaceDE/>
              <w:autoSpaceDN/>
              <w:bidi w:val="0"/>
              <w:adjustRightInd/>
              <w:snapToGrid/>
              <w:spacing w:line="236" w:lineRule="auto"/>
              <w:ind w:left="0" w:leftChars="0" w:firstLine="0" w:firstLineChars="0"/>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color w:val="auto"/>
                <w:sz w:val="24"/>
                <w:szCs w:val="24"/>
                <w:highlight w:val="none"/>
                <w:lang w:eastAsia="zh-CN"/>
              </w:rPr>
              <w:t>解密时间</w:t>
            </w:r>
          </w:p>
        </w:tc>
        <w:tc>
          <w:tcPr>
            <w:tcW w:w="7542" w:type="dxa"/>
            <w:vAlign w:val="center"/>
          </w:tcPr>
          <w:p w14:paraId="22414BE7">
            <w:pPr>
              <w:keepNext w:val="0"/>
              <w:keepLines w:val="0"/>
              <w:pageBreakBefore w:val="0"/>
              <w:widowControl w:val="0"/>
              <w:kinsoku/>
              <w:wordWrap/>
              <w:overflowPunct/>
              <w:topLinePunct w:val="0"/>
              <w:autoSpaceDE/>
              <w:autoSpaceDN/>
              <w:bidi w:val="0"/>
              <w:adjustRightInd/>
              <w:snapToGrid/>
              <w:spacing w:line="236" w:lineRule="auto"/>
              <w:ind w:left="0" w:leftChars="0" w:firstLine="0" w:firstLineChars="0"/>
              <w:jc w:val="left"/>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color w:val="auto"/>
                <w:sz w:val="24"/>
                <w:szCs w:val="24"/>
                <w:highlight w:val="none"/>
              </w:rPr>
              <w:t>开标时间后</w:t>
            </w:r>
            <w:r>
              <w:rPr>
                <w:rFonts w:hint="eastAsia" w:ascii="仿宋" w:hAnsi="仿宋" w:eastAsia="仿宋" w:cs="仿宋"/>
                <w:b/>
                <w:bCs/>
                <w:color w:val="auto"/>
                <w:sz w:val="24"/>
                <w:szCs w:val="24"/>
                <w:highlight w:val="none"/>
                <w:lang w:val="en-US" w:eastAsia="zh-CN"/>
              </w:rPr>
              <w:t>30分钟</w:t>
            </w:r>
            <w:r>
              <w:rPr>
                <w:rFonts w:hint="eastAsia" w:ascii="仿宋" w:hAnsi="仿宋" w:eastAsia="仿宋" w:cs="仿宋"/>
                <w:b/>
                <w:bCs/>
                <w:color w:val="auto"/>
                <w:sz w:val="24"/>
                <w:szCs w:val="24"/>
                <w:highlight w:val="none"/>
              </w:rPr>
              <w:t>内</w:t>
            </w:r>
            <w:r>
              <w:rPr>
                <w:rFonts w:hint="eastAsia" w:ascii="仿宋" w:hAnsi="仿宋" w:eastAsia="仿宋" w:cs="仿宋"/>
                <w:b/>
                <w:bCs w:val="0"/>
                <w:color w:val="auto"/>
                <w:sz w:val="24"/>
                <w:szCs w:val="24"/>
                <w:highlight w:val="none"/>
              </w:rPr>
              <w:t>供应商可以登录“政采云”平台</w:t>
            </w:r>
            <w:r>
              <w:rPr>
                <w:rFonts w:hint="eastAsia" w:ascii="仿宋" w:hAnsi="仿宋" w:eastAsia="仿宋" w:cs="仿宋"/>
                <w:b/>
                <w:bCs w:val="0"/>
                <w:color w:val="auto"/>
                <w:sz w:val="24"/>
                <w:szCs w:val="24"/>
                <w:highlight w:val="none"/>
                <w:lang w:eastAsia="zh-CN"/>
              </w:rPr>
              <w:t>，使</w:t>
            </w:r>
            <w:r>
              <w:rPr>
                <w:rFonts w:hint="eastAsia" w:ascii="仿宋" w:hAnsi="仿宋" w:eastAsia="仿宋" w:cs="仿宋"/>
                <w:b/>
                <w:bCs w:val="0"/>
                <w:color w:val="auto"/>
                <w:sz w:val="24"/>
                <w:szCs w:val="24"/>
                <w:highlight w:val="none"/>
              </w:rPr>
              <w:t>用“项目采购-开标评标”功能进行解密投标文件。若供应商在</w:t>
            </w:r>
            <w:r>
              <w:rPr>
                <w:rFonts w:hint="eastAsia" w:ascii="仿宋" w:hAnsi="仿宋" w:eastAsia="仿宋" w:cs="仿宋"/>
                <w:b/>
                <w:bCs/>
                <w:color w:val="auto"/>
                <w:sz w:val="24"/>
                <w:szCs w:val="24"/>
                <w:highlight w:val="none"/>
              </w:rPr>
              <w:t>开标时间后</w:t>
            </w:r>
            <w:r>
              <w:rPr>
                <w:rFonts w:hint="eastAsia" w:ascii="仿宋" w:hAnsi="仿宋" w:eastAsia="仿宋" w:cs="仿宋"/>
                <w:b/>
                <w:bCs/>
                <w:color w:val="auto"/>
                <w:sz w:val="24"/>
                <w:szCs w:val="24"/>
                <w:highlight w:val="none"/>
                <w:lang w:val="en-US" w:eastAsia="zh-CN"/>
              </w:rPr>
              <w:t>30分钟</w:t>
            </w:r>
            <w:r>
              <w:rPr>
                <w:rFonts w:hint="eastAsia" w:ascii="仿宋" w:hAnsi="仿宋" w:eastAsia="仿宋" w:cs="仿宋"/>
                <w:b/>
                <w:bCs/>
                <w:color w:val="auto"/>
                <w:sz w:val="24"/>
                <w:szCs w:val="24"/>
                <w:highlight w:val="none"/>
              </w:rPr>
              <w:t>内</w:t>
            </w:r>
            <w:r>
              <w:rPr>
                <w:rFonts w:hint="eastAsia" w:ascii="仿宋" w:hAnsi="仿宋" w:eastAsia="仿宋" w:cs="仿宋"/>
                <w:b/>
                <w:bCs w:val="0"/>
                <w:color w:val="auto"/>
                <w:sz w:val="24"/>
                <w:szCs w:val="24"/>
                <w:highlight w:val="none"/>
              </w:rPr>
              <w:t>未按时解密的，视为投标文件撤回</w:t>
            </w:r>
            <w:r>
              <w:rPr>
                <w:rFonts w:hint="eastAsia" w:ascii="仿宋" w:hAnsi="仿宋" w:eastAsia="仿宋" w:cs="仿宋"/>
                <w:b/>
                <w:bCs/>
                <w:color w:val="auto"/>
                <w:sz w:val="24"/>
                <w:szCs w:val="24"/>
                <w:highlight w:val="none"/>
              </w:rPr>
              <w:t>。</w:t>
            </w:r>
          </w:p>
        </w:tc>
      </w:tr>
      <w:tr w14:paraId="58CB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1C6CF1FA">
            <w:pPr>
              <w:keepLines w:val="0"/>
              <w:pageBreakBefore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24</w:t>
            </w:r>
          </w:p>
        </w:tc>
        <w:tc>
          <w:tcPr>
            <w:tcW w:w="1947" w:type="dxa"/>
            <w:vAlign w:val="center"/>
          </w:tcPr>
          <w:p w14:paraId="307F27B0">
            <w:pPr>
              <w:keepLines w:val="0"/>
              <w:pageBreakBefore w:val="0"/>
              <w:widowControl/>
              <w:kinsoku/>
              <w:wordWrap/>
              <w:overflowPunct/>
              <w:topLinePunct w:val="0"/>
              <w:bidi w:val="0"/>
              <w:adjustRightInd/>
              <w:snapToGrid w:val="0"/>
              <w:spacing w:line="236" w:lineRule="auto"/>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评标委员</w:t>
            </w:r>
          </w:p>
          <w:p w14:paraId="440BD7A1">
            <w:pPr>
              <w:keepLines w:val="0"/>
              <w:pageBreakBefore w:val="0"/>
              <w:widowControl/>
              <w:kinsoku/>
              <w:wordWrap/>
              <w:overflowPunct/>
              <w:topLinePunct w:val="0"/>
              <w:bidi w:val="0"/>
              <w:adjustRightInd/>
              <w:snapToGrid w:val="0"/>
              <w:spacing w:line="236" w:lineRule="auto"/>
              <w:jc w:val="center"/>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val="0"/>
                <w:bCs w:val="0"/>
                <w:color w:val="auto"/>
                <w:kern w:val="0"/>
                <w:sz w:val="24"/>
                <w:szCs w:val="24"/>
                <w:highlight w:val="none"/>
                <w:lang w:val="en-US" w:eastAsia="zh-CN"/>
              </w:rPr>
              <w:t>会的组成</w:t>
            </w:r>
          </w:p>
        </w:tc>
        <w:tc>
          <w:tcPr>
            <w:tcW w:w="7542" w:type="dxa"/>
            <w:vAlign w:val="center"/>
          </w:tcPr>
          <w:p w14:paraId="040A61C1">
            <w:pPr>
              <w:keepLines w:val="0"/>
              <w:pageBreakBefore w:val="0"/>
              <w:widowControl/>
              <w:kinsoku/>
              <w:wordWrap/>
              <w:overflowPunct/>
              <w:topLinePunct w:val="0"/>
              <w:bidi w:val="0"/>
              <w:adjustRightInd/>
              <w:snapToGrid w:val="0"/>
              <w:spacing w:line="236" w:lineRule="auto"/>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评标委员会的构成：</w:t>
            </w:r>
            <w:r>
              <w:rPr>
                <w:rFonts w:hint="eastAsia" w:ascii="仿宋" w:hAnsi="仿宋" w:eastAsia="仿宋" w:cs="仿宋"/>
                <w:b w:val="0"/>
                <w:bCs w:val="0"/>
                <w:color w:val="auto"/>
                <w:kern w:val="0"/>
                <w:sz w:val="24"/>
                <w:szCs w:val="24"/>
                <w:highlight w:val="none"/>
                <w:u w:val="single"/>
                <w:lang w:val="en-US" w:eastAsia="zh-CN"/>
              </w:rPr>
              <w:t xml:space="preserve"> 5 </w:t>
            </w:r>
            <w:r>
              <w:rPr>
                <w:rFonts w:hint="eastAsia" w:ascii="仿宋" w:hAnsi="仿宋" w:eastAsia="仿宋" w:cs="仿宋"/>
                <w:b w:val="0"/>
                <w:bCs w:val="0"/>
                <w:color w:val="auto"/>
                <w:kern w:val="0"/>
                <w:sz w:val="24"/>
                <w:szCs w:val="24"/>
                <w:highlight w:val="none"/>
                <w:lang w:val="en-US" w:eastAsia="zh-CN"/>
              </w:rPr>
              <w:t>人或</w:t>
            </w:r>
            <w:r>
              <w:rPr>
                <w:rFonts w:hint="eastAsia" w:ascii="仿宋" w:hAnsi="仿宋" w:eastAsia="仿宋" w:cs="仿宋"/>
                <w:b w:val="0"/>
                <w:bCs w:val="0"/>
                <w:color w:val="auto"/>
                <w:kern w:val="0"/>
                <w:sz w:val="24"/>
                <w:szCs w:val="24"/>
                <w:highlight w:val="none"/>
                <w:u w:val="single"/>
                <w:lang w:val="en-US" w:eastAsia="zh-CN"/>
              </w:rPr>
              <w:t xml:space="preserve"> 5 </w:t>
            </w:r>
            <w:r>
              <w:rPr>
                <w:rFonts w:hint="eastAsia" w:ascii="仿宋" w:hAnsi="仿宋" w:eastAsia="仿宋" w:cs="仿宋"/>
                <w:b w:val="0"/>
                <w:bCs w:val="0"/>
                <w:color w:val="auto"/>
                <w:kern w:val="0"/>
                <w:sz w:val="24"/>
                <w:szCs w:val="24"/>
                <w:highlight w:val="none"/>
                <w:lang w:val="en-US" w:eastAsia="zh-CN"/>
              </w:rPr>
              <w:t>人以上单数组成（其中采购人代表</w:t>
            </w:r>
            <w:r>
              <w:rPr>
                <w:rFonts w:hint="eastAsia" w:ascii="仿宋" w:hAnsi="仿宋" w:eastAsia="仿宋" w:cs="仿宋"/>
                <w:b w:val="0"/>
                <w:bCs w:val="0"/>
                <w:color w:val="auto"/>
                <w:kern w:val="0"/>
                <w:sz w:val="24"/>
                <w:szCs w:val="24"/>
                <w:highlight w:val="none"/>
                <w:u w:val="single"/>
                <w:lang w:val="en-US" w:eastAsia="zh-CN"/>
              </w:rPr>
              <w:t xml:space="preserve"> 1</w:t>
            </w:r>
            <w:r>
              <w:rPr>
                <w:rFonts w:hint="eastAsia" w:ascii="仿宋" w:hAnsi="仿宋" w:eastAsia="仿宋" w:cs="仿宋"/>
                <w:b w:val="0"/>
                <w:bCs w:val="0"/>
                <w:color w:val="auto"/>
                <w:kern w:val="0"/>
                <w:sz w:val="24"/>
                <w:szCs w:val="24"/>
                <w:highlight w:val="none"/>
                <w:lang w:val="en-US" w:eastAsia="zh-CN"/>
              </w:rPr>
              <w:t>人，评审专家</w:t>
            </w:r>
            <w:r>
              <w:rPr>
                <w:rFonts w:hint="eastAsia" w:ascii="仿宋" w:hAnsi="仿宋" w:eastAsia="仿宋" w:cs="仿宋"/>
                <w:b w:val="0"/>
                <w:bCs w:val="0"/>
                <w:color w:val="auto"/>
                <w:kern w:val="0"/>
                <w:sz w:val="24"/>
                <w:szCs w:val="24"/>
                <w:highlight w:val="none"/>
                <w:u w:val="single"/>
                <w:lang w:val="en-US" w:eastAsia="zh-CN"/>
              </w:rPr>
              <w:t xml:space="preserve"> 4 </w:t>
            </w:r>
            <w:r>
              <w:rPr>
                <w:rFonts w:hint="eastAsia" w:ascii="仿宋" w:hAnsi="仿宋" w:eastAsia="仿宋" w:cs="仿宋"/>
                <w:b w:val="0"/>
                <w:bCs w:val="0"/>
                <w:color w:val="auto"/>
                <w:kern w:val="0"/>
                <w:sz w:val="24"/>
                <w:szCs w:val="24"/>
                <w:highlight w:val="none"/>
                <w:lang w:val="en-US" w:eastAsia="zh-CN"/>
              </w:rPr>
              <w:t>人）；</w:t>
            </w:r>
          </w:p>
          <w:p w14:paraId="6FCDD691">
            <w:pPr>
              <w:keepLines w:val="0"/>
              <w:pageBreakBefore w:val="0"/>
              <w:widowControl/>
              <w:kinsoku/>
              <w:wordWrap/>
              <w:overflowPunct/>
              <w:topLinePunct w:val="0"/>
              <w:bidi w:val="0"/>
              <w:adjustRightInd/>
              <w:snapToGrid w:val="0"/>
              <w:spacing w:line="236" w:lineRule="auto"/>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评标专家确定方式：由招标</w:t>
            </w:r>
            <w:r>
              <w:rPr>
                <w:rFonts w:hint="eastAsia" w:ascii="仿宋" w:hAnsi="仿宋" w:eastAsia="仿宋" w:cs="仿宋"/>
                <w:color w:val="auto"/>
                <w:kern w:val="0"/>
                <w:sz w:val="24"/>
                <w:szCs w:val="24"/>
                <w:highlight w:val="none"/>
                <w:lang w:val="en-US" w:eastAsia="zh-CN"/>
              </w:rPr>
              <w:t>代理机构在开标前</w:t>
            </w:r>
            <w:r>
              <w:rPr>
                <w:rFonts w:hint="eastAsia" w:ascii="仿宋" w:hAnsi="仿宋" w:eastAsia="仿宋" w:cs="仿宋"/>
                <w:color w:val="auto"/>
                <w:kern w:val="0"/>
                <w:sz w:val="24"/>
                <w:szCs w:val="24"/>
                <w:highlight w:val="none"/>
                <w:u w:val="single"/>
                <w:lang w:val="en-US" w:eastAsia="zh-CN"/>
              </w:rPr>
              <w:t xml:space="preserve"> 48 </w:t>
            </w:r>
            <w:r>
              <w:rPr>
                <w:rFonts w:hint="eastAsia" w:ascii="仿宋" w:hAnsi="仿宋" w:eastAsia="仿宋" w:cs="仿宋"/>
                <w:color w:val="auto"/>
                <w:kern w:val="0"/>
                <w:sz w:val="24"/>
                <w:szCs w:val="24"/>
                <w:highlight w:val="none"/>
                <w:lang w:val="en-US" w:eastAsia="zh-CN"/>
              </w:rPr>
              <w:t>小时在政采云专家库中随机抽取此次评标专家。</w:t>
            </w:r>
          </w:p>
        </w:tc>
      </w:tr>
      <w:tr w14:paraId="7616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238EA1CD">
            <w:pPr>
              <w:keepLines w:val="0"/>
              <w:pageBreakBefore w:val="0"/>
              <w:kinsoku/>
              <w:wordWrap/>
              <w:overflowPunct/>
              <w:topLinePunct w:val="0"/>
              <w:bidi w:val="0"/>
              <w:adjustRightInd/>
              <w:snapToGrid w:val="0"/>
              <w:spacing w:line="236" w:lineRule="auto"/>
              <w:ind w:left="0" w:leftChars="0" w:right="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25</w:t>
            </w:r>
          </w:p>
        </w:tc>
        <w:tc>
          <w:tcPr>
            <w:tcW w:w="1947" w:type="dxa"/>
            <w:vAlign w:val="center"/>
          </w:tcPr>
          <w:p w14:paraId="6F0A8F02">
            <w:pPr>
              <w:keepNext w:val="0"/>
              <w:keepLines w:val="0"/>
              <w:pageBreakBefore w:val="0"/>
              <w:widowControl w:val="0"/>
              <w:kinsoku/>
              <w:wordWrap/>
              <w:overflowPunct/>
              <w:topLinePunct w:val="0"/>
              <w:autoSpaceDE/>
              <w:autoSpaceDN/>
              <w:bidi w:val="0"/>
              <w:adjustRightInd w:val="0"/>
              <w:snapToGrid w:val="0"/>
              <w:spacing w:line="236"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招标代理费</w:t>
            </w:r>
          </w:p>
        </w:tc>
        <w:tc>
          <w:tcPr>
            <w:tcW w:w="7542" w:type="dxa"/>
            <w:vAlign w:val="center"/>
          </w:tcPr>
          <w:p w14:paraId="46FE64DA">
            <w:pPr>
              <w:keepNext w:val="0"/>
              <w:keepLines w:val="0"/>
              <w:pageBreakBefore w:val="0"/>
              <w:kinsoku/>
              <w:wordWrap/>
              <w:overflowPunct/>
              <w:topLinePunct w:val="0"/>
              <w:autoSpaceDE/>
              <w:autoSpaceDN/>
              <w:bidi w:val="0"/>
              <w:adjustRightInd w:val="0"/>
              <w:snapToGrid w:val="0"/>
              <w:spacing w:line="236" w:lineRule="auto"/>
              <w:ind w:left="0" w:leftChars="0" w:right="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本次招标代理服务费由中标企业支付，</w:t>
            </w:r>
            <w:r>
              <w:rPr>
                <w:rFonts w:hint="eastAsia" w:ascii="仿宋" w:hAnsi="仿宋" w:eastAsia="仿宋" w:cs="仿宋"/>
                <w:bCs/>
                <w:color w:val="auto"/>
                <w:sz w:val="24"/>
                <w:szCs w:val="24"/>
                <w:highlight w:val="none"/>
                <w:lang w:val="en-US" w:eastAsia="zh-CN"/>
              </w:rPr>
              <w:t>参照</w:t>
            </w:r>
            <w:r>
              <w:rPr>
                <w:rFonts w:hint="eastAsia" w:ascii="仿宋" w:hAnsi="仿宋" w:eastAsia="仿宋" w:cs="仿宋"/>
                <w:bCs/>
                <w:color w:val="auto"/>
                <w:sz w:val="24"/>
                <w:szCs w:val="24"/>
                <w:highlight w:val="none"/>
              </w:rPr>
              <w:t>国家计委关于印发《招标代理服务收费管理暂行办法》的通知（计价格[2002]1980号）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在此基础上下浮30%为</w:t>
            </w: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val="en-US" w:eastAsia="zh-CN"/>
              </w:rPr>
              <w:t>最终</w:t>
            </w:r>
            <w:r>
              <w:rPr>
                <w:rFonts w:hint="eastAsia" w:ascii="仿宋" w:hAnsi="仿宋" w:eastAsia="仿宋" w:cs="仿宋"/>
                <w:bCs/>
                <w:color w:val="auto"/>
                <w:sz w:val="24"/>
                <w:szCs w:val="24"/>
                <w:highlight w:val="none"/>
              </w:rPr>
              <w:t>招标代理服务费</w:t>
            </w:r>
            <w:r>
              <w:rPr>
                <w:rFonts w:hint="eastAsia" w:ascii="仿宋" w:hAnsi="仿宋" w:eastAsia="仿宋" w:cs="仿宋"/>
                <w:bCs/>
                <w:color w:val="auto"/>
                <w:sz w:val="24"/>
                <w:szCs w:val="24"/>
                <w:highlight w:val="none"/>
                <w:lang w:eastAsia="zh-CN"/>
              </w:rPr>
              <w:t>；</w:t>
            </w:r>
          </w:p>
          <w:p w14:paraId="5E5B7326">
            <w:pPr>
              <w:keepNext w:val="0"/>
              <w:keepLines w:val="0"/>
              <w:pageBreakBefore w:val="0"/>
              <w:kinsoku/>
              <w:wordWrap/>
              <w:overflowPunct/>
              <w:topLinePunct w:val="0"/>
              <w:autoSpaceDE/>
              <w:autoSpaceDN/>
              <w:bidi w:val="0"/>
              <w:adjustRightInd w:val="0"/>
              <w:snapToGrid w:val="0"/>
              <w:spacing w:line="236"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eastAsia="zh-CN"/>
              </w:rPr>
              <w:t>中标企业在领取中标通知书时一次性足额支付！</w:t>
            </w:r>
          </w:p>
        </w:tc>
      </w:tr>
      <w:tr w14:paraId="6493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2681C1F2">
            <w:pPr>
              <w:keepLines w:val="0"/>
              <w:pageBreakBefore w:val="0"/>
              <w:widowControl w:val="0"/>
              <w:kinsoku/>
              <w:wordWrap/>
              <w:overflowPunct/>
              <w:topLinePunct w:val="0"/>
              <w:bidi w:val="0"/>
              <w:adjustRightInd/>
              <w:snapToGrid w:val="0"/>
              <w:spacing w:line="236"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26</w:t>
            </w:r>
          </w:p>
        </w:tc>
        <w:tc>
          <w:tcPr>
            <w:tcW w:w="1947" w:type="dxa"/>
            <w:vAlign w:val="center"/>
          </w:tcPr>
          <w:p w14:paraId="68BD0753">
            <w:pPr>
              <w:keepNext w:val="0"/>
              <w:keepLines w:val="0"/>
              <w:pageBreakBefore w:val="0"/>
              <w:widowControl w:val="0"/>
              <w:kinsoku/>
              <w:wordWrap/>
              <w:overflowPunct/>
              <w:topLinePunct w:val="0"/>
              <w:autoSpaceDE/>
              <w:autoSpaceDN/>
              <w:bidi w:val="0"/>
              <w:adjustRightInd/>
              <w:snapToGrid w:val="0"/>
              <w:spacing w:line="288" w:lineRule="auto"/>
              <w:ind w:left="0" w:leftChars="0" w:right="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本项目评标办法</w:t>
            </w:r>
          </w:p>
        </w:tc>
        <w:tc>
          <w:tcPr>
            <w:tcW w:w="7542" w:type="dxa"/>
            <w:vAlign w:val="center"/>
          </w:tcPr>
          <w:p w14:paraId="3280BE93">
            <w:pPr>
              <w:keepNext w:val="0"/>
              <w:keepLines w:val="0"/>
              <w:pageBreakBefore w:val="0"/>
              <w:widowControl w:val="0"/>
              <w:kinsoku/>
              <w:wordWrap/>
              <w:overflowPunct/>
              <w:topLinePunct w:val="0"/>
              <w:autoSpaceDE/>
              <w:autoSpaceDN/>
              <w:bidi w:val="0"/>
              <w:adjustRightInd/>
              <w:snapToGrid w:val="0"/>
              <w:spacing w:line="288" w:lineRule="auto"/>
              <w:ind w:left="0" w:leftChars="0" w:right="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综合评分法</w:t>
            </w:r>
          </w:p>
        </w:tc>
      </w:tr>
      <w:tr w14:paraId="7B92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27242CBC">
            <w:pPr>
              <w:keepLines w:val="0"/>
              <w:pageBreakBefore w:val="0"/>
              <w:kinsoku/>
              <w:wordWrap/>
              <w:overflowPunct/>
              <w:topLinePunct w:val="0"/>
              <w:bidi w:val="0"/>
              <w:adjustRightInd/>
              <w:snapToGrid w:val="0"/>
              <w:spacing w:line="236" w:lineRule="auto"/>
              <w:ind w:left="0" w:leftChars="0" w:right="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27</w:t>
            </w:r>
          </w:p>
        </w:tc>
        <w:tc>
          <w:tcPr>
            <w:tcW w:w="1947" w:type="dxa"/>
            <w:vAlign w:val="center"/>
          </w:tcPr>
          <w:p w14:paraId="56F4D215">
            <w:pPr>
              <w:keepNext w:val="0"/>
              <w:keepLines w:val="0"/>
              <w:pageBreakBefore w:val="0"/>
              <w:kinsoku/>
              <w:wordWrap/>
              <w:overflowPunct/>
              <w:topLinePunct w:val="0"/>
              <w:autoSpaceDE/>
              <w:autoSpaceDN/>
              <w:bidi w:val="0"/>
              <w:adjustRightInd w:val="0"/>
              <w:snapToGrid w:val="0"/>
              <w:spacing w:line="231" w:lineRule="auto"/>
              <w:ind w:left="0" w:leftChars="0" w:right="0" w:rightChars="0"/>
              <w:jc w:val="center"/>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不予退还保证金的情形</w:t>
            </w:r>
          </w:p>
        </w:tc>
        <w:tc>
          <w:tcPr>
            <w:tcW w:w="7542" w:type="dxa"/>
            <w:vAlign w:val="center"/>
          </w:tcPr>
          <w:p w14:paraId="1D9C8E52">
            <w:pPr>
              <w:keepNext w:val="0"/>
              <w:keepLines w:val="0"/>
              <w:pageBreakBefore w:val="0"/>
              <w:kinsoku/>
              <w:wordWrap/>
              <w:overflowPunct/>
              <w:topLinePunct w:val="0"/>
              <w:autoSpaceDE/>
              <w:autoSpaceDN/>
              <w:bidi w:val="0"/>
              <w:adjustRightInd w:val="0"/>
              <w:snapToGrid w:val="0"/>
              <w:spacing w:line="231"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有下列情形之一的，保证金不予退还：</w:t>
            </w:r>
          </w:p>
          <w:p w14:paraId="29C77A48">
            <w:pPr>
              <w:keepNext w:val="0"/>
              <w:keepLines w:val="0"/>
              <w:pageBreakBefore w:val="0"/>
              <w:kinsoku/>
              <w:wordWrap/>
              <w:overflowPunct/>
              <w:topLinePunct w:val="0"/>
              <w:autoSpaceDE/>
              <w:autoSpaceDN/>
              <w:bidi w:val="0"/>
              <w:adjustRightInd w:val="0"/>
              <w:snapToGrid w:val="0"/>
              <w:spacing w:line="231"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（1）供应商在提交投标文件截止时间后撤回投标文件的；</w:t>
            </w:r>
          </w:p>
          <w:p w14:paraId="33131152">
            <w:pPr>
              <w:keepNext w:val="0"/>
              <w:keepLines w:val="0"/>
              <w:pageBreakBefore w:val="0"/>
              <w:kinsoku/>
              <w:wordWrap/>
              <w:overflowPunct/>
              <w:topLinePunct w:val="0"/>
              <w:autoSpaceDE/>
              <w:autoSpaceDN/>
              <w:bidi w:val="0"/>
              <w:adjustRightInd w:val="0"/>
              <w:snapToGrid w:val="0"/>
              <w:spacing w:line="231"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（2）供应商在投标文件中提供虚假材料的；</w:t>
            </w:r>
          </w:p>
          <w:p w14:paraId="2384D44A">
            <w:pPr>
              <w:keepNext w:val="0"/>
              <w:keepLines w:val="0"/>
              <w:pageBreakBefore w:val="0"/>
              <w:kinsoku/>
              <w:wordWrap/>
              <w:overflowPunct/>
              <w:topLinePunct w:val="0"/>
              <w:autoSpaceDE/>
              <w:autoSpaceDN/>
              <w:bidi w:val="0"/>
              <w:adjustRightInd w:val="0"/>
              <w:snapToGrid w:val="0"/>
              <w:spacing w:line="231"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（3）除因不可抗力或招标文件认可的情形以外，成交供应商不与采购人签订合同的；</w:t>
            </w:r>
          </w:p>
          <w:p w14:paraId="3E2FE00F">
            <w:pPr>
              <w:keepNext w:val="0"/>
              <w:keepLines w:val="0"/>
              <w:pageBreakBefore w:val="0"/>
              <w:kinsoku/>
              <w:wordWrap/>
              <w:overflowPunct/>
              <w:topLinePunct w:val="0"/>
              <w:autoSpaceDE/>
              <w:autoSpaceDN/>
              <w:bidi w:val="0"/>
              <w:adjustRightInd w:val="0"/>
              <w:snapToGrid w:val="0"/>
              <w:spacing w:line="231"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（4）供应商与采购人、其他供应商或者采购代理机构恶意串通的；</w:t>
            </w:r>
          </w:p>
          <w:p w14:paraId="49D20589">
            <w:pPr>
              <w:keepNext w:val="0"/>
              <w:keepLines w:val="0"/>
              <w:pageBreakBefore w:val="0"/>
              <w:kinsoku/>
              <w:wordWrap/>
              <w:overflowPunct/>
              <w:topLinePunct w:val="0"/>
              <w:autoSpaceDE/>
              <w:autoSpaceDN/>
              <w:bidi w:val="0"/>
              <w:adjustRightInd w:val="0"/>
              <w:snapToGrid w:val="0"/>
              <w:spacing w:line="231" w:lineRule="auto"/>
              <w:ind w:left="0" w:leftChars="0" w:right="0" w:rightChars="0"/>
              <w:jc w:val="left"/>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（5）招标文件规定的其他情形。</w:t>
            </w:r>
          </w:p>
        </w:tc>
      </w:tr>
      <w:tr w14:paraId="6E6B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4A4C09FA">
            <w:pPr>
              <w:keepLines w:val="0"/>
              <w:pageBreakBefore w:val="0"/>
              <w:kinsoku/>
              <w:wordWrap/>
              <w:overflowPunct/>
              <w:topLinePunct w:val="0"/>
              <w:bidi w:val="0"/>
              <w:adjustRightInd/>
              <w:snapToGrid w:val="0"/>
              <w:spacing w:line="236" w:lineRule="auto"/>
              <w:ind w:left="0" w:leftChars="0" w:right="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28</w:t>
            </w:r>
          </w:p>
        </w:tc>
        <w:tc>
          <w:tcPr>
            <w:tcW w:w="1947" w:type="dxa"/>
            <w:vAlign w:val="center"/>
          </w:tcPr>
          <w:p w14:paraId="54174F34">
            <w:pPr>
              <w:keepNext w:val="0"/>
              <w:keepLines w:val="0"/>
              <w:pageBreakBefore w:val="0"/>
              <w:widowControl w:val="0"/>
              <w:kinsoku/>
              <w:wordWrap/>
              <w:overflowPunct/>
              <w:topLinePunct w:val="0"/>
              <w:autoSpaceDE/>
              <w:autoSpaceDN/>
              <w:bidi w:val="0"/>
              <w:adjustRightInd w:val="0"/>
              <w:snapToGrid w:val="0"/>
              <w:spacing w:line="231"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履约保证金</w:t>
            </w:r>
          </w:p>
        </w:tc>
        <w:tc>
          <w:tcPr>
            <w:tcW w:w="7542" w:type="dxa"/>
            <w:vAlign w:val="center"/>
          </w:tcPr>
          <w:p w14:paraId="352F60B2">
            <w:pPr>
              <w:keepNext w:val="0"/>
              <w:keepLines w:val="0"/>
              <w:pageBreakBefore w:val="0"/>
              <w:widowControl w:val="0"/>
              <w:kinsoku/>
              <w:wordWrap/>
              <w:overflowPunct/>
              <w:topLinePunct w:val="0"/>
              <w:autoSpaceDE/>
              <w:autoSpaceDN/>
              <w:bidi w:val="0"/>
              <w:adjustRightInd w:val="0"/>
              <w:snapToGrid w:val="0"/>
              <w:spacing w:line="231" w:lineRule="auto"/>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根据《中华人民共和国政府采购法实施条例》第四十八条  履约保证金的数额不得超过政府采购合同金额的10%（具体金额以合同约定为准）。中标人与招标人签订合同前提交履约保证金，如中标人未按招标文件规定</w:t>
            </w:r>
            <w:r>
              <w:rPr>
                <w:rFonts w:hint="eastAsia" w:ascii="仿宋" w:hAnsi="仿宋" w:eastAsia="仿宋" w:cs="仿宋"/>
                <w:color w:val="auto"/>
                <w:kern w:val="0"/>
                <w:sz w:val="24"/>
                <w:szCs w:val="24"/>
                <w:highlight w:val="none"/>
                <w:lang w:val="en-US" w:eastAsia="zh-CN" w:bidi="ar"/>
              </w:rPr>
              <w:t>的工期服务、实施过程中的变更、验收配合等服务完毕，则扣除履约保证金</w:t>
            </w:r>
            <w:r>
              <w:rPr>
                <w:rFonts w:hint="eastAsia" w:ascii="仿宋" w:hAnsi="仿宋" w:eastAsia="仿宋" w:cs="仿宋"/>
                <w:color w:val="auto"/>
                <w:sz w:val="24"/>
                <w:szCs w:val="24"/>
                <w:highlight w:val="none"/>
                <w:lang w:val="en-US" w:eastAsia="zh-CN"/>
              </w:rPr>
              <w:t>。</w:t>
            </w:r>
          </w:p>
        </w:tc>
      </w:tr>
      <w:tr w14:paraId="6673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36E8AF3C">
            <w:pPr>
              <w:keepLines w:val="0"/>
              <w:pageBreakBefore w:val="0"/>
              <w:kinsoku/>
              <w:wordWrap/>
              <w:overflowPunct/>
              <w:topLinePunct w:val="0"/>
              <w:bidi w:val="0"/>
              <w:adjustRightInd/>
              <w:snapToGrid w:val="0"/>
              <w:spacing w:line="236" w:lineRule="auto"/>
              <w:ind w:left="0" w:leftChars="0" w:right="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29</w:t>
            </w:r>
          </w:p>
        </w:tc>
        <w:tc>
          <w:tcPr>
            <w:tcW w:w="1947" w:type="dxa"/>
            <w:vAlign w:val="center"/>
          </w:tcPr>
          <w:p w14:paraId="521AC7A0">
            <w:pPr>
              <w:keepNext w:val="0"/>
              <w:keepLines w:val="0"/>
              <w:pageBreakBefore w:val="0"/>
              <w:widowControl w:val="0"/>
              <w:kinsoku/>
              <w:wordWrap/>
              <w:overflowPunct/>
              <w:topLinePunct w:val="0"/>
              <w:autoSpaceDE/>
              <w:autoSpaceDN/>
              <w:bidi w:val="0"/>
              <w:adjustRightInd w:val="0"/>
              <w:snapToGrid w:val="0"/>
              <w:spacing w:line="231" w:lineRule="auto"/>
              <w:ind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政府采购政策</w:t>
            </w:r>
          </w:p>
          <w:p w14:paraId="4790529F">
            <w:pPr>
              <w:keepNext w:val="0"/>
              <w:keepLines w:val="0"/>
              <w:pageBreakBefore w:val="0"/>
              <w:widowControl w:val="0"/>
              <w:kinsoku/>
              <w:wordWrap/>
              <w:overflowPunct/>
              <w:topLinePunct w:val="0"/>
              <w:autoSpaceDE/>
              <w:autoSpaceDN/>
              <w:bidi w:val="0"/>
              <w:adjustRightInd w:val="0"/>
              <w:snapToGrid w:val="0"/>
              <w:spacing w:line="231" w:lineRule="auto"/>
              <w:ind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支持</w:t>
            </w:r>
          </w:p>
        </w:tc>
        <w:tc>
          <w:tcPr>
            <w:tcW w:w="7542" w:type="dxa"/>
            <w:vAlign w:val="top"/>
          </w:tcPr>
          <w:p w14:paraId="0AF8167B">
            <w:pPr>
              <w:keepNext w:val="0"/>
              <w:keepLines w:val="0"/>
              <w:pageBreakBefore w:val="0"/>
              <w:kinsoku/>
              <w:wordWrap/>
              <w:overflowPunct/>
              <w:topLinePunct w:val="0"/>
              <w:autoSpaceDE/>
              <w:autoSpaceDN/>
              <w:bidi w:val="0"/>
              <w:adjustRightInd w:val="0"/>
              <w:snapToGrid w:val="0"/>
              <w:spacing w:line="231" w:lineRule="auto"/>
              <w:ind w:right="0"/>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w:t>
            </w:r>
            <w:r>
              <w:rPr>
                <w:rFonts w:hint="eastAsia" w:ascii="仿宋" w:hAnsi="仿宋" w:eastAsia="仿宋" w:cs="仿宋"/>
                <w:b w:val="0"/>
                <w:bCs w:val="0"/>
                <w:color w:val="auto"/>
                <w:kern w:val="0"/>
                <w:sz w:val="24"/>
                <w:szCs w:val="24"/>
                <w:highlight w:val="none"/>
                <w:lang w:val="en-US" w:eastAsia="zh-CN" w:bidi="ar"/>
              </w:rPr>
              <w:t xml:space="preserve">根据（1）财政部、工业和信息化部《关于印发《政府采购促进中小（微）企业发展管理办法》的通知》（财库[2020]46号文）《关于进一步加大政府采购支持中小（微）企业力度的通知》（财库[2022]19号文）； </w:t>
            </w:r>
          </w:p>
          <w:p w14:paraId="76C7B70F">
            <w:pPr>
              <w:keepNext w:val="0"/>
              <w:keepLines w:val="0"/>
              <w:pageBreakBefore w:val="0"/>
              <w:kinsoku/>
              <w:wordWrap/>
              <w:overflowPunct/>
              <w:topLinePunct w:val="0"/>
              <w:autoSpaceDE/>
              <w:autoSpaceDN/>
              <w:bidi w:val="0"/>
              <w:adjustRightInd w:val="0"/>
              <w:snapToGrid w:val="0"/>
              <w:spacing w:line="231" w:lineRule="auto"/>
              <w:ind w:right="0"/>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（2）财政部、民政部、中国残疾人联合会《关于促进残疾人就业政府采购政策的通知》（财库[2017]141号）；  </w:t>
            </w:r>
          </w:p>
          <w:p w14:paraId="4EB907C6">
            <w:pPr>
              <w:keepNext w:val="0"/>
              <w:keepLines w:val="0"/>
              <w:pageBreakBefore w:val="0"/>
              <w:widowControl w:val="0"/>
              <w:kinsoku/>
              <w:wordWrap/>
              <w:overflowPunct/>
              <w:topLinePunct w:val="0"/>
              <w:autoSpaceDE/>
              <w:autoSpaceDN/>
              <w:bidi w:val="0"/>
              <w:adjustRightInd w:val="0"/>
              <w:snapToGrid w:val="0"/>
              <w:spacing w:line="231" w:lineRule="auto"/>
              <w:ind w:left="0" w:leftChars="0" w:right="0" w:firstLine="0" w:firstLineChars="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（3）财政部、司法部《关于政府采购支持JY企业发展有关问题的通知》（财库[2014]68号文）等有关法律法规执行</w:t>
            </w:r>
            <w:r>
              <w:rPr>
                <w:rFonts w:hint="eastAsia" w:ascii="仿宋" w:hAnsi="仿宋" w:eastAsia="仿宋" w:cs="仿宋"/>
                <w:color w:val="auto"/>
                <w:kern w:val="0"/>
                <w:sz w:val="24"/>
                <w:szCs w:val="24"/>
                <w:highlight w:val="none"/>
                <w:lang w:val="en-US" w:eastAsia="zh-CN" w:bidi="ar"/>
              </w:rPr>
              <w:t xml:space="preserve">； </w:t>
            </w:r>
          </w:p>
          <w:p w14:paraId="54574F4F">
            <w:pPr>
              <w:keepNext w:val="0"/>
              <w:keepLines w:val="0"/>
              <w:pageBreakBefore w:val="0"/>
              <w:widowControl w:val="0"/>
              <w:kinsoku/>
              <w:wordWrap/>
              <w:overflowPunct/>
              <w:topLinePunct w:val="0"/>
              <w:autoSpaceDE/>
              <w:autoSpaceDN/>
              <w:bidi w:val="0"/>
              <w:adjustRightInd w:val="0"/>
              <w:snapToGrid w:val="0"/>
              <w:spacing w:line="231" w:lineRule="auto"/>
              <w:ind w:right="0" w:righ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二、根据新财购【2022】22号文件中关于“中小企业划型标准规定”，</w:t>
            </w:r>
            <w:r>
              <w:rPr>
                <w:rFonts w:hint="eastAsia" w:ascii="仿宋" w:hAnsi="仿宋" w:eastAsia="仿宋" w:cs="仿宋"/>
                <w:b/>
                <w:bCs/>
                <w:color w:val="auto"/>
                <w:sz w:val="24"/>
                <w:szCs w:val="24"/>
                <w:highlight w:val="none"/>
                <w:lang w:val="en-US" w:eastAsia="zh-CN"/>
              </w:rPr>
              <w:t>本次招标项目属于</w:t>
            </w:r>
            <w:r>
              <w:rPr>
                <w:rFonts w:hint="eastAsia" w:ascii="仿宋" w:hAnsi="仿宋" w:eastAsia="仿宋" w:cs="仿宋"/>
                <w:b/>
                <w:bCs/>
                <w:color w:val="auto"/>
                <w:sz w:val="24"/>
                <w:szCs w:val="24"/>
                <w:highlight w:val="none"/>
                <w:u w:val="single"/>
                <w:lang w:val="en-US" w:eastAsia="zh-CN"/>
              </w:rPr>
              <w:t xml:space="preserve"> </w:t>
            </w:r>
            <w:r>
              <w:rPr>
                <w:rStyle w:val="32"/>
                <w:rFonts w:hint="eastAsia" w:ascii="仿宋" w:hAnsi="仿宋" w:eastAsia="仿宋" w:cs="仿宋"/>
                <w:b/>
                <w:bCs/>
                <w:i w:val="0"/>
                <w:iCs w:val="0"/>
                <w:caps w:val="0"/>
                <w:color w:val="auto"/>
                <w:spacing w:val="0"/>
                <w:sz w:val="24"/>
                <w:szCs w:val="24"/>
                <w:highlight w:val="none"/>
                <w:u w:val="single"/>
                <w:shd w:val="clear" w:fill="FFFFFF"/>
              </w:rPr>
              <w:t>租赁和商务服务业</w:t>
            </w:r>
            <w:r>
              <w:rPr>
                <w:rStyle w:val="32"/>
                <w:rFonts w:hint="eastAsia" w:ascii="仿宋" w:hAnsi="仿宋" w:eastAsia="仿宋" w:cs="仿宋"/>
                <w:b/>
                <w:bCs/>
                <w:i w:val="0"/>
                <w:iCs w:val="0"/>
                <w:caps w:val="0"/>
                <w:color w:val="auto"/>
                <w:spacing w:val="0"/>
                <w:sz w:val="24"/>
                <w:szCs w:val="24"/>
                <w:highlight w:val="none"/>
                <w:u w:val="single"/>
                <w:shd w:val="clear" w:fill="FFFFFF"/>
                <w:lang w:val="en-US" w:eastAsia="zh-CN"/>
              </w:rPr>
              <w:t xml:space="preserve"> </w:t>
            </w:r>
            <w:r>
              <w:rPr>
                <w:rFonts w:hint="eastAsia" w:ascii="仿宋" w:hAnsi="仿宋" w:eastAsia="仿宋" w:cs="仿宋"/>
                <w:b/>
                <w:bCs/>
                <w:color w:val="auto"/>
                <w:sz w:val="24"/>
                <w:szCs w:val="24"/>
                <w:highlight w:val="none"/>
                <w:lang w:val="en-US" w:eastAsia="zh-CN"/>
              </w:rPr>
              <w:t>。</w:t>
            </w:r>
          </w:p>
          <w:p w14:paraId="6FC1C344">
            <w:pPr>
              <w:keepNext w:val="0"/>
              <w:keepLines w:val="0"/>
              <w:pageBreakBefore w:val="0"/>
              <w:widowControl w:val="0"/>
              <w:kinsoku/>
              <w:wordWrap/>
              <w:overflowPunct/>
              <w:topLinePunct w:val="0"/>
              <w:autoSpaceDE/>
              <w:autoSpaceDN/>
              <w:bidi w:val="0"/>
              <w:adjustRightInd w:val="0"/>
              <w:snapToGrid w:val="0"/>
              <w:spacing w:line="231" w:lineRule="auto"/>
              <w:ind w:right="0" w:rightChars="0"/>
              <w:jc w:val="both"/>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
              </w:rPr>
              <w:t>中小企业以供应商填写的《中小企业声明函》（见投标文件格式）为判定标准，否则不予认定。</w:t>
            </w:r>
            <w:r>
              <w:rPr>
                <w:rFonts w:hint="eastAsia" w:ascii="仿宋" w:hAnsi="仿宋" w:eastAsia="仿宋" w:cs="仿宋"/>
                <w:b w:val="0"/>
                <w:bCs w:val="0"/>
                <w:color w:val="auto"/>
                <w:sz w:val="24"/>
                <w:szCs w:val="24"/>
                <w:highlight w:val="none"/>
                <w:lang w:val="en-US" w:eastAsia="zh-CN"/>
              </w:rPr>
              <w:t>敬请各投标企业根据自身需求填写中小企业声明函。</w:t>
            </w:r>
            <w:r>
              <w:rPr>
                <w:rFonts w:hint="eastAsia" w:ascii="仿宋" w:hAnsi="仿宋" w:eastAsia="仿宋" w:cs="仿宋"/>
                <w:b w:val="0"/>
                <w:bCs w:val="0"/>
                <w:color w:val="auto"/>
                <w:kern w:val="0"/>
                <w:sz w:val="24"/>
                <w:szCs w:val="24"/>
                <w:highlight w:val="non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tc>
      </w:tr>
      <w:tr w14:paraId="4D3B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5083D1BA">
            <w:pPr>
              <w:keepLines w:val="0"/>
              <w:pageBreakBefore w:val="0"/>
              <w:kinsoku/>
              <w:wordWrap/>
              <w:overflowPunct/>
              <w:topLinePunct w:val="0"/>
              <w:bidi w:val="0"/>
              <w:adjustRightInd/>
              <w:snapToGrid w:val="0"/>
              <w:spacing w:line="236" w:lineRule="auto"/>
              <w:ind w:left="0" w:leftChars="0" w:right="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w:t>
            </w:r>
          </w:p>
        </w:tc>
        <w:tc>
          <w:tcPr>
            <w:tcW w:w="1947" w:type="dxa"/>
            <w:vAlign w:val="center"/>
          </w:tcPr>
          <w:p w14:paraId="73961474">
            <w:pPr>
              <w:keepNext w:val="0"/>
              <w:keepLines w:val="0"/>
              <w:pageBreakBefore w:val="0"/>
              <w:widowControl w:val="0"/>
              <w:kinsoku/>
              <w:wordWrap/>
              <w:overflowPunct/>
              <w:topLinePunct w:val="0"/>
              <w:autoSpaceDE/>
              <w:autoSpaceDN/>
              <w:bidi w:val="0"/>
              <w:adjustRightInd w:val="0"/>
              <w:snapToGrid w:val="0"/>
              <w:spacing w:line="231" w:lineRule="auto"/>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color w:val="auto"/>
                <w:kern w:val="2"/>
                <w:sz w:val="24"/>
                <w:szCs w:val="24"/>
                <w:highlight w:val="none"/>
                <w:lang w:val="en-US" w:eastAsia="zh-CN" w:bidi="ar-SA"/>
              </w:rPr>
              <w:t>关于小微企业报价扣除比例说明</w:t>
            </w:r>
          </w:p>
        </w:tc>
        <w:tc>
          <w:tcPr>
            <w:tcW w:w="7542" w:type="dxa"/>
            <w:vAlign w:val="top"/>
          </w:tcPr>
          <w:p w14:paraId="791F9C9B">
            <w:pPr>
              <w:keepNext w:val="0"/>
              <w:keepLines w:val="0"/>
              <w:pageBreakBefore w:val="0"/>
              <w:widowControl w:val="0"/>
              <w:kinsoku/>
              <w:wordWrap/>
              <w:overflowPunct/>
              <w:topLinePunct w:val="0"/>
              <w:autoSpaceDE/>
              <w:autoSpaceDN/>
              <w:bidi w:val="0"/>
              <w:adjustRightInd w:val="0"/>
              <w:snapToGrid w:val="0"/>
              <w:spacing w:line="231" w:lineRule="auto"/>
              <w:ind w:left="0" w:leftChars="0" w:right="0" w:rightChars="0"/>
              <w:jc w:val="lef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（1）本项目专门面向中小企业采购。</w:t>
            </w:r>
          </w:p>
          <w:p w14:paraId="26363749">
            <w:pPr>
              <w:keepNext w:val="0"/>
              <w:keepLines w:val="0"/>
              <w:pageBreakBefore w:val="0"/>
              <w:widowControl w:val="0"/>
              <w:kinsoku/>
              <w:wordWrap/>
              <w:overflowPunct/>
              <w:topLinePunct w:val="0"/>
              <w:autoSpaceDE/>
              <w:autoSpaceDN/>
              <w:bidi w:val="0"/>
              <w:adjustRightInd w:val="0"/>
              <w:snapToGrid w:val="0"/>
              <w:spacing w:line="231"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（2）在政府采购活动中，JY企业视同小型、微型企业，享受预留份额、评审中价格扣除等政府采购促进中小企业发展的政府采购政策。向JY企业采购的金额，计入面向中小企业采购的统计数据。</w:t>
            </w:r>
          </w:p>
          <w:p w14:paraId="314B166F">
            <w:pPr>
              <w:keepNext w:val="0"/>
              <w:keepLines w:val="0"/>
              <w:pageBreakBefore w:val="0"/>
              <w:widowControl w:val="0"/>
              <w:kinsoku/>
              <w:wordWrap/>
              <w:overflowPunct/>
              <w:topLinePunct w:val="0"/>
              <w:autoSpaceDE/>
              <w:autoSpaceDN/>
              <w:bidi w:val="0"/>
              <w:adjustRightInd w:val="0"/>
              <w:snapToGrid w:val="0"/>
              <w:spacing w:line="231"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tc>
      </w:tr>
      <w:tr w14:paraId="518C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7F876550">
            <w:pPr>
              <w:keepLines w:val="0"/>
              <w:pageBreakBefore w:val="0"/>
              <w:kinsoku/>
              <w:wordWrap/>
              <w:overflowPunct/>
              <w:topLinePunct w:val="0"/>
              <w:bidi w:val="0"/>
              <w:adjustRightInd/>
              <w:snapToGrid w:val="0"/>
              <w:spacing w:line="236" w:lineRule="auto"/>
              <w:ind w:left="0" w:leftChars="0" w:right="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1947" w:type="dxa"/>
            <w:shd w:val="clear" w:color="auto" w:fill="auto"/>
            <w:vAlign w:val="center"/>
          </w:tcPr>
          <w:p w14:paraId="10C2483A">
            <w:pPr>
              <w:keepNext w:val="0"/>
              <w:keepLines w:val="0"/>
              <w:pageBreakBefore w:val="0"/>
              <w:widowControl w:val="0"/>
              <w:kinsoku/>
              <w:wordWrap/>
              <w:overflowPunct/>
              <w:topLinePunct w:val="0"/>
              <w:autoSpaceDE/>
              <w:autoSpaceDN/>
              <w:bidi w:val="0"/>
              <w:adjustRightInd w:val="0"/>
              <w:snapToGrid w:val="0"/>
              <w:spacing w:line="231" w:lineRule="auto"/>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sz w:val="24"/>
                <w:szCs w:val="24"/>
              </w:rPr>
              <w:t>低于成本价不正当竞争预防措施</w:t>
            </w:r>
          </w:p>
        </w:tc>
        <w:tc>
          <w:tcPr>
            <w:tcW w:w="7542" w:type="dxa"/>
            <w:shd w:val="clear" w:color="auto" w:fill="auto"/>
            <w:vAlign w:val="top"/>
          </w:tcPr>
          <w:p w14:paraId="33D704B2">
            <w:pPr>
              <w:keepNext w:val="0"/>
              <w:keepLines w:val="0"/>
              <w:pageBreakBefore w:val="0"/>
              <w:widowControl w:val="0"/>
              <w:kinsoku/>
              <w:wordWrap/>
              <w:overflowPunct/>
              <w:topLinePunct w:val="0"/>
              <w:autoSpaceDE/>
              <w:autoSpaceDN/>
              <w:bidi w:val="0"/>
              <w:adjustRightInd w:val="0"/>
              <w:snapToGrid w:val="0"/>
              <w:spacing w:line="231"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根据中华人民共和国《政府采购货物和服务招标投标管理办法》（财政部令第87号）第六十条规定：</w:t>
            </w:r>
          </w:p>
          <w:p w14:paraId="4C094511">
            <w:pPr>
              <w:keepNext w:val="0"/>
              <w:keepLines w:val="0"/>
              <w:pageBreakBefore w:val="0"/>
              <w:widowControl w:val="0"/>
              <w:kinsoku/>
              <w:wordWrap/>
              <w:overflowPunct/>
              <w:topLinePunct w:val="0"/>
              <w:autoSpaceDE/>
              <w:autoSpaceDN/>
              <w:bidi w:val="0"/>
              <w:adjustRightInd w:val="0"/>
              <w:snapToGrid w:val="0"/>
              <w:spacing w:line="231" w:lineRule="auto"/>
              <w:textAlignment w:val="auto"/>
              <w:rPr>
                <w:rFonts w:hint="eastAsia" w:ascii="仿宋" w:hAnsi="仿宋" w:eastAsia="仿宋" w:cs="仿宋"/>
                <w:sz w:val="24"/>
                <w:szCs w:val="24"/>
              </w:rPr>
            </w:pPr>
            <w:r>
              <w:rPr>
                <w:rFonts w:hint="eastAsia" w:ascii="仿宋" w:hAnsi="仿宋" w:eastAsia="仿宋" w:cs="仿宋"/>
                <w:sz w:val="24"/>
                <w:szCs w:val="24"/>
              </w:rPr>
              <w:t>（一）政府采购评审中出现下列情形之一的，评审委员会应当启动异常低价投标（响应）审查程序：</w:t>
            </w:r>
          </w:p>
          <w:p w14:paraId="632B5417">
            <w:pPr>
              <w:keepNext w:val="0"/>
              <w:keepLines w:val="0"/>
              <w:pageBreakBefore w:val="0"/>
              <w:widowControl w:val="0"/>
              <w:kinsoku/>
              <w:wordWrap/>
              <w:overflowPunct/>
              <w:topLinePunct w:val="0"/>
              <w:autoSpaceDE/>
              <w:autoSpaceDN/>
              <w:bidi w:val="0"/>
              <w:adjustRightInd w:val="0"/>
              <w:snapToGrid w:val="0"/>
              <w:spacing w:line="231" w:lineRule="auto"/>
              <w:textAlignment w:val="auto"/>
              <w:rPr>
                <w:rFonts w:hint="eastAsia" w:ascii="仿宋" w:hAnsi="仿宋" w:eastAsia="仿宋" w:cs="仿宋"/>
                <w:sz w:val="24"/>
                <w:szCs w:val="24"/>
              </w:rPr>
            </w:pPr>
            <w:r>
              <w:rPr>
                <w:rFonts w:hint="eastAsia" w:ascii="仿宋" w:hAnsi="仿宋" w:eastAsia="仿宋" w:cs="仿宋"/>
                <w:sz w:val="24"/>
                <w:szCs w:val="24"/>
              </w:rPr>
              <w:t>1.投标（响应）报价低于全部通过符合性审查供应商投标（响应）报价 平均值 50%的，即投标（响应）报价&lt;全部通过符合性审查供应商投标（响应）报价平均值×50%；</w:t>
            </w:r>
          </w:p>
          <w:p w14:paraId="1669A770">
            <w:pPr>
              <w:keepNext w:val="0"/>
              <w:keepLines w:val="0"/>
              <w:pageBreakBefore w:val="0"/>
              <w:widowControl w:val="0"/>
              <w:kinsoku/>
              <w:wordWrap/>
              <w:overflowPunct/>
              <w:topLinePunct w:val="0"/>
              <w:autoSpaceDE/>
              <w:autoSpaceDN/>
              <w:bidi w:val="0"/>
              <w:adjustRightInd w:val="0"/>
              <w:snapToGrid w:val="0"/>
              <w:spacing w:line="231" w:lineRule="auto"/>
              <w:textAlignment w:val="auto"/>
              <w:rPr>
                <w:rFonts w:hint="eastAsia" w:ascii="仿宋" w:hAnsi="仿宋" w:eastAsia="仿宋" w:cs="仿宋"/>
                <w:sz w:val="24"/>
                <w:szCs w:val="24"/>
              </w:rPr>
            </w:pPr>
            <w:r>
              <w:rPr>
                <w:rFonts w:hint="eastAsia" w:ascii="仿宋" w:hAnsi="仿宋" w:eastAsia="仿宋" w:cs="仿宋"/>
                <w:sz w:val="24"/>
                <w:szCs w:val="24"/>
              </w:rPr>
              <w:t>2.投标（响应）报价低于通过符合性审查的次低报价供应商投标（响应） 报价 50%的，即投标（响应）报价&lt;通过符合性审查的次低报价供应商投标（响应）报价×50%；</w:t>
            </w:r>
          </w:p>
          <w:p w14:paraId="611560EB">
            <w:pPr>
              <w:keepNext w:val="0"/>
              <w:keepLines w:val="0"/>
              <w:pageBreakBefore w:val="0"/>
              <w:widowControl w:val="0"/>
              <w:kinsoku/>
              <w:wordWrap/>
              <w:overflowPunct/>
              <w:topLinePunct w:val="0"/>
              <w:autoSpaceDE/>
              <w:autoSpaceDN/>
              <w:bidi w:val="0"/>
              <w:adjustRightInd w:val="0"/>
              <w:snapToGrid w:val="0"/>
              <w:spacing w:line="231" w:lineRule="auto"/>
              <w:textAlignment w:val="auto"/>
              <w:rPr>
                <w:rFonts w:hint="eastAsia" w:ascii="仿宋" w:hAnsi="仿宋" w:eastAsia="仿宋" w:cs="仿宋"/>
                <w:sz w:val="24"/>
                <w:szCs w:val="24"/>
              </w:rPr>
            </w:pPr>
            <w:r>
              <w:rPr>
                <w:rFonts w:hint="eastAsia" w:ascii="仿宋" w:hAnsi="仿宋" w:eastAsia="仿宋" w:cs="仿宋"/>
                <w:sz w:val="24"/>
                <w:szCs w:val="24"/>
              </w:rPr>
              <w:t>3.投标（响应）报价低于采购项目最高限价 45%的，即投标（响应）报价&lt;采购项目最高限价×45%；</w:t>
            </w:r>
          </w:p>
          <w:p w14:paraId="1640E0F4">
            <w:pPr>
              <w:keepNext w:val="0"/>
              <w:keepLines w:val="0"/>
              <w:pageBreakBefore w:val="0"/>
              <w:widowControl w:val="0"/>
              <w:kinsoku/>
              <w:wordWrap/>
              <w:overflowPunct/>
              <w:topLinePunct w:val="0"/>
              <w:autoSpaceDE/>
              <w:autoSpaceDN/>
              <w:bidi w:val="0"/>
              <w:adjustRightInd w:val="0"/>
              <w:snapToGrid w:val="0"/>
              <w:spacing w:line="231" w:lineRule="auto"/>
              <w:textAlignment w:val="auto"/>
              <w:rPr>
                <w:rFonts w:hint="eastAsia" w:ascii="仿宋" w:hAnsi="仿宋" w:eastAsia="仿宋" w:cs="仿宋"/>
                <w:sz w:val="24"/>
                <w:szCs w:val="24"/>
              </w:rPr>
            </w:pPr>
            <w:r>
              <w:rPr>
                <w:rFonts w:hint="eastAsia" w:ascii="仿宋" w:hAnsi="仿宋" w:eastAsia="仿宋" w:cs="仿宋"/>
                <w:sz w:val="24"/>
                <w:szCs w:val="24"/>
              </w:rPr>
              <w:t>4.评审委员会基于专业判断，认为供应商报价过低，有可能影响产品质量或者不能诚信履约的其他情形。采购人可以结合具体项目实际情况，提高上述第 1 项至第 3 项中启动异常低价投标（响应）审查的数值标准，但是最高不得超过 65%。相关法律法规对供应商报价有规定的，从其规定。</w:t>
            </w:r>
          </w:p>
          <w:p w14:paraId="7C5B591B">
            <w:pPr>
              <w:keepNext w:val="0"/>
              <w:keepLines w:val="0"/>
              <w:pageBreakBefore w:val="0"/>
              <w:widowControl w:val="0"/>
              <w:kinsoku/>
              <w:wordWrap/>
              <w:overflowPunct/>
              <w:topLinePunct w:val="0"/>
              <w:autoSpaceDE/>
              <w:autoSpaceDN/>
              <w:bidi w:val="0"/>
              <w:adjustRightInd w:val="0"/>
              <w:snapToGrid w:val="0"/>
              <w:spacing w:line="231" w:lineRule="auto"/>
              <w:textAlignment w:val="auto"/>
              <w:rPr>
                <w:rFonts w:hint="eastAsia" w:ascii="仿宋" w:hAnsi="仿宋" w:eastAsia="仿宋" w:cs="仿宋"/>
                <w:sz w:val="24"/>
                <w:szCs w:val="24"/>
              </w:rPr>
            </w:pPr>
            <w:r>
              <w:rPr>
                <w:rFonts w:hint="eastAsia" w:ascii="仿宋" w:hAnsi="仿宋" w:eastAsia="仿宋" w:cs="仿宋"/>
                <w:sz w:val="24"/>
                <w:szCs w:val="24"/>
              </w:rPr>
              <w:t>（二）评审委员会启动异常低价投标（响应）审查后，属于前述第 1 项 至第 4 项情形的，应当要求相关供应商在评审现场合理的时间内对投标（响应）价格作出解释，提供项目具体成本测算等与报价合理性相关的 书面说明及必要的证明材料，包括但不限于原材料成本、人工成本、制 造费用等，给予相关供应商的合理时间一般不少于30分钟。其中，属于第 3 项情形，供应商已随投标（响应）文件一并提交相关书面说明及必要的证明材料的，在评审现场可不再重复提交。</w:t>
            </w:r>
          </w:p>
          <w:p w14:paraId="227D2753">
            <w:pPr>
              <w:keepNext w:val="0"/>
              <w:keepLines w:val="0"/>
              <w:pageBreakBefore w:val="0"/>
              <w:widowControl w:val="0"/>
              <w:kinsoku/>
              <w:wordWrap/>
              <w:overflowPunct/>
              <w:topLinePunct w:val="0"/>
              <w:autoSpaceDE/>
              <w:autoSpaceDN/>
              <w:bidi w:val="0"/>
              <w:adjustRightInd w:val="0"/>
              <w:snapToGrid w:val="0"/>
              <w:spacing w:line="231" w:lineRule="auto"/>
              <w:textAlignment w:val="auto"/>
              <w:rPr>
                <w:rFonts w:hint="eastAsia" w:ascii="仿宋" w:hAnsi="仿宋" w:eastAsia="仿宋" w:cs="仿宋"/>
                <w:sz w:val="24"/>
                <w:szCs w:val="24"/>
              </w:rPr>
            </w:pPr>
            <w:r>
              <w:rPr>
                <w:rFonts w:hint="eastAsia" w:ascii="仿宋" w:hAnsi="仿宋" w:eastAsia="仿宋" w:cs="仿宋"/>
                <w:sz w:val="24"/>
                <w:szCs w:val="24"/>
              </w:rPr>
              <w:t>评审委员会依据专业经验，参考同类项目中标（成交）价格、类似产品 市场价格水平、行业人工费用标准、国家有关部门指导行业协会发布的 行业平均成本等情况，对报价合理性进行判断。投标（响应）供应商不 能提供书面说明、证明材料，或者提供的书面说明、证明材料不能证明其报价合理性的，评审委员会应当将其作为无效投标（响应）处理。</w:t>
            </w:r>
          </w:p>
          <w:p w14:paraId="5048F8E3">
            <w:pPr>
              <w:keepNext w:val="0"/>
              <w:keepLines w:val="0"/>
              <w:pageBreakBefore w:val="0"/>
              <w:widowControl w:val="0"/>
              <w:kinsoku/>
              <w:wordWrap/>
              <w:overflowPunct/>
              <w:topLinePunct w:val="0"/>
              <w:autoSpaceDE/>
              <w:autoSpaceDN/>
              <w:bidi w:val="0"/>
              <w:adjustRightInd w:val="0"/>
              <w:snapToGrid w:val="0"/>
              <w:spacing w:line="231" w:lineRule="auto"/>
              <w:textAlignment w:val="auto"/>
              <w:rPr>
                <w:rFonts w:hint="eastAsia" w:ascii="仿宋" w:hAnsi="仿宋" w:eastAsia="仿宋" w:cs="仿宋"/>
                <w:sz w:val="24"/>
                <w:szCs w:val="24"/>
              </w:rPr>
            </w:pPr>
            <w:r>
              <w:rPr>
                <w:rFonts w:hint="eastAsia" w:ascii="仿宋" w:hAnsi="仿宋" w:eastAsia="仿宋" w:cs="仿宋"/>
                <w:sz w:val="24"/>
                <w:szCs w:val="24"/>
              </w:rPr>
              <w:t>采购人、采购代理机构应当为评审委员会在评审现场及时获取同类项目 中标（成交）价格、类似产品市场价格水平、行业人工费用标准、国家 有关部门指导行业协会发布的行业平均成本等相关信息资料提供便利。 评审委员会借助互联网等渠道查询相关信息的，应当严格遵守评审工作纪律，不得实施影响评审公正的行为。</w:t>
            </w:r>
          </w:p>
          <w:p w14:paraId="739D5954">
            <w:pPr>
              <w:keepNext w:val="0"/>
              <w:keepLines w:val="0"/>
              <w:pageBreakBefore w:val="0"/>
              <w:widowControl w:val="0"/>
              <w:kinsoku/>
              <w:wordWrap/>
              <w:overflowPunct/>
              <w:topLinePunct w:val="0"/>
              <w:autoSpaceDE/>
              <w:autoSpaceDN/>
              <w:bidi w:val="0"/>
              <w:adjustRightInd w:val="0"/>
              <w:snapToGrid w:val="0"/>
              <w:spacing w:line="231" w:lineRule="auto"/>
              <w:textAlignment w:val="auto"/>
              <w:rPr>
                <w:rFonts w:hint="eastAsia" w:ascii="仿宋" w:hAnsi="仿宋" w:eastAsia="仿宋" w:cs="仿宋"/>
                <w:sz w:val="24"/>
                <w:szCs w:val="24"/>
              </w:rPr>
            </w:pPr>
            <w:r>
              <w:rPr>
                <w:rFonts w:hint="eastAsia" w:ascii="仿宋" w:hAnsi="仿宋" w:eastAsia="仿宋" w:cs="仿宋"/>
                <w:sz w:val="24"/>
                <w:szCs w:val="24"/>
              </w:rPr>
              <w:t>异常低价投标（响应）审查的启动原因、审查意见和审查结果应当在评 审报告中记录，并随供应商提供的相关书面说明及证明材料，以及评审委员会有关互联网浏览、查询历史一并归档。</w:t>
            </w:r>
          </w:p>
          <w:p w14:paraId="4FA8F9C0">
            <w:pPr>
              <w:keepNext w:val="0"/>
              <w:keepLines w:val="0"/>
              <w:pageBreakBefore w:val="0"/>
              <w:widowControl w:val="0"/>
              <w:kinsoku/>
              <w:wordWrap/>
              <w:overflowPunct/>
              <w:topLinePunct w:val="0"/>
              <w:autoSpaceDE/>
              <w:autoSpaceDN/>
              <w:bidi w:val="0"/>
              <w:adjustRightInd w:val="0"/>
              <w:snapToGrid w:val="0"/>
              <w:spacing w:line="231" w:lineRule="auto"/>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sz w:val="24"/>
                <w:szCs w:val="24"/>
              </w:rPr>
              <w:t>（三）各级财政部门应当加强对评审专家的指导和监管，进一步压实评 审专家的责任。财政部门在投诉处理、监督检查中发现评审委员会未按规定对异常低价开展审查的，依法予以纠正并追究评审专家的法律责任。</w:t>
            </w:r>
          </w:p>
        </w:tc>
      </w:tr>
      <w:tr w14:paraId="1F86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Align w:val="center"/>
          </w:tcPr>
          <w:p w14:paraId="57DEC1B2">
            <w:pPr>
              <w:keepLines w:val="0"/>
              <w:pageBreakBefore w:val="0"/>
              <w:kinsoku/>
              <w:wordWrap/>
              <w:overflowPunct/>
              <w:topLinePunct w:val="0"/>
              <w:bidi w:val="0"/>
              <w:adjustRightInd/>
              <w:snapToGrid w:val="0"/>
              <w:spacing w:line="236" w:lineRule="auto"/>
              <w:ind w:left="0" w:leftChars="0" w:right="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w:t>
            </w:r>
          </w:p>
        </w:tc>
        <w:tc>
          <w:tcPr>
            <w:tcW w:w="1947" w:type="dxa"/>
            <w:vAlign w:val="center"/>
          </w:tcPr>
          <w:p w14:paraId="6060D33B">
            <w:pPr>
              <w:keepNext w:val="0"/>
              <w:keepLines w:val="0"/>
              <w:pageBreakBefore w:val="0"/>
              <w:widowControl w:val="0"/>
              <w:kinsoku/>
              <w:wordWrap/>
              <w:overflowPunct/>
              <w:topLinePunct w:val="0"/>
              <w:autoSpaceDE/>
              <w:autoSpaceDN/>
              <w:bidi w:val="0"/>
              <w:adjustRightInd w:val="0"/>
              <w:snapToGrid w:val="0"/>
              <w:spacing w:line="231"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补充说明</w:t>
            </w:r>
          </w:p>
        </w:tc>
        <w:tc>
          <w:tcPr>
            <w:tcW w:w="7542" w:type="dxa"/>
            <w:vAlign w:val="center"/>
          </w:tcPr>
          <w:p w14:paraId="6622C2B2">
            <w:pPr>
              <w:keepNext w:val="0"/>
              <w:keepLines w:val="0"/>
              <w:pageBreakBefore w:val="0"/>
              <w:widowControl w:val="0"/>
              <w:numPr>
                <w:ilvl w:val="0"/>
                <w:numId w:val="0"/>
              </w:numPr>
              <w:kinsoku/>
              <w:wordWrap/>
              <w:overflowPunct/>
              <w:topLinePunct w:val="0"/>
              <w:autoSpaceDE/>
              <w:autoSpaceDN/>
              <w:bidi w:val="0"/>
              <w:adjustRightInd w:val="0"/>
              <w:snapToGrid w:val="0"/>
              <w:spacing w:line="231"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val="0"/>
                <w:bCs w:val="0"/>
                <w:color w:val="auto"/>
                <w:sz w:val="24"/>
                <w:szCs w:val="24"/>
                <w:highlight w:val="none"/>
                <w:lang w:val="en-US" w:eastAsia="zh-CN"/>
              </w:rPr>
              <w:t>（1）所有投标人的报价高于最高限价视为无效报价（即作否决投标处理）。</w:t>
            </w:r>
          </w:p>
          <w:p w14:paraId="52C66418">
            <w:pPr>
              <w:keepNext w:val="0"/>
              <w:keepLines w:val="0"/>
              <w:pageBreakBefore w:val="0"/>
              <w:widowControl w:val="0"/>
              <w:kinsoku/>
              <w:wordWrap/>
              <w:overflowPunct/>
              <w:topLinePunct w:val="0"/>
              <w:autoSpaceDE/>
              <w:autoSpaceDN/>
              <w:bidi w:val="0"/>
              <w:adjustRightInd w:val="0"/>
              <w:snapToGrid w:val="0"/>
              <w:spacing w:line="231"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sz w:val="24"/>
                <w:szCs w:val="24"/>
                <w:lang w:val="en-US" w:eastAsia="zh-CN"/>
              </w:rPr>
              <w:t>提供相同品牌产品且通过资格审查、符合性审查的不同投标人参加同一合同项下投标的，按一家投标人计算，评审后得分相同的，按照报价较低的一方为中标供应商:得分且投标报价相同的，技术指标较优的一方的方式确定一个投标人获得中标人推荐资格，其他同品牌投标人不作为中标候选人</w:t>
            </w:r>
            <w:r>
              <w:rPr>
                <w:rFonts w:hint="eastAsia" w:ascii="仿宋" w:hAnsi="仿宋" w:eastAsia="仿宋" w:cs="仿宋"/>
                <w:b w:val="0"/>
                <w:bCs w:val="0"/>
                <w:color w:val="auto"/>
                <w:sz w:val="24"/>
                <w:szCs w:val="24"/>
                <w:highlight w:val="none"/>
                <w:lang w:val="en-US" w:eastAsia="zh-CN"/>
              </w:rPr>
              <w:t>。</w:t>
            </w:r>
          </w:p>
          <w:p w14:paraId="415FDA3A">
            <w:pPr>
              <w:keepNext w:val="0"/>
              <w:keepLines w:val="0"/>
              <w:pageBreakBefore w:val="0"/>
              <w:widowControl w:val="0"/>
              <w:kinsoku/>
              <w:wordWrap/>
              <w:overflowPunct/>
              <w:topLinePunct w:val="0"/>
              <w:autoSpaceDE/>
              <w:autoSpaceDN/>
              <w:bidi w:val="0"/>
              <w:adjustRightInd w:val="0"/>
              <w:snapToGrid w:val="0"/>
              <w:spacing w:line="231"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（3）本项目更正补充公告请自行登录新疆政府采购网查看下载，更正补充公告一经发布，视为以书面形式通知所有人，因供应商自身原因导致未领取的自行承担由此带来的后果。</w:t>
            </w:r>
          </w:p>
          <w:p w14:paraId="7BDB3477">
            <w:pPr>
              <w:keepNext w:val="0"/>
              <w:keepLines w:val="0"/>
              <w:pageBreakBefore w:val="0"/>
              <w:widowControl w:val="0"/>
              <w:kinsoku/>
              <w:wordWrap/>
              <w:overflowPunct/>
              <w:topLinePunct w:val="0"/>
              <w:autoSpaceDE/>
              <w:autoSpaceDN/>
              <w:bidi w:val="0"/>
              <w:adjustRightInd w:val="0"/>
              <w:snapToGrid w:val="0"/>
              <w:spacing w:line="231"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（4）投标供应商制作投标文件的CA锁必须和开标解密的CA锁为同一把锁，在解密过程中因为CA锁不同而导致解密失败的，由投标供应商自行承担。</w:t>
            </w:r>
          </w:p>
          <w:p w14:paraId="7D2869D7">
            <w:pPr>
              <w:keepNext w:val="0"/>
              <w:keepLines w:val="0"/>
              <w:pageBreakBefore w:val="0"/>
              <w:widowControl w:val="0"/>
              <w:kinsoku/>
              <w:wordWrap/>
              <w:overflowPunct/>
              <w:topLinePunct w:val="0"/>
              <w:autoSpaceDE/>
              <w:autoSpaceDN/>
              <w:bidi w:val="0"/>
              <w:adjustRightInd w:val="0"/>
              <w:snapToGrid w:val="0"/>
              <w:spacing w:line="231"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二、（1）招标文件中部分废标、无效标、投标被拒绝等字样的条款，为招标着重提醒各投标人注意的条款。投标人应认真查看招标文件中的每一个条款及要求，因误读招标文件而造成的后果，招标人概不负责。</w:t>
            </w:r>
          </w:p>
          <w:p w14:paraId="0479D578">
            <w:pPr>
              <w:keepNext w:val="0"/>
              <w:keepLines w:val="0"/>
              <w:pageBreakBefore w:val="0"/>
              <w:widowControl w:val="0"/>
              <w:kinsoku/>
              <w:wordWrap/>
              <w:overflowPunct/>
              <w:topLinePunct w:val="0"/>
              <w:autoSpaceDE/>
              <w:autoSpaceDN/>
              <w:bidi w:val="0"/>
              <w:adjustRightInd w:val="0"/>
              <w:snapToGrid w:val="0"/>
              <w:spacing w:line="231"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投标文件中有弄虚作假的内容，其投标文件作废（如假证书、假业绩、隐瞒不良行为记录、夸大荣誉、使用非本单位在职员工的相关</w:t>
            </w:r>
            <w:r>
              <w:rPr>
                <w:rFonts w:hint="eastAsia" w:ascii="仿宋" w:hAnsi="仿宋" w:eastAsia="仿宋" w:cs="仿宋"/>
                <w:b w:val="0"/>
                <w:bCs w:val="0"/>
                <w:color w:val="auto"/>
                <w:sz w:val="24"/>
                <w:szCs w:val="24"/>
                <w:highlight w:val="none"/>
                <w:lang w:val="en-US" w:eastAsia="zh-CN"/>
              </w:rPr>
              <w:t>证件及不符合招标文件规定的条款等）；在签订合同之前，招标人如发现投标人的投标文件有弄虚作假内容，招标人可拒绝与其签订合同，并将其列入政府采购黑名单库。</w:t>
            </w:r>
          </w:p>
          <w:p w14:paraId="3BCAE0EA">
            <w:pPr>
              <w:keepNext w:val="0"/>
              <w:keepLines w:val="0"/>
              <w:pageBreakBefore w:val="0"/>
              <w:widowControl w:val="0"/>
              <w:kinsoku/>
              <w:wordWrap/>
              <w:overflowPunct/>
              <w:topLinePunct w:val="0"/>
              <w:autoSpaceDE/>
              <w:autoSpaceDN/>
              <w:bidi w:val="0"/>
              <w:adjustRightInd w:val="0"/>
              <w:snapToGrid w:val="0"/>
              <w:spacing w:line="231"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相关责任的同时不得耽误本项目实施。</w:t>
            </w:r>
          </w:p>
          <w:p w14:paraId="1E4733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31" w:lineRule="auto"/>
              <w:ind w:left="0" w:right="0"/>
              <w:jc w:val="left"/>
              <w:textAlignment w:val="auto"/>
              <w:rPr>
                <w:rFonts w:hint="eastAsia" w:ascii="仿宋" w:hAnsi="仿宋" w:eastAsia="仿宋" w:cs="仿宋"/>
                <w:color w:val="auto"/>
                <w:highlight w:val="none"/>
                <w:lang w:val="en-US" w:eastAsia="zh-CN"/>
              </w:rPr>
            </w:pPr>
            <w:r>
              <w:rPr>
                <w:rFonts w:hint="eastAsia" w:ascii="仿宋" w:hAnsi="仿宋" w:eastAsia="仿宋" w:cs="仿宋"/>
                <w:b/>
                <w:bCs/>
                <w:color w:val="auto"/>
                <w:sz w:val="24"/>
                <w:szCs w:val="24"/>
                <w:highlight w:val="none"/>
                <w:lang w:val="en-US" w:eastAsia="zh-CN"/>
              </w:rPr>
              <w:t>（4）我院相关服务场地（两个院区）目前均处于正常对外营业及诊疗运营状态，各潜在投标人可自行现场踏勘，投标人因现场踏勘产生的一切费用、安全责任均由投标人自行承担，踏勘结果仅作为投标人报价及编制投标文件的参考依据，我院不因踏勘行为承担任何责任。</w:t>
            </w:r>
          </w:p>
        </w:tc>
      </w:tr>
      <w:tr w14:paraId="3EF6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85" w:type="dxa"/>
            <w:gridSpan w:val="2"/>
            <w:vAlign w:val="center"/>
          </w:tcPr>
          <w:p w14:paraId="47D0E485">
            <w:pPr>
              <w:keepNext w:val="0"/>
              <w:keepLines w:val="0"/>
              <w:pageBreakBefore w:val="0"/>
              <w:widowControl w:val="0"/>
              <w:kinsoku/>
              <w:wordWrap/>
              <w:overflowPunct/>
              <w:topLinePunct w:val="0"/>
              <w:autoSpaceDE/>
              <w:autoSpaceDN/>
              <w:bidi w:val="0"/>
              <w:adjustRightInd w:val="0"/>
              <w:snapToGrid w:val="0"/>
              <w:spacing w:line="231" w:lineRule="auto"/>
              <w:jc w:val="center"/>
              <w:textAlignment w:val="auto"/>
              <w:rPr>
                <w:rFonts w:hint="eastAsia" w:ascii="仿宋" w:hAnsi="仿宋" w:eastAsia="仿宋" w:cs="仿宋"/>
                <w:b w:val="0"/>
                <w:bCs w:val="0"/>
                <w:color w:val="auto"/>
                <w:sz w:val="24"/>
                <w:szCs w:val="24"/>
                <w:highlight w:val="none"/>
                <w:lang w:val="en-US" w:eastAsia="zh-CN"/>
              </w:rPr>
            </w:pPr>
            <w:bookmarkStart w:id="41" w:name="_Toc13351"/>
            <w:bookmarkStart w:id="42" w:name="_Toc2805"/>
            <w:r>
              <w:rPr>
                <w:rFonts w:hint="eastAsia" w:ascii="仿宋" w:hAnsi="仿宋" w:eastAsia="仿宋" w:cs="仿宋"/>
                <w:b/>
                <w:bCs/>
                <w:color w:val="auto"/>
                <w:sz w:val="24"/>
                <w:szCs w:val="24"/>
                <w:highlight w:val="none"/>
              </w:rPr>
              <w:t>备注</w:t>
            </w:r>
          </w:p>
        </w:tc>
        <w:tc>
          <w:tcPr>
            <w:tcW w:w="7542" w:type="dxa"/>
            <w:vAlign w:val="center"/>
          </w:tcPr>
          <w:p w14:paraId="2C2D817C">
            <w:pPr>
              <w:keepNext w:val="0"/>
              <w:keepLines w:val="0"/>
              <w:pageBreakBefore w:val="0"/>
              <w:widowControl w:val="0"/>
              <w:kinsoku/>
              <w:wordWrap/>
              <w:overflowPunct/>
              <w:topLinePunct w:val="0"/>
              <w:autoSpaceDE/>
              <w:autoSpaceDN/>
              <w:bidi w:val="0"/>
              <w:adjustRightInd w:val="0"/>
              <w:snapToGrid w:val="0"/>
              <w:spacing w:line="231"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rPr>
              <w:t>本须知前附表内容与招标文件的内容相对应</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如有矛盾，应以投标须知前附表为准。</w:t>
            </w:r>
          </w:p>
        </w:tc>
      </w:tr>
    </w:tbl>
    <w:p w14:paraId="6D8679DC">
      <w:pPr>
        <w:numPr>
          <w:ilvl w:val="0"/>
          <w:numId w:val="0"/>
        </w:numPr>
        <w:spacing w:line="360" w:lineRule="auto"/>
        <w:jc w:val="center"/>
        <w:outlineLvl w:val="1"/>
        <w:rPr>
          <w:rFonts w:hint="eastAsia" w:ascii="仿宋" w:hAnsi="仿宋" w:eastAsia="仿宋" w:cs="仿宋"/>
          <w:b/>
          <w:color w:val="auto"/>
          <w:sz w:val="40"/>
          <w:szCs w:val="40"/>
          <w:highlight w:val="none"/>
          <w:lang w:val="en-US" w:eastAsia="zh-CN"/>
        </w:rPr>
      </w:pPr>
      <w:r>
        <w:rPr>
          <w:rFonts w:hint="eastAsia" w:ascii="仿宋" w:hAnsi="仿宋" w:eastAsia="仿宋" w:cs="仿宋"/>
          <w:b/>
          <w:color w:val="auto"/>
          <w:sz w:val="40"/>
          <w:szCs w:val="40"/>
          <w:highlight w:val="none"/>
          <w:lang w:val="en-US" w:eastAsia="zh-CN"/>
        </w:rPr>
        <w:t>第一章   招 标 书</w:t>
      </w:r>
    </w:p>
    <w:p w14:paraId="234F5F8F">
      <w:pPr>
        <w:numPr>
          <w:ilvl w:val="0"/>
          <w:numId w:val="0"/>
        </w:numPr>
        <w:spacing w:line="360" w:lineRule="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一、</w:t>
      </w:r>
      <w:r>
        <w:rPr>
          <w:rFonts w:hint="eastAsia" w:ascii="仿宋" w:hAnsi="仿宋" w:eastAsia="仿宋" w:cs="仿宋"/>
          <w:b/>
          <w:color w:val="auto"/>
          <w:sz w:val="28"/>
          <w:szCs w:val="28"/>
          <w:highlight w:val="none"/>
        </w:rPr>
        <w:t xml:space="preserve">  </w:t>
      </w:r>
      <w:bookmarkStart w:id="43" w:name="_Toc3855"/>
      <w:bookmarkStart w:id="44" w:name="_Toc20677"/>
      <w:r>
        <w:rPr>
          <w:rFonts w:hint="eastAsia" w:ascii="仿宋" w:hAnsi="仿宋" w:eastAsia="仿宋" w:cs="仿宋"/>
          <w:b/>
          <w:color w:val="auto"/>
          <w:sz w:val="28"/>
          <w:szCs w:val="28"/>
          <w:highlight w:val="none"/>
        </w:rPr>
        <w:t>总  则</w:t>
      </w:r>
      <w:bookmarkEnd w:id="43"/>
      <w:bookmarkEnd w:id="44"/>
    </w:p>
    <w:p w14:paraId="01F8CBA4">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1、适用范围</w:t>
      </w:r>
    </w:p>
    <w:p w14:paraId="48458BE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1.1本招标文件仅适用于本次招标采购中所叙述项目的货物及服务采购。</w:t>
      </w:r>
    </w:p>
    <w:p w14:paraId="656179AE">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2、投标人资格要求：</w:t>
      </w:r>
    </w:p>
    <w:p w14:paraId="6BA7A6F9">
      <w:pPr>
        <w:keepNext w:val="0"/>
        <w:keepLines w:val="0"/>
        <w:pageBreakBefore w:val="0"/>
        <w:widowControl w:val="0"/>
        <w:kinsoku/>
        <w:wordWrap/>
        <w:overflowPunct/>
        <w:topLinePunct w:val="0"/>
        <w:autoSpaceDE/>
        <w:autoSpaceDN/>
        <w:bidi w:val="0"/>
        <w:adjustRightInd/>
        <w:snapToGrid w:val="0"/>
        <w:spacing w:beforeAutospacing="0" w:afterAutospacing="0" w:line="305"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1.满足《中华人民共和国政府采购法》第二十二条规定；</w:t>
      </w:r>
    </w:p>
    <w:p w14:paraId="1E65F9F8">
      <w:pPr>
        <w:keepNext w:val="0"/>
        <w:keepLines w:val="0"/>
        <w:pageBreakBefore w:val="0"/>
        <w:widowControl w:val="0"/>
        <w:kinsoku/>
        <w:wordWrap/>
        <w:overflowPunct/>
        <w:topLinePunct w:val="0"/>
        <w:autoSpaceDE/>
        <w:autoSpaceDN/>
        <w:bidi w:val="0"/>
        <w:adjustRightInd/>
        <w:snapToGrid w:val="0"/>
        <w:spacing w:beforeAutospacing="0" w:afterAutospacing="0" w:line="305"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2.落实政府采购政策需满足的资格要求：</w:t>
      </w:r>
    </w:p>
    <w:p w14:paraId="4AA98D12">
      <w:pPr>
        <w:keepNext w:val="0"/>
        <w:keepLines w:val="0"/>
        <w:pageBreakBefore w:val="0"/>
        <w:widowControl w:val="0"/>
        <w:kinsoku/>
        <w:wordWrap/>
        <w:overflowPunct/>
        <w:topLinePunct w:val="0"/>
        <w:autoSpaceDE/>
        <w:autoSpaceDN/>
        <w:bidi w:val="0"/>
        <w:adjustRightInd/>
        <w:snapToGrid w:val="0"/>
        <w:spacing w:beforeAutospacing="0" w:afterAutospacing="0" w:line="305"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（1）根据《政府采购促进中小企业发展办法》（财库〔2020〕46号）的相关规定，本项目专门面向中小企业(含JY企业、残疾人福利单位)采购；</w:t>
      </w:r>
    </w:p>
    <w:p w14:paraId="4A2E469B">
      <w:pPr>
        <w:keepNext w:val="0"/>
        <w:keepLines w:val="0"/>
        <w:pageBreakBefore w:val="0"/>
        <w:widowControl w:val="0"/>
        <w:kinsoku/>
        <w:wordWrap/>
        <w:overflowPunct/>
        <w:topLinePunct w:val="0"/>
        <w:autoSpaceDE/>
        <w:autoSpaceDN/>
        <w:bidi w:val="0"/>
        <w:adjustRightInd/>
        <w:snapToGrid w:val="0"/>
        <w:spacing w:beforeAutospacing="0" w:afterAutospacing="0" w:line="305"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（2）具有有效经年检合格的“三证合一”营业执照；</w:t>
      </w:r>
    </w:p>
    <w:p w14:paraId="5A8CA00D">
      <w:pPr>
        <w:keepNext w:val="0"/>
        <w:keepLines w:val="0"/>
        <w:pageBreakBefore w:val="0"/>
        <w:widowControl w:val="0"/>
        <w:kinsoku/>
        <w:wordWrap/>
        <w:overflowPunct/>
        <w:topLinePunct w:val="0"/>
        <w:autoSpaceDE/>
        <w:autoSpaceDN/>
        <w:bidi w:val="0"/>
        <w:adjustRightInd/>
        <w:snapToGrid w:val="0"/>
        <w:spacing w:beforeAutospacing="0" w:afterAutospacing="0" w:line="305"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（3）法定代表人开标应附《法定代表人身份证明书》及身份证复印件，委托代理人开标应附《法定代表人授权委托书》及被委托人身份证复印件；</w:t>
      </w:r>
    </w:p>
    <w:p w14:paraId="5578625C">
      <w:pPr>
        <w:keepNext w:val="0"/>
        <w:keepLines w:val="0"/>
        <w:pageBreakBefore w:val="0"/>
        <w:widowControl w:val="0"/>
        <w:kinsoku/>
        <w:wordWrap/>
        <w:overflowPunct/>
        <w:topLinePunct w:val="0"/>
        <w:autoSpaceDE/>
        <w:autoSpaceDN/>
        <w:bidi w:val="0"/>
        <w:adjustRightInd/>
        <w:snapToGrid w:val="0"/>
        <w:spacing w:beforeAutospacing="0" w:afterAutospacing="0" w:line="305"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提供本单位缴纳的近三个月（近三个月是指2026年01月-2026年03月）社保缴纳证明（社保证明材料须是社保局出具的缴纳证明或社保系统导出的缴纳汇总凭证；新成立不足三个月的公司以实际发生的为准，如依法不需要缴纳社会保障资金的，应提供相应文件证明）。</w:t>
      </w:r>
    </w:p>
    <w:p w14:paraId="5ECC0150">
      <w:pPr>
        <w:keepNext w:val="0"/>
        <w:keepLines w:val="0"/>
        <w:pageBreakBefore w:val="0"/>
        <w:widowControl w:val="0"/>
        <w:kinsoku/>
        <w:wordWrap/>
        <w:overflowPunct/>
        <w:topLinePunct w:val="0"/>
        <w:autoSpaceDE/>
        <w:autoSpaceDN/>
        <w:bidi w:val="0"/>
        <w:adjustRightInd/>
        <w:snapToGrid w:val="0"/>
        <w:spacing w:beforeAutospacing="0" w:afterAutospacing="0" w:line="305"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（5）投标人需提供2024年度或2025年度第三方审计机构出具的财务审计报告(2025年10月以后新成立公司可不提供）；</w:t>
      </w:r>
    </w:p>
    <w:p w14:paraId="79461D08">
      <w:pPr>
        <w:keepNext w:val="0"/>
        <w:keepLines w:val="0"/>
        <w:pageBreakBefore w:val="0"/>
        <w:widowControl w:val="0"/>
        <w:kinsoku/>
        <w:wordWrap/>
        <w:overflowPunct/>
        <w:topLinePunct w:val="0"/>
        <w:autoSpaceDE/>
        <w:autoSpaceDN/>
        <w:bidi w:val="0"/>
        <w:adjustRightInd/>
        <w:snapToGrid w:val="0"/>
        <w:spacing w:beforeAutospacing="0" w:afterAutospacing="0" w:line="305"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6）提供税务部门出具近三个月（近三个月是指2026年01月-2026年03月）依法缴纳税收的完税证明（需含增值税、印花税等税种；如当月无需缴税需提供税务机关出具的无欠税证明），新成立公司按实际发生提供税务机关出具的无欠税证明；</w:t>
      </w:r>
    </w:p>
    <w:p w14:paraId="088E40D9">
      <w:pPr>
        <w:keepNext w:val="0"/>
        <w:keepLines w:val="0"/>
        <w:pageBreakBefore w:val="0"/>
        <w:widowControl w:val="0"/>
        <w:kinsoku/>
        <w:wordWrap/>
        <w:overflowPunct/>
        <w:topLinePunct w:val="0"/>
        <w:autoSpaceDE/>
        <w:autoSpaceDN/>
        <w:bidi w:val="0"/>
        <w:adjustRightInd/>
        <w:snapToGrid w:val="0"/>
        <w:spacing w:beforeAutospacing="0" w:afterAutospacing="0" w:line="305"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7）凡拟参加本次招标项目的投标人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被列入经营异常名录信息、严重违法失信名单（黑名单）信息（尚在处罚期内的）；将拒绝其参与本次政府采购活动；</w:t>
      </w:r>
    </w:p>
    <w:p w14:paraId="1FEB3CAD">
      <w:pPr>
        <w:keepNext w:val="0"/>
        <w:keepLines w:val="0"/>
        <w:pageBreakBefore w:val="0"/>
        <w:widowControl w:val="0"/>
        <w:kinsoku/>
        <w:wordWrap/>
        <w:overflowPunct/>
        <w:topLinePunct w:val="0"/>
        <w:autoSpaceDE/>
        <w:autoSpaceDN/>
        <w:bidi w:val="0"/>
        <w:adjustRightInd/>
        <w:snapToGrid w:val="0"/>
        <w:spacing w:beforeAutospacing="0" w:afterAutospacing="0" w:line="305"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（8）企业负责人为同一人或者存在直接控股、管理关系的不同供应商，不得参加同一合同项下的政府采购活动。否则，皆取消投标资格；</w:t>
      </w:r>
    </w:p>
    <w:p w14:paraId="6A2255BE">
      <w:pPr>
        <w:keepNext w:val="0"/>
        <w:keepLines w:val="0"/>
        <w:pageBreakBefore w:val="0"/>
        <w:widowControl w:val="0"/>
        <w:kinsoku/>
        <w:wordWrap/>
        <w:overflowPunct/>
        <w:topLinePunct w:val="0"/>
        <w:autoSpaceDE/>
        <w:autoSpaceDN/>
        <w:bidi w:val="0"/>
        <w:adjustRightInd/>
        <w:snapToGrid w:val="0"/>
        <w:spacing w:beforeAutospacing="0" w:afterAutospacing="0" w:line="305"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（9）本项目不接受联合体投标。</w:t>
      </w:r>
    </w:p>
    <w:p w14:paraId="5BCDAFFA">
      <w:pPr>
        <w:keepNext w:val="0"/>
        <w:keepLines w:val="0"/>
        <w:pageBreakBefore w:val="0"/>
        <w:widowControl w:val="0"/>
        <w:kinsoku/>
        <w:wordWrap/>
        <w:overflowPunct/>
        <w:topLinePunct w:val="0"/>
        <w:autoSpaceDE/>
        <w:autoSpaceDN/>
        <w:bidi w:val="0"/>
        <w:adjustRightInd/>
        <w:snapToGrid w:val="0"/>
        <w:spacing w:beforeAutospacing="0" w:afterAutospacing="0" w:line="305" w:lineRule="auto"/>
        <w:ind w:left="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3.本项目的特定资格要求：投标人须具备有效的《保安服务许可证》。</w:t>
      </w:r>
    </w:p>
    <w:p w14:paraId="6F11C1D6">
      <w:pPr>
        <w:spacing w:line="360" w:lineRule="auto"/>
        <w:ind w:firstLine="482"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3、定义</w:t>
      </w:r>
    </w:p>
    <w:p w14:paraId="2924FA95">
      <w:pPr>
        <w:autoSpaceDE w:val="0"/>
        <w:autoSpaceDN w:val="0"/>
        <w:adjustRightInd w:val="0"/>
        <w:spacing w:line="360" w:lineRule="auto"/>
        <w:ind w:left="1092" w:leftChars="257" w:hanging="552"/>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color w:val="auto"/>
          <w:sz w:val="24"/>
          <w:szCs w:val="24"/>
          <w:highlight w:val="none"/>
        </w:rPr>
        <w:t>3.1 “采购人</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b w:val="0"/>
          <w:color w:val="auto"/>
          <w:kern w:val="2"/>
          <w:sz w:val="24"/>
          <w:szCs w:val="24"/>
          <w:highlight w:val="none"/>
          <w:lang w:val="en-US" w:eastAsia="zh-CN" w:bidi="ar-SA"/>
        </w:rPr>
        <w:t>和田地区人民医院</w:t>
      </w:r>
    </w:p>
    <w:p w14:paraId="096C04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“合格投标人”系指报名合格、购买了招标文件、提交了投标文件的投标人，中标后即为中标人，签订合同后即为卖方。</w:t>
      </w:r>
    </w:p>
    <w:p w14:paraId="573679D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“招标机构”为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val="0"/>
          <w:color w:val="auto"/>
          <w:kern w:val="2"/>
          <w:sz w:val="24"/>
          <w:szCs w:val="24"/>
          <w:highlight w:val="none"/>
          <w:lang w:val="en-US" w:eastAsia="zh-CN" w:bidi="ar-SA"/>
        </w:rPr>
        <w:t>新疆庆信达项目管理有限公司</w:t>
      </w:r>
    </w:p>
    <w:p w14:paraId="1DD23A7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“货物”系指卖方按合同要求，须向买方提供的一切产品及其它技术资料和材料。</w:t>
      </w:r>
    </w:p>
    <w:p w14:paraId="2EAF40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 “服务”系指合同规定卖方须承担的技术协助、本地化开发、安装、调试和交付使用后免费维护期内应履行的义务及</w:t>
      </w:r>
      <w:r>
        <w:rPr>
          <w:rFonts w:hint="eastAsia" w:ascii="仿宋" w:hAnsi="仿宋" w:eastAsia="仿宋" w:cs="仿宋"/>
          <w:color w:val="auto"/>
          <w:sz w:val="24"/>
          <w:szCs w:val="24"/>
          <w:highlight w:val="none"/>
          <w:lang w:val="en-US" w:eastAsia="zh-CN"/>
        </w:rPr>
        <w:t>质量保证</w:t>
      </w:r>
      <w:r>
        <w:rPr>
          <w:rFonts w:hint="eastAsia" w:ascii="仿宋" w:hAnsi="仿宋" w:eastAsia="仿宋" w:cs="仿宋"/>
          <w:color w:val="auto"/>
          <w:sz w:val="24"/>
          <w:szCs w:val="24"/>
          <w:highlight w:val="none"/>
        </w:rPr>
        <w:t>服务等其他类似的义务。</w:t>
      </w:r>
    </w:p>
    <w:p w14:paraId="7F6203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“卖方”系指提供合同货物和服务的法人。</w:t>
      </w:r>
    </w:p>
    <w:p w14:paraId="175AE8D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“买方”系指购买货物的单位。</w:t>
      </w:r>
    </w:p>
    <w:p w14:paraId="7D4518D1">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4、投标费用</w:t>
      </w:r>
    </w:p>
    <w:p w14:paraId="44A267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无论投标结果如何，投标人须自行承担所有与参加投标有关的全部费用。</w:t>
      </w:r>
    </w:p>
    <w:p w14:paraId="53F6F238">
      <w:pPr>
        <w:numPr>
          <w:ilvl w:val="0"/>
          <w:numId w:val="0"/>
        </w:numPr>
        <w:spacing w:line="360" w:lineRule="auto"/>
        <w:jc w:val="center"/>
        <w:outlineLvl w:val="2"/>
        <w:rPr>
          <w:rFonts w:hint="eastAsia" w:ascii="仿宋" w:hAnsi="仿宋" w:eastAsia="仿宋" w:cs="仿宋"/>
          <w:b/>
          <w:color w:val="auto"/>
          <w:sz w:val="28"/>
          <w:szCs w:val="28"/>
          <w:highlight w:val="none"/>
        </w:rPr>
      </w:pPr>
      <w:bookmarkStart w:id="45" w:name="_Toc1575"/>
      <w:bookmarkStart w:id="46" w:name="_Toc29853"/>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招标文件</w:t>
      </w:r>
      <w:bookmarkEnd w:id="45"/>
      <w:bookmarkEnd w:id="46"/>
    </w:p>
    <w:p w14:paraId="71A57929">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5、招标文件</w:t>
      </w:r>
    </w:p>
    <w:p w14:paraId="05C155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招标文件用以阐明所招标的内容，招标投标程序及合同条款，包括：</w:t>
      </w:r>
    </w:p>
    <w:p w14:paraId="6F69007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  招标公告</w:t>
      </w:r>
    </w:p>
    <w:p w14:paraId="1670E73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  投标人须知前附表</w:t>
      </w:r>
    </w:p>
    <w:p w14:paraId="4060684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5.1.3  </w:t>
      </w:r>
      <w:r>
        <w:rPr>
          <w:rFonts w:hint="eastAsia" w:ascii="仿宋" w:hAnsi="仿宋" w:eastAsia="仿宋" w:cs="仿宋"/>
          <w:color w:val="auto"/>
          <w:sz w:val="24"/>
          <w:szCs w:val="24"/>
          <w:highlight w:val="none"/>
          <w:lang w:val="en-US" w:eastAsia="zh-CN"/>
        </w:rPr>
        <w:t>招标书</w:t>
      </w:r>
    </w:p>
    <w:p w14:paraId="7929678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5.1.4  </w:t>
      </w:r>
      <w:r>
        <w:rPr>
          <w:rFonts w:hint="eastAsia" w:ascii="仿宋" w:hAnsi="仿宋" w:eastAsia="仿宋" w:cs="仿宋"/>
          <w:color w:val="auto"/>
          <w:sz w:val="24"/>
          <w:szCs w:val="24"/>
          <w:highlight w:val="none"/>
          <w:lang w:val="en-US" w:eastAsia="zh-CN"/>
        </w:rPr>
        <w:t>评标办法</w:t>
      </w:r>
    </w:p>
    <w:p w14:paraId="7127B1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5.1.5  采购需求</w:t>
      </w:r>
    </w:p>
    <w:p w14:paraId="3A5DA7D6">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5.1.6  </w:t>
      </w:r>
      <w:r>
        <w:rPr>
          <w:rFonts w:hint="eastAsia" w:ascii="仿宋" w:hAnsi="仿宋" w:eastAsia="仿宋" w:cs="仿宋"/>
          <w:color w:val="auto"/>
          <w:sz w:val="24"/>
          <w:szCs w:val="24"/>
          <w:highlight w:val="none"/>
          <w:lang w:val="en-US" w:eastAsia="zh-CN"/>
        </w:rPr>
        <w:t>合同条款及格式</w:t>
      </w:r>
    </w:p>
    <w:p w14:paraId="2DE6201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5.1.7  投标文件格式</w:t>
      </w:r>
    </w:p>
    <w:p w14:paraId="4323026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供应商应认真阅读招标文件中所有的事项、格式、条款和规范等要求，从而对招标文件作出实质性响应。如果没有按照招标文件要求提交全部招标响应文件或资料，没有对招标文件作出实质性响应，其风险应由供应商自行承担。</w:t>
      </w:r>
    </w:p>
    <w:p w14:paraId="515E706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5.3招标文件以中文编写。</w:t>
      </w:r>
    </w:p>
    <w:p w14:paraId="28456DA7">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6、招标文件的澄清</w:t>
      </w:r>
    </w:p>
    <w:p w14:paraId="53981B6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供应商对招标文件有疑问的，可以向招标代理机构提出询问，招标代理机构将及时做出答复；</w:t>
      </w:r>
    </w:p>
    <w:p w14:paraId="77E86E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6.2供应商对招标文件有质疑的，应当在获取采购文件或者采购文件公告期限届满之日起 7 个工作日内，以书面形式向招标机构提出质疑；招标机构应当在收到书面质疑之日起 7 个工作日内作出答复，并以书面形式通知质疑供应商和其他有关供应商。</w:t>
      </w:r>
    </w:p>
    <w:p w14:paraId="314F7255">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7、招标文件的修改</w:t>
      </w:r>
    </w:p>
    <w:p w14:paraId="434BB3F9">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7.1 对招标文件进行必要的修改，招标代理机构将在投标截止时间</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日前以书面形式通知所有购买招标文件的供应商。该修改的内容为招标文件的组成部分</w:t>
      </w:r>
      <w:r>
        <w:rPr>
          <w:rFonts w:hint="eastAsia" w:ascii="仿宋" w:hAnsi="仿宋" w:eastAsia="仿宋" w:cs="仿宋"/>
          <w:color w:val="auto"/>
          <w:sz w:val="24"/>
          <w:szCs w:val="24"/>
          <w:highlight w:val="none"/>
          <w:lang w:eastAsia="zh-CN"/>
        </w:rPr>
        <w:t>。</w:t>
      </w:r>
    </w:p>
    <w:p w14:paraId="18A5574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供应商在规定的时间内未对招标文件提出澄清要求的，招标代理机构将视其为同意。</w:t>
      </w:r>
    </w:p>
    <w:p w14:paraId="18A5224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在投标截止时间前，招标机构可视具体情况延长招标截止时间，并将变更时间书面通知所有购买招标文件的供应商。</w:t>
      </w:r>
    </w:p>
    <w:p w14:paraId="667144BB">
      <w:pPr>
        <w:spacing w:line="360" w:lineRule="auto"/>
        <w:ind w:firstLine="562" w:firstLineChars="200"/>
        <w:jc w:val="center"/>
        <w:outlineLvl w:val="2"/>
        <w:rPr>
          <w:rFonts w:hint="eastAsia" w:ascii="仿宋" w:hAnsi="仿宋" w:eastAsia="仿宋" w:cs="仿宋"/>
          <w:b/>
          <w:bCs/>
          <w:color w:val="auto"/>
          <w:sz w:val="28"/>
          <w:szCs w:val="28"/>
          <w:highlight w:val="none"/>
        </w:rPr>
      </w:pPr>
      <w:bookmarkStart w:id="47" w:name="_Toc4675"/>
      <w:bookmarkStart w:id="48" w:name="_Toc24935"/>
      <w:r>
        <w:rPr>
          <w:rFonts w:hint="eastAsia" w:ascii="仿宋" w:hAnsi="仿宋" w:eastAsia="仿宋" w:cs="仿宋"/>
          <w:b/>
          <w:bCs/>
          <w:color w:val="auto"/>
          <w:sz w:val="28"/>
          <w:szCs w:val="28"/>
          <w:highlight w:val="none"/>
        </w:rPr>
        <w:t>三、投标文件的编写</w:t>
      </w:r>
      <w:bookmarkEnd w:id="47"/>
      <w:bookmarkEnd w:id="48"/>
    </w:p>
    <w:p w14:paraId="5595E6C7">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8．要求</w:t>
      </w:r>
    </w:p>
    <w:p w14:paraId="02559AE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 供应商应仔细阅读招标文件的所有内容，按招标文件的要求提供招标响应文件，并保证所提供的全部资料的真实性，以使其招标响应对招标文件作出实质性响应，否则，其招标可能被拒绝。</w:t>
      </w:r>
    </w:p>
    <w:p w14:paraId="1C09ECBC">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9．招标语言</w:t>
      </w:r>
    </w:p>
    <w:p w14:paraId="5E4AADE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投标人的投标文件以及投标人与招标机构就有关招标活动的所有来往函电均应使用中文。如果投标文件或与投标有关的其它文件、信件及来往函电以其他语言书写，投标人应将其译成中文。</w:t>
      </w:r>
    </w:p>
    <w:p w14:paraId="06BAAE18">
      <w:pPr>
        <w:widowControl/>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9.2投标文件中使用的计量单位除招标文件中有特殊规定外，一律使用法定计量单位。</w:t>
      </w:r>
    </w:p>
    <w:p w14:paraId="79D28709">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10、投标文件的格式 </w:t>
      </w:r>
    </w:p>
    <w:p w14:paraId="1DC6B0D8">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10.1投标人应按招标文件提供的格式及投标报价说明完整地填写所提供的产品、服务、数量及价格。</w:t>
      </w:r>
    </w:p>
    <w:p w14:paraId="6395BDD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14:paraId="68DF749F">
      <w:pPr>
        <w:numPr>
          <w:ilvl w:val="0"/>
          <w:numId w:val="5"/>
        </w:numPr>
        <w:spacing w:line="360" w:lineRule="auto"/>
        <w:ind w:left="481"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投标文件由以下部分构成</w:t>
      </w:r>
    </w:p>
    <w:p w14:paraId="3D0ADF16">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本项目所涉投标文件格式请详见第</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章，未给出的格式请自拟。</w:t>
      </w:r>
    </w:p>
    <w:p w14:paraId="455A57F9">
      <w:pPr>
        <w:widowControl w:val="0"/>
        <w:wordWrap/>
        <w:adjustRightInd/>
        <w:snapToGrid/>
        <w:spacing w:line="360" w:lineRule="auto"/>
        <w:ind w:firstLine="241"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投标文件由</w:t>
      </w:r>
      <w:r>
        <w:rPr>
          <w:rFonts w:hint="eastAsia" w:ascii="仿宋" w:hAnsi="仿宋" w:eastAsia="仿宋" w:cs="仿宋"/>
          <w:b/>
          <w:bCs/>
          <w:color w:val="auto"/>
          <w:sz w:val="24"/>
          <w:szCs w:val="24"/>
          <w:highlight w:val="none"/>
          <w:lang w:val="en-US" w:eastAsia="zh-CN"/>
        </w:rPr>
        <w:t>经济报价部分、</w:t>
      </w:r>
      <w:r>
        <w:rPr>
          <w:rFonts w:hint="eastAsia" w:ascii="仿宋" w:hAnsi="仿宋" w:eastAsia="仿宋" w:cs="仿宋"/>
          <w:b/>
          <w:bCs/>
          <w:color w:val="auto"/>
          <w:sz w:val="24"/>
          <w:szCs w:val="24"/>
          <w:highlight w:val="none"/>
        </w:rPr>
        <w:t>商务部分、技术部分</w:t>
      </w:r>
      <w:r>
        <w:rPr>
          <w:rFonts w:hint="eastAsia" w:ascii="仿宋" w:hAnsi="仿宋" w:eastAsia="仿宋" w:cs="仿宋"/>
          <w:b/>
          <w:bCs/>
          <w:color w:val="auto"/>
          <w:sz w:val="24"/>
          <w:szCs w:val="24"/>
          <w:highlight w:val="none"/>
          <w:lang w:val="en-US" w:eastAsia="zh-CN"/>
        </w:rPr>
        <w:t>及</w:t>
      </w:r>
      <w:r>
        <w:rPr>
          <w:rFonts w:hint="eastAsia" w:ascii="仿宋" w:hAnsi="仿宋" w:eastAsia="仿宋" w:cs="仿宋"/>
          <w:b/>
          <w:bCs/>
          <w:color w:val="auto"/>
          <w:sz w:val="24"/>
          <w:szCs w:val="24"/>
          <w:highlight w:val="none"/>
        </w:rPr>
        <w:t>其他部分组成</w:t>
      </w:r>
      <w:r>
        <w:rPr>
          <w:rFonts w:hint="eastAsia" w:ascii="仿宋" w:hAnsi="仿宋" w:eastAsia="仿宋" w:cs="仿宋"/>
          <w:b/>
          <w:bCs/>
          <w:color w:val="auto"/>
          <w:sz w:val="24"/>
          <w:szCs w:val="24"/>
          <w:highlight w:val="none"/>
          <w:lang w:eastAsia="zh-CN"/>
        </w:rPr>
        <w:t>。</w:t>
      </w:r>
    </w:p>
    <w:p w14:paraId="1968F03F">
      <w:pPr>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rPr>
        <w:t>注：电子投标文件按政采云平台供应商电子招投标操作指南。建议根据招标文件合格供应商的资格要求、投标文件的编制及</w:t>
      </w:r>
      <w:r>
        <w:rPr>
          <w:rFonts w:hint="eastAsia" w:ascii="仿宋" w:hAnsi="仿宋" w:eastAsia="仿宋" w:cs="仿宋"/>
          <w:b/>
          <w:bCs/>
          <w:color w:val="auto"/>
          <w:sz w:val="24"/>
          <w:szCs w:val="24"/>
          <w:highlight w:val="none"/>
          <w:lang w:val="en-US" w:eastAsia="zh-CN"/>
        </w:rPr>
        <w:t>资格评审、响应性评审</w:t>
      </w:r>
      <w:r>
        <w:rPr>
          <w:rFonts w:hint="eastAsia" w:ascii="仿宋" w:hAnsi="仿宋" w:eastAsia="仿宋" w:cs="仿宋"/>
          <w:b/>
          <w:bCs/>
          <w:color w:val="auto"/>
          <w:sz w:val="24"/>
          <w:szCs w:val="24"/>
          <w:highlight w:val="none"/>
        </w:rPr>
        <w:t>等内容一一关联投标文件按统一格式、顺序编写。</w:t>
      </w:r>
    </w:p>
    <w:p w14:paraId="3A229B0A">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12、投标报价</w:t>
      </w:r>
    </w:p>
    <w:p w14:paraId="1744750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报价方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14:paraId="4FAF9BD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（一）投标文件中开标一览表（报价表）内容与投标文件中相应内容不一致的，以开标一览表（报价表）为准；</w:t>
      </w:r>
    </w:p>
    <w:p w14:paraId="53E4181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（二）大写金额和小写金额不一致的，以大写金额为准；</w:t>
      </w:r>
    </w:p>
    <w:p w14:paraId="0C03250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（三）单价金额小数点或者百分比有明显错位的，以开标一览表的总价为准，并修改单价；</w:t>
      </w:r>
    </w:p>
    <w:p w14:paraId="34706C6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（四）总价金额与单价汇总金额不一致的，以单价金额计算结果为准。</w:t>
      </w:r>
    </w:p>
    <w:p w14:paraId="1AA0E3C0">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12.2 供应商应在投标报价表中标明其提供的所有货物及其相关工作范围内所在费用的总价，不接受有任何选择性招标报价。</w:t>
      </w:r>
    </w:p>
    <w:p w14:paraId="49CC5BA5">
      <w:pPr>
        <w:pStyle w:val="14"/>
        <w:tabs>
          <w:tab w:val="left" w:pos="9214"/>
        </w:tabs>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12.3</w:t>
      </w:r>
      <w:r>
        <w:rPr>
          <w:rFonts w:hint="eastAsia" w:ascii="仿宋" w:hAnsi="仿宋" w:eastAsia="仿宋" w:cs="仿宋"/>
          <w:color w:val="auto"/>
          <w:sz w:val="24"/>
          <w:szCs w:val="24"/>
          <w:highlight w:val="none"/>
        </w:rPr>
        <w:t>报价时应对下列几点特别注明：</w:t>
      </w:r>
    </w:p>
    <w:p w14:paraId="4131E548">
      <w:pPr>
        <w:pStyle w:val="14"/>
        <w:tabs>
          <w:tab w:val="left" w:pos="9214"/>
        </w:tabs>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12.3.1招标文件中特别要求的备品备件、易损件和专用工具的费用；</w:t>
      </w:r>
    </w:p>
    <w:p w14:paraId="5EDFA750">
      <w:pPr>
        <w:pStyle w:val="14"/>
        <w:tabs>
          <w:tab w:val="left" w:pos="9214"/>
        </w:tabs>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12.3.2招标文件中特别要求的货物的采购、供应、运输、保险费、税费和相关售后服务等费用及其它附带服务的全部费用；</w:t>
      </w:r>
    </w:p>
    <w:p w14:paraId="1735E33D">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12.3.3国内供货人提供在中华人民共和国制造的，或已在中华人民共和国境内的国外产地的已经</w:t>
      </w:r>
      <w:r>
        <w:rPr>
          <w:rStyle w:val="155"/>
          <w:rFonts w:hint="eastAsia" w:ascii="仿宋" w:hAnsi="仿宋" w:eastAsia="仿宋" w:cs="仿宋"/>
          <w:color w:val="auto"/>
          <w:sz w:val="24"/>
          <w:szCs w:val="24"/>
          <w:highlight w:val="none"/>
        </w:rPr>
        <w:t>进口的货物的国内投标，其货物的交货价，包括制造、组装该货物所使用的零部件及原材料已付的全部关税、销售税和其他税（其关税和其他税不分别填写，计入货价内即可）</w:t>
      </w:r>
      <w:r>
        <w:rPr>
          <w:rStyle w:val="155"/>
          <w:rFonts w:hint="eastAsia" w:ascii="仿宋" w:hAnsi="仿宋" w:eastAsia="仿宋" w:cs="仿宋"/>
          <w:b w:val="0"/>
          <w:bCs w:val="0"/>
          <w:color w:val="auto"/>
          <w:sz w:val="24"/>
          <w:szCs w:val="24"/>
          <w:highlight w:val="none"/>
        </w:rPr>
        <w:t>。</w:t>
      </w:r>
    </w:p>
    <w:p w14:paraId="38E6805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算术性修正。算术性修正是指对招标响应文件的报价明细进行校核，并对其算术上和运算上的差错给予修正。修正的原则如下：</w:t>
      </w:r>
    </w:p>
    <w:p w14:paraId="7C167C9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12.4.1 当以数字表示的金额与文字表示的金额有差异时，以文字表示的金额为准；</w:t>
      </w:r>
    </w:p>
    <w:p w14:paraId="719ABD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当单价与数量相乘不等于合价时，以单价计算为准。如果单价有明显的小数点位置差错，应以标出的合价为准，同时对单价予以修正；</w:t>
      </w:r>
    </w:p>
    <w:p w14:paraId="0AC13E0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12.4.3 当各明细部分的价格累计不等于合价时，应以各明细的累计计数为准，修正合价。</w:t>
      </w:r>
    </w:p>
    <w:p w14:paraId="30789DF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12.4.4 按以上原则对算术性差错修正，应取得供应商的同意，并确认修正后最终招标报价。如果供应商拒绝确认，则其招标响应文件将不予以评审并按废标处理，没收其投标担保。</w:t>
      </w:r>
    </w:p>
    <w:p w14:paraId="5047996E">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13、投标人应逐条详细阅读招标文件有关要求，表明所提供的</w:t>
      </w:r>
      <w:r>
        <w:rPr>
          <w:rFonts w:hint="eastAsia" w:ascii="仿宋" w:hAnsi="仿宋" w:eastAsia="仿宋" w:cs="仿宋"/>
          <w:b/>
          <w:color w:val="auto"/>
          <w:sz w:val="24"/>
          <w:szCs w:val="24"/>
          <w:highlight w:val="none"/>
          <w:lang w:val="en-US" w:eastAsia="zh-CN"/>
        </w:rPr>
        <w:t>货物或</w:t>
      </w:r>
      <w:r>
        <w:rPr>
          <w:rFonts w:hint="eastAsia" w:ascii="仿宋" w:hAnsi="仿宋" w:eastAsia="仿宋" w:cs="仿宋"/>
          <w:b/>
          <w:color w:val="auto"/>
          <w:sz w:val="24"/>
          <w:szCs w:val="24"/>
          <w:highlight w:val="none"/>
        </w:rPr>
        <w:t>服务是否对招标文件做出实质性响应。</w:t>
      </w:r>
    </w:p>
    <w:p w14:paraId="7BC4348D">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14、投标有效期</w:t>
      </w:r>
    </w:p>
    <w:p w14:paraId="2DF77CD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投标</w:t>
      </w:r>
      <w:r>
        <w:rPr>
          <w:rFonts w:hint="eastAsia" w:ascii="仿宋" w:hAnsi="仿宋" w:eastAsia="仿宋" w:cs="仿宋"/>
          <w:color w:val="auto"/>
          <w:sz w:val="24"/>
          <w:szCs w:val="24"/>
          <w:highlight w:val="none"/>
          <w:lang w:eastAsia="zh-CN"/>
        </w:rPr>
        <w:t>有效期</w:t>
      </w:r>
      <w:r>
        <w:rPr>
          <w:rFonts w:hint="eastAsia" w:ascii="仿宋" w:hAnsi="仿宋" w:eastAsia="仿宋" w:cs="仿宋"/>
          <w:color w:val="auto"/>
          <w:sz w:val="24"/>
          <w:szCs w:val="24"/>
          <w:highlight w:val="none"/>
        </w:rPr>
        <w:t>从实际开标之日起</w:t>
      </w:r>
      <w:r>
        <w:rPr>
          <w:rFonts w:hint="eastAsia" w:ascii="仿宋" w:hAnsi="仿宋" w:eastAsia="仿宋" w:cs="仿宋"/>
          <w:color w:val="auto"/>
          <w:sz w:val="24"/>
          <w:szCs w:val="24"/>
          <w:highlight w:val="none"/>
          <w:u w:val="single"/>
        </w:rPr>
        <w:t xml:space="preserve"> 90</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日历天</w:t>
      </w:r>
      <w:r>
        <w:rPr>
          <w:rFonts w:hint="eastAsia" w:ascii="仿宋" w:hAnsi="仿宋" w:eastAsia="仿宋" w:cs="仿宋"/>
          <w:color w:val="auto"/>
          <w:sz w:val="24"/>
          <w:szCs w:val="24"/>
          <w:highlight w:val="none"/>
        </w:rPr>
        <w:t>内有效。有效期不足的投标文件将被拒绝。</w:t>
      </w:r>
    </w:p>
    <w:p w14:paraId="0F6C58F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如遇特殊情况，在原投标有效期届满之前，招标人可与投标人协商延长投标有效期，并经投标人确认。</w:t>
      </w:r>
    </w:p>
    <w:p w14:paraId="7373B18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14.3投标人可拒绝接受延期要求而不会导致投标保证金被没收。同意延长有效期的投标人需要相应延长投标保证金的有效期，但不能修改投标文件。 </w:t>
      </w:r>
    </w:p>
    <w:p w14:paraId="1793D46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14.4中标人的投标文件自开标之日起至合同履行完毕止均应保持有效。</w:t>
      </w:r>
    </w:p>
    <w:p w14:paraId="4A38E3E6">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15、投标文件的签署、递交、准备和解密时间要求</w:t>
      </w:r>
    </w:p>
    <w:p w14:paraId="260B1E8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15.1投标人应按本招标文件规定的格式和顺序编制、装订投标文件并标注页码，投标文件内容不完整、编排混乱导致投标文件被误读、漏读或者查找不到相关内容的，是投标人的责任。</w:t>
      </w:r>
    </w:p>
    <w:p w14:paraId="763D6FA5">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15.2投标人应于</w:t>
      </w:r>
      <w:r>
        <w:rPr>
          <w:rFonts w:hint="eastAsia" w:ascii="仿宋" w:hAnsi="仿宋" w:eastAsia="仿宋" w:cs="仿宋"/>
          <w:b/>
          <w:bCs/>
          <w:color w:val="auto"/>
          <w:sz w:val="24"/>
          <w:szCs w:val="24"/>
          <w:highlight w:val="none"/>
          <w:lang w:val="en-US" w:eastAsia="zh-CN"/>
        </w:rPr>
        <w:t>2026年05月12日11</w:t>
      </w:r>
      <w:r>
        <w:rPr>
          <w:rFonts w:hint="eastAsia" w:ascii="仿宋" w:hAnsi="仿宋" w:eastAsia="仿宋" w:cs="仿宋"/>
          <w:b/>
          <w:bCs/>
          <w:color w:val="auto"/>
          <w:sz w:val="24"/>
          <w:szCs w:val="24"/>
          <w:highlight w:val="none"/>
          <w:lang w:eastAsia="zh-CN"/>
        </w:rPr>
        <w:t>:00时整</w:t>
      </w:r>
      <w:r>
        <w:rPr>
          <w:rFonts w:hint="eastAsia" w:ascii="仿宋" w:hAnsi="仿宋" w:eastAsia="仿宋" w:cs="仿宋"/>
          <w:b/>
          <w:bCs/>
          <w:color w:val="auto"/>
          <w:sz w:val="24"/>
          <w:szCs w:val="24"/>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14:paraId="5C56D44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15.3投标文件须由投标人在规定位置盖章并由法定代表人或法定代表人的授权委托人签署，投标人应写全称。</w:t>
      </w:r>
    </w:p>
    <w:p w14:paraId="1D9448F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15.4投标文件不得涂改，若有修改错漏处，须加盖单位公章或者法定代表人或授权委托人签字或盖章。投标文件因字迹潦草或表达不清所引起的后果由投标人负责。</w:t>
      </w:r>
    </w:p>
    <w:p w14:paraId="03AB8F7F">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15.5</w:t>
      </w:r>
      <w:r>
        <w:rPr>
          <w:rFonts w:hint="eastAsia" w:ascii="仿宋" w:hAnsi="仿宋" w:eastAsia="仿宋" w:cs="仿宋"/>
          <w:b/>
          <w:bCs/>
          <w:color w:val="auto"/>
          <w:sz w:val="24"/>
          <w:szCs w:val="24"/>
          <w:highlight w:val="none"/>
        </w:rPr>
        <w:t xml:space="preserve">、本项目实行网上投标，采用电子投标文件。若供应商参与投标，自行承担投标一切费用。 </w:t>
      </w:r>
    </w:p>
    <w:p w14:paraId="50C79994">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15.6</w:t>
      </w:r>
      <w:r>
        <w:rPr>
          <w:rFonts w:hint="eastAsia" w:ascii="仿宋" w:hAnsi="仿宋" w:eastAsia="仿宋" w:cs="仿宋"/>
          <w:b/>
          <w:bCs/>
          <w:color w:val="auto"/>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14:paraId="10BE86D1">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15.7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396F24E4">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15.8</w:t>
      </w:r>
      <w:r>
        <w:rPr>
          <w:rFonts w:hint="eastAsia" w:ascii="仿宋" w:hAnsi="仿宋" w:eastAsia="仿宋" w:cs="仿宋"/>
          <w:b/>
          <w:bCs/>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26F417AA">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15.9开标时间后</w:t>
      </w:r>
      <w:r>
        <w:rPr>
          <w:rFonts w:hint="eastAsia" w:ascii="仿宋" w:hAnsi="仿宋" w:eastAsia="仿宋" w:cs="仿宋"/>
          <w:b/>
          <w:bCs/>
          <w:color w:val="auto"/>
          <w:sz w:val="24"/>
          <w:szCs w:val="24"/>
          <w:highlight w:val="none"/>
          <w:lang w:val="en-US" w:eastAsia="zh-CN"/>
        </w:rPr>
        <w:t>30分钟</w:t>
      </w:r>
      <w:r>
        <w:rPr>
          <w:rFonts w:hint="eastAsia" w:ascii="仿宋" w:hAnsi="仿宋" w:eastAsia="仿宋" w:cs="仿宋"/>
          <w:b/>
          <w:bCs/>
          <w:color w:val="auto"/>
          <w:sz w:val="24"/>
          <w:szCs w:val="24"/>
          <w:highlight w:val="none"/>
        </w:rPr>
        <w:t>内</w:t>
      </w:r>
      <w:r>
        <w:rPr>
          <w:rFonts w:hint="eastAsia" w:ascii="仿宋" w:hAnsi="仿宋" w:eastAsia="仿宋" w:cs="仿宋"/>
          <w:b/>
          <w:bCs w:val="0"/>
          <w:color w:val="auto"/>
          <w:sz w:val="24"/>
          <w:szCs w:val="24"/>
          <w:highlight w:val="none"/>
        </w:rPr>
        <w:t>供应商可以登录“政采云”平台</w:t>
      </w:r>
      <w:r>
        <w:rPr>
          <w:rFonts w:hint="eastAsia" w:ascii="仿宋" w:hAnsi="仿宋" w:eastAsia="仿宋" w:cs="仿宋"/>
          <w:b/>
          <w:bCs w:val="0"/>
          <w:color w:val="auto"/>
          <w:sz w:val="24"/>
          <w:szCs w:val="24"/>
          <w:highlight w:val="none"/>
          <w:lang w:eastAsia="zh-CN"/>
        </w:rPr>
        <w:t>，使</w:t>
      </w:r>
      <w:r>
        <w:rPr>
          <w:rFonts w:hint="eastAsia" w:ascii="仿宋" w:hAnsi="仿宋" w:eastAsia="仿宋" w:cs="仿宋"/>
          <w:b/>
          <w:bCs w:val="0"/>
          <w:color w:val="auto"/>
          <w:sz w:val="24"/>
          <w:szCs w:val="24"/>
          <w:highlight w:val="none"/>
        </w:rPr>
        <w:t>用“项目采购-开标评标”功能进行解密投标文件。若供应商在</w:t>
      </w:r>
      <w:r>
        <w:rPr>
          <w:rFonts w:hint="eastAsia" w:ascii="仿宋" w:hAnsi="仿宋" w:eastAsia="仿宋" w:cs="仿宋"/>
          <w:b/>
          <w:bCs/>
          <w:color w:val="auto"/>
          <w:sz w:val="24"/>
          <w:szCs w:val="24"/>
          <w:highlight w:val="none"/>
        </w:rPr>
        <w:t>开标时间后</w:t>
      </w:r>
      <w:r>
        <w:rPr>
          <w:rFonts w:hint="eastAsia" w:ascii="仿宋" w:hAnsi="仿宋" w:eastAsia="仿宋" w:cs="仿宋"/>
          <w:b/>
          <w:bCs/>
          <w:color w:val="auto"/>
          <w:sz w:val="24"/>
          <w:szCs w:val="24"/>
          <w:highlight w:val="none"/>
          <w:lang w:val="en-US" w:eastAsia="zh-CN"/>
        </w:rPr>
        <w:t>30分钟</w:t>
      </w:r>
      <w:r>
        <w:rPr>
          <w:rFonts w:hint="eastAsia" w:ascii="仿宋" w:hAnsi="仿宋" w:eastAsia="仿宋" w:cs="仿宋"/>
          <w:b/>
          <w:bCs/>
          <w:color w:val="auto"/>
          <w:sz w:val="24"/>
          <w:szCs w:val="24"/>
          <w:highlight w:val="none"/>
        </w:rPr>
        <w:t>内</w:t>
      </w:r>
      <w:r>
        <w:rPr>
          <w:rFonts w:hint="eastAsia" w:ascii="仿宋" w:hAnsi="仿宋" w:eastAsia="仿宋" w:cs="仿宋"/>
          <w:b/>
          <w:bCs w:val="0"/>
          <w:color w:val="auto"/>
          <w:sz w:val="24"/>
          <w:szCs w:val="24"/>
          <w:highlight w:val="none"/>
        </w:rPr>
        <w:t>未按时解密的，视为投标文件撤回</w:t>
      </w:r>
      <w:r>
        <w:rPr>
          <w:rFonts w:hint="eastAsia" w:ascii="仿宋" w:hAnsi="仿宋" w:eastAsia="仿宋" w:cs="仿宋"/>
          <w:b/>
          <w:bCs/>
          <w:color w:val="auto"/>
          <w:sz w:val="24"/>
          <w:szCs w:val="24"/>
          <w:highlight w:val="none"/>
        </w:rPr>
        <w:t>。</w:t>
      </w:r>
    </w:p>
    <w:p w14:paraId="78A4A3B8">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16、投标保证金</w:t>
      </w:r>
    </w:p>
    <w:p w14:paraId="0666F7C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投标保证金数额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详见投标人须知前附表。</w:t>
      </w:r>
    </w:p>
    <w:p w14:paraId="02DF67F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投标保证金用于应对本次招标因投标人违规、违约而产生的风险。</w:t>
      </w:r>
    </w:p>
    <w:p w14:paraId="1E65EC53">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16.3 投标人必须于投标截止时间之前</w:t>
      </w:r>
      <w:r>
        <w:rPr>
          <w:rFonts w:hint="eastAsia" w:ascii="仿宋" w:hAnsi="仿宋" w:eastAsia="仿宋" w:cs="仿宋"/>
          <w:b/>
          <w:bCs/>
          <w:color w:val="auto"/>
          <w:sz w:val="24"/>
          <w:szCs w:val="24"/>
          <w:highlight w:val="none"/>
          <w:u w:val="single"/>
        </w:rPr>
        <w:t>（详</w:t>
      </w:r>
      <w:r>
        <w:rPr>
          <w:rFonts w:hint="eastAsia" w:ascii="仿宋" w:hAnsi="仿宋" w:eastAsia="仿宋" w:cs="仿宋"/>
          <w:b/>
          <w:color w:val="auto"/>
          <w:sz w:val="24"/>
          <w:szCs w:val="24"/>
          <w:highlight w:val="none"/>
          <w:u w:val="single"/>
        </w:rPr>
        <w:t>见投标人须知前附表规定）</w:t>
      </w:r>
      <w:r>
        <w:rPr>
          <w:rFonts w:hint="eastAsia" w:ascii="仿宋" w:hAnsi="仿宋" w:eastAsia="仿宋" w:cs="仿宋"/>
          <w:color w:val="auto"/>
          <w:sz w:val="24"/>
          <w:szCs w:val="24"/>
          <w:highlight w:val="none"/>
        </w:rPr>
        <w:t>按将投标保证金交纳至规定的帐号，对未按要求提交投标保证金的投标书，招标机构将视为不响应投标予以拒绝。</w:t>
      </w:r>
    </w:p>
    <w:p w14:paraId="69B3624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16.4 </w:t>
      </w:r>
      <w:r>
        <w:rPr>
          <w:rFonts w:hint="eastAsia" w:ascii="仿宋" w:hAnsi="仿宋" w:eastAsia="仿宋" w:cs="仿宋"/>
          <w:color w:val="auto"/>
          <w:sz w:val="24"/>
          <w:szCs w:val="24"/>
          <w:highlight w:val="none"/>
          <w:lang w:val="en-US" w:eastAsia="zh-CN"/>
        </w:rPr>
        <w:t>2、</w:t>
      </w:r>
      <w:r>
        <w:rPr>
          <w:rFonts w:hint="eastAsia" w:ascii="仿宋" w:hAnsi="仿宋" w:eastAsia="仿宋" w:cs="仿宋"/>
          <w:b w:val="0"/>
          <w:bCs/>
          <w:i w:val="0"/>
          <w:caps w:val="0"/>
          <w:color w:val="auto"/>
          <w:spacing w:val="0"/>
          <w:sz w:val="24"/>
          <w:szCs w:val="24"/>
          <w:highlight w:val="none"/>
          <w:shd w:val="clear" w:color="auto" w:fill="FFFFFF"/>
          <w:lang w:val="en-US" w:eastAsia="zh-CN"/>
        </w:rPr>
        <w:t>投标保证金缴纳方式：支票、汇票、本票或者金融机构、担保机构出具的保函、转账等非现金形式，《关于促进政府采购公平竞争优化营商环境的通知》[财库〔2019〕38号文]。请各投标企业充分考虑当前营商环境情况，选择切实可行的方式缴纳</w:t>
      </w:r>
      <w:r>
        <w:rPr>
          <w:rFonts w:hint="eastAsia" w:ascii="仿宋" w:hAnsi="仿宋" w:eastAsia="仿宋" w:cs="仿宋"/>
          <w:color w:val="auto"/>
          <w:sz w:val="24"/>
          <w:szCs w:val="24"/>
          <w:highlight w:val="none"/>
        </w:rPr>
        <w:t>。</w:t>
      </w:r>
    </w:p>
    <w:p w14:paraId="00342849">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16.5在招标方规定的投标有效期满之前，招标方将以书面形式 发出《中标通知书》，《中标通知书》一经发出即发生法律效力。</w:t>
      </w:r>
    </w:p>
    <w:p w14:paraId="5CC9463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 发生以下情况投标保证金可能被没收：</w:t>
      </w:r>
    </w:p>
    <w:p w14:paraId="3F6114A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16.6.1 投标人在投标有效期内撤回投标的；</w:t>
      </w:r>
    </w:p>
    <w:p w14:paraId="4B6C7E4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16.6.2 中标人未能做到：中标后，无正当理由放弃中标资格。</w:t>
      </w:r>
    </w:p>
    <w:p w14:paraId="0B7D1AB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16.6.3 投标人在投标过程中有违反有关法律法规行为的。</w:t>
      </w:r>
    </w:p>
    <w:p w14:paraId="2F1D20EC">
      <w:pPr>
        <w:numPr>
          <w:ilvl w:val="0"/>
          <w:numId w:val="0"/>
        </w:numPr>
        <w:spacing w:line="360" w:lineRule="auto"/>
        <w:jc w:val="center"/>
        <w:outlineLvl w:val="2"/>
        <w:rPr>
          <w:rFonts w:hint="eastAsia" w:ascii="仿宋" w:hAnsi="仿宋" w:eastAsia="仿宋" w:cs="仿宋"/>
          <w:b/>
          <w:color w:val="auto"/>
          <w:sz w:val="28"/>
          <w:szCs w:val="28"/>
          <w:highlight w:val="none"/>
        </w:rPr>
      </w:pPr>
      <w:bookmarkStart w:id="49" w:name="_Toc22295"/>
      <w:bookmarkStart w:id="50" w:name="_Toc22171"/>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rPr>
        <w:t>投标文件的递交</w:t>
      </w:r>
      <w:bookmarkEnd w:id="49"/>
      <w:bookmarkEnd w:id="50"/>
    </w:p>
    <w:p w14:paraId="1707418D">
      <w:pPr>
        <w:widowControl/>
        <w:wordWrap/>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17.1.投标文件的准备和解密</w:t>
      </w:r>
    </w:p>
    <w:p w14:paraId="6DC0A680">
      <w:pPr>
        <w:widowControl/>
        <w:wordWrap/>
        <w:autoSpaceDE w:val="0"/>
        <w:autoSpaceDN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17.</w:t>
      </w:r>
      <w:r>
        <w:rPr>
          <w:rFonts w:hint="eastAsia" w:ascii="仿宋" w:hAnsi="仿宋" w:eastAsia="仿宋" w:cs="仿宋"/>
          <w:b/>
          <w:bCs/>
          <w:color w:val="auto"/>
          <w:kern w:val="0"/>
          <w:sz w:val="24"/>
          <w:szCs w:val="24"/>
          <w:highlight w:val="none"/>
        </w:rPr>
        <w:t xml:space="preserve">1、本项目实行网上投标，采用电子投标文件。若供应商参与投标，自行承担投标一切费用。 </w:t>
      </w:r>
    </w:p>
    <w:p w14:paraId="61D5ADD3">
      <w:pPr>
        <w:widowControl/>
        <w:wordWrap/>
        <w:autoSpaceDE w:val="0"/>
        <w:autoSpaceDN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17.</w:t>
      </w:r>
      <w:r>
        <w:rPr>
          <w:rFonts w:hint="eastAsia" w:ascii="仿宋" w:hAnsi="仿宋" w:eastAsia="仿宋" w:cs="仿宋"/>
          <w:b/>
          <w:bCs/>
          <w:color w:val="auto"/>
          <w:kern w:val="0"/>
          <w:sz w:val="24"/>
          <w:szCs w:val="24"/>
          <w:highlight w:val="none"/>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14:paraId="25471CFC">
      <w:pPr>
        <w:widowControl/>
        <w:wordWrap/>
        <w:autoSpaceDE w:val="0"/>
        <w:autoSpaceDN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17.</w:t>
      </w:r>
      <w:r>
        <w:rPr>
          <w:rFonts w:hint="eastAsia" w:ascii="仿宋" w:hAnsi="仿宋" w:eastAsia="仿宋" w:cs="仿宋"/>
          <w:b/>
          <w:bCs/>
          <w:color w:val="auto"/>
          <w:kern w:val="0"/>
          <w:sz w:val="24"/>
          <w:szCs w:val="24"/>
          <w:highlight w:val="none"/>
        </w:rPr>
        <w:t>3、</w:t>
      </w:r>
      <w:r>
        <w:rPr>
          <w:rFonts w:hint="eastAsia" w:ascii="仿宋" w:hAnsi="仿宋" w:eastAsia="仿宋" w:cs="仿宋"/>
          <w:b/>
          <w:bCs/>
          <w:color w:val="auto"/>
          <w:kern w:val="0"/>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2187B8D1">
      <w:pPr>
        <w:widowControl/>
        <w:wordWrap/>
        <w:autoSpaceDE w:val="0"/>
        <w:autoSpaceDN w:val="0"/>
        <w:adjustRightInd w:val="0"/>
        <w:snapToGrid w:val="0"/>
        <w:spacing w:line="360" w:lineRule="auto"/>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 </w:t>
      </w:r>
      <w:r>
        <w:rPr>
          <w:rFonts w:hint="eastAsia" w:ascii="仿宋" w:hAnsi="仿宋" w:eastAsia="仿宋" w:cs="仿宋"/>
          <w:b/>
          <w:bCs/>
          <w:color w:val="auto"/>
          <w:kern w:val="0"/>
          <w:sz w:val="24"/>
          <w:szCs w:val="24"/>
          <w:highlight w:val="none"/>
          <w:lang w:val="en-US" w:eastAsia="zh-CN"/>
        </w:rPr>
        <w:t xml:space="preserve">  17.</w:t>
      </w:r>
      <w:r>
        <w:rPr>
          <w:rFonts w:hint="eastAsia" w:ascii="仿宋" w:hAnsi="仿宋" w:eastAsia="仿宋" w:cs="仿宋"/>
          <w:b/>
          <w:bCs/>
          <w:color w:val="auto"/>
          <w:kern w:val="0"/>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6FEF52F8">
      <w:pPr>
        <w:widowControl/>
        <w:wordWrap/>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val="en-US" w:eastAsia="zh-CN"/>
        </w:rPr>
        <w:t>5</w:t>
      </w:r>
      <w:r>
        <w:rPr>
          <w:rFonts w:hint="eastAsia" w:ascii="仿宋" w:hAnsi="仿宋" w:eastAsia="仿宋" w:cs="仿宋"/>
          <w:b/>
          <w:bCs/>
          <w:color w:val="auto"/>
          <w:sz w:val="24"/>
          <w:szCs w:val="24"/>
          <w:highlight w:val="none"/>
        </w:rPr>
        <w:t>开标时间后</w:t>
      </w:r>
      <w:r>
        <w:rPr>
          <w:rFonts w:hint="eastAsia" w:ascii="仿宋" w:hAnsi="仿宋" w:eastAsia="仿宋" w:cs="仿宋"/>
          <w:b/>
          <w:bCs/>
          <w:color w:val="auto"/>
          <w:sz w:val="24"/>
          <w:szCs w:val="24"/>
          <w:highlight w:val="none"/>
          <w:lang w:val="en-US" w:eastAsia="zh-CN"/>
        </w:rPr>
        <w:t>30分钟</w:t>
      </w:r>
      <w:r>
        <w:rPr>
          <w:rFonts w:hint="eastAsia" w:ascii="仿宋" w:hAnsi="仿宋" w:eastAsia="仿宋" w:cs="仿宋"/>
          <w:b/>
          <w:bCs/>
          <w:color w:val="auto"/>
          <w:sz w:val="24"/>
          <w:szCs w:val="24"/>
          <w:highlight w:val="none"/>
        </w:rPr>
        <w:t>内</w:t>
      </w:r>
      <w:r>
        <w:rPr>
          <w:rFonts w:hint="eastAsia" w:ascii="仿宋" w:hAnsi="仿宋" w:eastAsia="仿宋" w:cs="仿宋"/>
          <w:b/>
          <w:bCs w:val="0"/>
          <w:color w:val="auto"/>
          <w:sz w:val="24"/>
          <w:szCs w:val="24"/>
          <w:highlight w:val="none"/>
        </w:rPr>
        <w:t>供应商可以登录“政采云”平台</w:t>
      </w:r>
      <w:r>
        <w:rPr>
          <w:rFonts w:hint="eastAsia" w:ascii="仿宋" w:hAnsi="仿宋" w:eastAsia="仿宋" w:cs="仿宋"/>
          <w:b/>
          <w:bCs w:val="0"/>
          <w:color w:val="auto"/>
          <w:sz w:val="24"/>
          <w:szCs w:val="24"/>
          <w:highlight w:val="none"/>
          <w:lang w:eastAsia="zh-CN"/>
        </w:rPr>
        <w:t>，使</w:t>
      </w:r>
      <w:r>
        <w:rPr>
          <w:rFonts w:hint="eastAsia" w:ascii="仿宋" w:hAnsi="仿宋" w:eastAsia="仿宋" w:cs="仿宋"/>
          <w:b/>
          <w:bCs w:val="0"/>
          <w:color w:val="auto"/>
          <w:sz w:val="24"/>
          <w:szCs w:val="24"/>
          <w:highlight w:val="none"/>
        </w:rPr>
        <w:t>用“项目采购-开标评标”功能进行解密投标文件。若供应商在</w:t>
      </w:r>
      <w:r>
        <w:rPr>
          <w:rFonts w:hint="eastAsia" w:ascii="仿宋" w:hAnsi="仿宋" w:eastAsia="仿宋" w:cs="仿宋"/>
          <w:b/>
          <w:bCs/>
          <w:color w:val="auto"/>
          <w:sz w:val="24"/>
          <w:szCs w:val="24"/>
          <w:highlight w:val="none"/>
        </w:rPr>
        <w:t>开标时间后</w:t>
      </w:r>
      <w:r>
        <w:rPr>
          <w:rFonts w:hint="eastAsia" w:ascii="仿宋" w:hAnsi="仿宋" w:eastAsia="仿宋" w:cs="仿宋"/>
          <w:b/>
          <w:bCs/>
          <w:color w:val="auto"/>
          <w:sz w:val="24"/>
          <w:szCs w:val="24"/>
          <w:highlight w:val="none"/>
          <w:lang w:val="en-US" w:eastAsia="zh-CN"/>
        </w:rPr>
        <w:t>30分钟</w:t>
      </w:r>
      <w:r>
        <w:rPr>
          <w:rFonts w:hint="eastAsia" w:ascii="仿宋" w:hAnsi="仿宋" w:eastAsia="仿宋" w:cs="仿宋"/>
          <w:b/>
          <w:bCs/>
          <w:color w:val="auto"/>
          <w:sz w:val="24"/>
          <w:szCs w:val="24"/>
          <w:highlight w:val="none"/>
        </w:rPr>
        <w:t>内</w:t>
      </w:r>
      <w:r>
        <w:rPr>
          <w:rFonts w:hint="eastAsia" w:ascii="仿宋" w:hAnsi="仿宋" w:eastAsia="仿宋" w:cs="仿宋"/>
          <w:b/>
          <w:bCs w:val="0"/>
          <w:color w:val="auto"/>
          <w:sz w:val="24"/>
          <w:szCs w:val="24"/>
          <w:highlight w:val="none"/>
        </w:rPr>
        <w:t>未按时解密的，视为投标文件撤回</w:t>
      </w:r>
      <w:r>
        <w:rPr>
          <w:rFonts w:hint="eastAsia" w:ascii="仿宋" w:hAnsi="仿宋" w:eastAsia="仿宋" w:cs="仿宋"/>
          <w:b/>
          <w:bCs/>
          <w:color w:val="auto"/>
          <w:sz w:val="24"/>
          <w:szCs w:val="24"/>
          <w:highlight w:val="none"/>
        </w:rPr>
        <w:t>。</w:t>
      </w:r>
    </w:p>
    <w:p w14:paraId="68B8E9D8">
      <w:pPr>
        <w:widowControl/>
        <w:wordWrap/>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rPr>
        <w:t>因系统（非投标供应商行为）的原因，造成投标供应商未能在规定的解密时限内解密的，请及时与招标代理机构或与新疆政府采购网投标客户端进行联系。</w:t>
      </w:r>
    </w:p>
    <w:p w14:paraId="56403F13">
      <w:pPr>
        <w:widowControl/>
        <w:wordWrap/>
        <w:autoSpaceDE w:val="0"/>
        <w:autoSpaceDN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val="en-US" w:eastAsia="zh-CN"/>
        </w:rPr>
        <w:t>7</w:t>
      </w:r>
      <w:r>
        <w:rPr>
          <w:rFonts w:hint="eastAsia" w:ascii="仿宋" w:hAnsi="仿宋" w:eastAsia="仿宋" w:cs="仿宋"/>
          <w:b/>
          <w:bCs/>
          <w:color w:val="auto"/>
          <w:kern w:val="0"/>
          <w:sz w:val="24"/>
          <w:szCs w:val="24"/>
          <w:highlight w:val="none"/>
        </w:rPr>
        <w:t>投标文件未按规定上传的，视为其自动放弃投标。</w:t>
      </w:r>
    </w:p>
    <w:p w14:paraId="1735E4FD">
      <w:pPr>
        <w:widowControl/>
        <w:shd w:val="clear" w:color="auto" w:fill="FFFFFF"/>
        <w:wordWrap/>
        <w:snapToGrid w:val="0"/>
        <w:spacing w:line="360" w:lineRule="auto"/>
        <w:ind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17.2</w:t>
      </w:r>
      <w:r>
        <w:rPr>
          <w:rFonts w:hint="eastAsia" w:ascii="仿宋" w:hAnsi="仿宋" w:eastAsia="仿宋" w:cs="仿宋"/>
          <w:b/>
          <w:bCs/>
          <w:color w:val="auto"/>
          <w:kern w:val="0"/>
          <w:sz w:val="24"/>
          <w:szCs w:val="24"/>
          <w:highlight w:val="none"/>
        </w:rPr>
        <w:t xml:space="preserve">. </w:t>
      </w:r>
      <w:r>
        <w:rPr>
          <w:rFonts w:hint="eastAsia" w:ascii="仿宋" w:hAnsi="仿宋" w:eastAsia="仿宋" w:cs="仿宋"/>
          <w:b/>
          <w:color w:val="auto"/>
          <w:kern w:val="0"/>
          <w:sz w:val="24"/>
          <w:szCs w:val="24"/>
          <w:highlight w:val="none"/>
        </w:rPr>
        <w:t>投标文件的修改与撤回</w:t>
      </w:r>
    </w:p>
    <w:p w14:paraId="18A334A5">
      <w:pPr>
        <w:widowControl/>
        <w:wordWrap/>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17.2.1投标人在投标截止时间前，可以对所递交的投标文件进行补充、修改或者撤回，并书面通知采购人或者采购代理机构。补充、修改的内容应当按照招标文件要求签署、盖章</w:t>
      </w:r>
      <w:r>
        <w:rPr>
          <w:rFonts w:hint="eastAsia" w:ascii="仿宋" w:hAnsi="仿宋" w:eastAsia="仿宋" w:cs="仿宋"/>
          <w:color w:val="auto"/>
          <w:kern w:val="0"/>
          <w:sz w:val="24"/>
          <w:szCs w:val="24"/>
          <w:highlight w:val="none"/>
          <w:lang w:val="en-US" w:eastAsia="zh-CN"/>
        </w:rPr>
        <w:t>后</w:t>
      </w:r>
      <w:r>
        <w:rPr>
          <w:rFonts w:hint="eastAsia" w:ascii="仿宋" w:hAnsi="仿宋" w:eastAsia="仿宋" w:cs="仿宋"/>
          <w:color w:val="auto"/>
          <w:kern w:val="0"/>
          <w:sz w:val="24"/>
          <w:szCs w:val="24"/>
          <w:highlight w:val="none"/>
        </w:rPr>
        <w:t>，作为投标文件的组成部分。</w:t>
      </w:r>
    </w:p>
    <w:p w14:paraId="1A7ED5B7">
      <w:pPr>
        <w:widowControl/>
        <w:wordWrap/>
        <w:spacing w:line="360" w:lineRule="auto"/>
        <w:ind w:firstLine="480"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17.2.2投标人在投标截止期后不得修改、撤回投标文件。</w:t>
      </w:r>
      <w:r>
        <w:rPr>
          <w:rFonts w:hint="eastAsia" w:ascii="仿宋" w:hAnsi="仿宋" w:eastAsia="仿宋" w:cs="仿宋"/>
          <w:b/>
          <w:color w:val="auto"/>
          <w:kern w:val="0"/>
          <w:sz w:val="24"/>
          <w:szCs w:val="24"/>
          <w:highlight w:val="none"/>
        </w:rPr>
        <w:t>投标人在投标截止期后修改投标文件的，其投标无效。</w:t>
      </w:r>
    </w:p>
    <w:p w14:paraId="0BD9EB0E">
      <w:pPr>
        <w:widowControl/>
        <w:wordWrap/>
        <w:autoSpaceDE w:val="0"/>
        <w:autoSpaceDN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17.2.3若供应商在规定的时间内（“投标人须知前附表”中</w:t>
      </w:r>
      <w:r>
        <w:rPr>
          <w:rFonts w:hint="eastAsia" w:ascii="仿宋" w:hAnsi="仿宋" w:eastAsia="仿宋" w:cs="仿宋"/>
          <w:b/>
          <w:bCs/>
          <w:color w:val="auto"/>
          <w:kern w:val="0"/>
          <w:sz w:val="24"/>
          <w:szCs w:val="24"/>
          <w:highlight w:val="none"/>
          <w:lang w:eastAsia="zh-CN"/>
        </w:rPr>
        <w:t>的</w:t>
      </w:r>
      <w:r>
        <w:rPr>
          <w:rFonts w:hint="eastAsia" w:ascii="仿宋" w:hAnsi="仿宋" w:eastAsia="仿宋" w:cs="仿宋"/>
          <w:b/>
          <w:bCs/>
          <w:color w:val="auto"/>
          <w:kern w:val="0"/>
          <w:sz w:val="24"/>
          <w:szCs w:val="24"/>
          <w:highlight w:val="none"/>
        </w:rPr>
        <w:t>规定）未能解密的，也将被视为供应商对其投标文件的撤回。</w:t>
      </w:r>
    </w:p>
    <w:p w14:paraId="1E020726">
      <w:pPr>
        <w:numPr>
          <w:ilvl w:val="0"/>
          <w:numId w:val="0"/>
        </w:numPr>
        <w:spacing w:line="360" w:lineRule="auto"/>
        <w:jc w:val="center"/>
        <w:outlineLvl w:val="2"/>
        <w:rPr>
          <w:rFonts w:hint="eastAsia" w:ascii="仿宋" w:hAnsi="仿宋" w:eastAsia="仿宋" w:cs="仿宋"/>
          <w:b/>
          <w:color w:val="auto"/>
          <w:sz w:val="28"/>
          <w:szCs w:val="28"/>
          <w:highlight w:val="none"/>
        </w:rPr>
      </w:pPr>
      <w:bookmarkStart w:id="51" w:name="_Toc17234"/>
      <w:bookmarkStart w:id="52" w:name="_Toc18548"/>
      <w:r>
        <w:rPr>
          <w:rFonts w:hint="eastAsia" w:ascii="仿宋" w:hAnsi="仿宋" w:eastAsia="仿宋" w:cs="仿宋"/>
          <w:b/>
          <w:color w:val="auto"/>
          <w:sz w:val="28"/>
          <w:szCs w:val="28"/>
          <w:highlight w:val="none"/>
          <w:lang w:eastAsia="zh-CN"/>
        </w:rPr>
        <w:t>五、</w:t>
      </w:r>
      <w:r>
        <w:rPr>
          <w:rFonts w:hint="eastAsia" w:ascii="仿宋" w:hAnsi="仿宋" w:eastAsia="仿宋" w:cs="仿宋"/>
          <w:b/>
          <w:color w:val="auto"/>
          <w:sz w:val="28"/>
          <w:szCs w:val="28"/>
          <w:highlight w:val="none"/>
        </w:rPr>
        <w:t>开   标</w:t>
      </w:r>
      <w:bookmarkEnd w:id="51"/>
      <w:bookmarkEnd w:id="52"/>
    </w:p>
    <w:p w14:paraId="481F9F2B">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kern w:val="0"/>
          <w:sz w:val="24"/>
          <w:szCs w:val="24"/>
          <w:highlight w:val="none"/>
        </w:rPr>
        <w:t>8</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开标</w:t>
      </w:r>
    </w:p>
    <w:p w14:paraId="21C9A985">
      <w:pPr>
        <w:spacing w:line="360" w:lineRule="auto"/>
        <w:rPr>
          <w:rFonts w:hint="eastAsia" w:ascii="仿宋" w:hAnsi="仿宋" w:eastAsia="仿宋" w:cs="仿宋"/>
          <w:b w:val="0"/>
          <w:bCs w:val="0"/>
          <w:color w:val="auto"/>
          <w:kern w:val="0"/>
          <w:sz w:val="24"/>
          <w:szCs w:val="24"/>
          <w:highlight w:val="none"/>
        </w:rPr>
      </w:pPr>
      <w:bookmarkStart w:id="53" w:name="_Toc12791"/>
      <w:bookmarkStart w:id="54" w:name="_Toc11241"/>
      <w:r>
        <w:rPr>
          <w:rFonts w:hint="eastAsia" w:ascii="仿宋" w:hAnsi="仿宋" w:eastAsia="仿宋" w:cs="仿宋"/>
          <w:b w:val="0"/>
          <w:bCs w:val="0"/>
          <w:color w:val="auto"/>
          <w:kern w:val="0"/>
          <w:sz w:val="24"/>
          <w:szCs w:val="24"/>
          <w:highlight w:val="none"/>
        </w:rPr>
        <w:t>18.1. 开标</w:t>
      </w:r>
    </w:p>
    <w:p w14:paraId="185CB4FD">
      <w:pPr>
        <w:spacing w:line="360" w:lineRule="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18.1.1 本次采用不见面方式网上开标。</w:t>
      </w:r>
    </w:p>
    <w:p w14:paraId="4FA1C493">
      <w:pPr>
        <w:spacing w:line="360" w:lineRule="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18.1.2开标由招标代理机构主持，招标人、投标人和有关方面代表参加。</w:t>
      </w:r>
    </w:p>
    <w:p w14:paraId="2DF02367">
      <w:pPr>
        <w:spacing w:line="360" w:lineRule="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18.1.3开标时，由采购代理机构工作人员当众在不见面开标大厅解密，宣布投标人名称、投标价格和招标文件规定的需要宣布的其他内容。投标人不足3家的，不得开标。</w:t>
      </w:r>
    </w:p>
    <w:p w14:paraId="5DEC8109">
      <w:pPr>
        <w:spacing w:line="360" w:lineRule="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18.1.4开标时，投标报价以系统显示投标报价为准。 </w:t>
      </w:r>
    </w:p>
    <w:p w14:paraId="34A14DAB">
      <w:pPr>
        <w:spacing w:line="360" w:lineRule="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BF583B9">
      <w:pPr>
        <w:spacing w:line="360" w:lineRule="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18.1.6投标人代表在开标过程中未提出异议的，视为认可本次开标及开标过程的全部事宜。</w:t>
      </w:r>
    </w:p>
    <w:p w14:paraId="38346F39">
      <w:pPr>
        <w:numPr>
          <w:ilvl w:val="0"/>
          <w:numId w:val="0"/>
        </w:numPr>
        <w:spacing w:line="360" w:lineRule="auto"/>
        <w:jc w:val="center"/>
        <w:outlineLvl w:val="2"/>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eastAsia="zh-CN"/>
        </w:rPr>
        <w:t>六、</w:t>
      </w:r>
      <w:r>
        <w:rPr>
          <w:rFonts w:hint="eastAsia" w:ascii="仿宋" w:hAnsi="仿宋" w:eastAsia="仿宋" w:cs="仿宋"/>
          <w:b/>
          <w:bCs/>
          <w:color w:val="auto"/>
          <w:kern w:val="0"/>
          <w:sz w:val="28"/>
          <w:szCs w:val="28"/>
          <w:highlight w:val="none"/>
        </w:rPr>
        <w:t>评标、定标</w:t>
      </w:r>
      <w:bookmarkEnd w:id="53"/>
      <w:bookmarkEnd w:id="54"/>
    </w:p>
    <w:p w14:paraId="576DC234">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19、评标</w:t>
      </w:r>
    </w:p>
    <w:p w14:paraId="2DA7C38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19.1  评标委员会  </w:t>
      </w:r>
    </w:p>
    <w:p w14:paraId="60A2C5E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19.1.1 评标委员会或评标小组（以下简称评标委员会）的评标工作由招标单位负责组织，具体评标事务由评标委员会负责，并独立履行其法规规定的职责。</w:t>
      </w:r>
    </w:p>
    <w:p w14:paraId="5D3F447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19.1.2 评标委员会由招标人和专家库中熟悉相关技术的专家组成，成员人数为</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人以上（含</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的单数，其中熟悉相关技术方面的专家不得少于成员总数的三之二。评标委员会设负责人的，评标委员会负责人由评标委员会推举产生或者由招标人确定。评标委员会负责人与评标委员会的其他成员有同等的表决权。开标前随机抽取确定，并在招标结果确定前保密。</w:t>
      </w:r>
    </w:p>
    <w:p w14:paraId="544CB2F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  评标委员会或评标小组负责具体的评标事务，并独立履行以下职责：</w:t>
      </w:r>
    </w:p>
    <w:p w14:paraId="301B2A9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19.1.3.1 审查投标文件是否符合招标文件的要求，并作出评价；</w:t>
      </w:r>
    </w:p>
    <w:p w14:paraId="6900468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19.1.3.2 可以要求投标供应商对投标文件有关事项作出解释或澄清；</w:t>
      </w:r>
    </w:p>
    <w:p w14:paraId="4556304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19.1.3.3 推荐中标候选供应商名单，或者受招标人委托按照事先确定的最低价的评标办法直接确定中标人；</w:t>
      </w:r>
    </w:p>
    <w:p w14:paraId="1C3CA8F5">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19.1.3.4 向招标单位或者有关部门报告非法干预评标工作的行为。</w:t>
      </w:r>
    </w:p>
    <w:p w14:paraId="669D303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评标委员会成员应当履行下列义务：</w:t>
      </w:r>
    </w:p>
    <w:p w14:paraId="59FBE69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.1 遵纪守法，客观、公正、廉洁地履行职责；</w:t>
      </w:r>
    </w:p>
    <w:p w14:paraId="43CD011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.2 按照招标文件规定的评标办法和评标标准进行评标，对评审意见承担个人责任；</w:t>
      </w:r>
    </w:p>
    <w:p w14:paraId="4548446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.3 对评标过程和结果，以及投标人的商业秘密保密；</w:t>
      </w:r>
    </w:p>
    <w:p w14:paraId="5003C4E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.4 参与评标报告的起草；</w:t>
      </w:r>
    </w:p>
    <w:p w14:paraId="1A2B50C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.5 配合财政部门的投诉处理工作；</w:t>
      </w:r>
    </w:p>
    <w:p w14:paraId="6AAE878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.6 配合招标单位答复投标供应商提出的质疑。</w:t>
      </w:r>
    </w:p>
    <w:p w14:paraId="582DE6DB">
      <w:pPr>
        <w:spacing w:line="360" w:lineRule="auto"/>
        <w:ind w:left="479" w:leftChars="228" w:firstLine="0" w:firstLineChars="0"/>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19.2按国家计委等七部委颁发的《评标委员会和评标方法暂行规定》，结合本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特点，</w:t>
      </w:r>
      <w:r>
        <w:rPr>
          <w:rFonts w:hint="eastAsia" w:ascii="仿宋" w:hAnsi="仿宋" w:eastAsia="仿宋" w:cs="仿宋"/>
          <w:b/>
          <w:bCs/>
          <w:color w:val="auto"/>
          <w:kern w:val="0"/>
          <w:sz w:val="24"/>
          <w:szCs w:val="24"/>
          <w:highlight w:val="none"/>
        </w:rPr>
        <w:t>本项目采用综合评分法，综合评分因素的主要因素为价格、技术、财务状况、信誉、业绩、服务以及对招标文件的响应程度等。每一投标人的最终得分为所有评委评分的算数平均值。（总分100分：其中商务部分和技术部分占</w:t>
      </w:r>
      <w:r>
        <w:rPr>
          <w:rFonts w:hint="eastAsia" w:ascii="仿宋" w:hAnsi="仿宋" w:eastAsia="仿宋" w:cs="仿宋"/>
          <w:b/>
          <w:bCs/>
          <w:color w:val="auto"/>
          <w:kern w:val="0"/>
          <w:sz w:val="24"/>
          <w:szCs w:val="24"/>
          <w:highlight w:val="none"/>
          <w:lang w:val="en-US" w:eastAsia="zh-CN"/>
        </w:rPr>
        <w:t>90</w:t>
      </w:r>
      <w:r>
        <w:rPr>
          <w:rFonts w:hint="eastAsia" w:ascii="仿宋" w:hAnsi="仿宋" w:eastAsia="仿宋" w:cs="仿宋"/>
          <w:b/>
          <w:bCs/>
          <w:color w:val="auto"/>
          <w:kern w:val="0"/>
          <w:sz w:val="24"/>
          <w:szCs w:val="24"/>
          <w:highlight w:val="none"/>
        </w:rPr>
        <w:t>分，投标报价占</w:t>
      </w:r>
      <w:r>
        <w:rPr>
          <w:rFonts w:hint="eastAsia" w:ascii="仿宋" w:hAnsi="仿宋" w:eastAsia="仿宋" w:cs="仿宋"/>
          <w:b/>
          <w:bCs/>
          <w:color w:val="auto"/>
          <w:kern w:val="0"/>
          <w:sz w:val="24"/>
          <w:szCs w:val="24"/>
          <w:highlight w:val="none"/>
          <w:lang w:val="en-US" w:eastAsia="zh-CN"/>
        </w:rPr>
        <w:t>10</w:t>
      </w:r>
      <w:r>
        <w:rPr>
          <w:rFonts w:hint="eastAsia" w:ascii="仿宋" w:hAnsi="仿宋" w:eastAsia="仿宋" w:cs="仿宋"/>
          <w:b/>
          <w:bCs/>
          <w:color w:val="auto"/>
          <w:kern w:val="0"/>
          <w:sz w:val="24"/>
          <w:szCs w:val="24"/>
          <w:highlight w:val="none"/>
        </w:rPr>
        <w:t>分），最终合计得分最高的投标人作为第一中标候选人，以此类推确定第二、第三中标候选人。</w:t>
      </w:r>
    </w:p>
    <w:p w14:paraId="0246257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评标的依据为招标文件和投标文件。</w:t>
      </w:r>
    </w:p>
    <w:p w14:paraId="47CDC7C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 评标过程的保密性。开标后，直到授予投标人合同为止，凡是属于审查、澄清、评价和比较的有关资料以及授标建议等均不得向投标人或其他无关的人员透露。</w:t>
      </w:r>
    </w:p>
    <w:p w14:paraId="1B38CB1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 投标人在评标过程中所进行的试图影响评标结果、有悖于招标规则的活动，可能导致取消其中标资格。</w:t>
      </w:r>
    </w:p>
    <w:p w14:paraId="32275E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19.6 与招标文件有重大偏离的投标文件将被拒绝。且此重大偏离在开标后不许修改。</w:t>
      </w:r>
    </w:p>
    <w:p w14:paraId="0CFF1BF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评标委员会应当审查每一投标文件是否对招标文件提出的所有实质性要求和条件作出响应。未能在实质上响应招标的投标，将作废标处理。</w:t>
      </w:r>
    </w:p>
    <w:p w14:paraId="0D876272">
      <w:pPr>
        <w:pStyle w:val="132"/>
        <w:spacing w:line="360" w:lineRule="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20、</w:t>
      </w:r>
      <w:r>
        <w:rPr>
          <w:rFonts w:hint="eastAsia" w:ascii="仿宋" w:hAnsi="仿宋" w:eastAsia="仿宋" w:cs="仿宋"/>
          <w:b/>
          <w:bCs/>
          <w:color w:val="auto"/>
          <w:sz w:val="24"/>
          <w:szCs w:val="24"/>
          <w:highlight w:val="none"/>
        </w:rPr>
        <w:t>投标人资格审查和投标文件符合性审查</w:t>
      </w:r>
    </w:p>
    <w:p w14:paraId="59037535">
      <w:pPr>
        <w:pStyle w:val="132"/>
        <w:widowControl w:val="0"/>
        <w:wordWrap/>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1投标人资格审查指依据法律、法规和招标文件的规定，对投标文件中的资格、资信证明等进行审查，以确定投标人是否具备投标资格；投标文件符合性审查指依据招标文件的规定，从投标文件的有效性、完整性和对招标文件的响应程度进行审查，以确定是否对招标文件的实质性要求作出响应。</w:t>
      </w:r>
    </w:p>
    <w:p w14:paraId="02FC4B09">
      <w:pPr>
        <w:pStyle w:val="132"/>
        <w:widowControl w:val="0"/>
        <w:wordWrap/>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.2投标人未通过资格审查的不得进入投标文件符合性审查；投标人未通过符合性审查的，不得进入投标文件的综合比较与评价。</w:t>
      </w:r>
    </w:p>
    <w:p w14:paraId="611BDF86">
      <w:pPr>
        <w:pStyle w:val="132"/>
        <w:widowControl w:val="0"/>
        <w:wordWrap/>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3如本项目使用最低评标价法，提供相同品牌相同规格类型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w:t>
      </w:r>
      <w:r>
        <w:rPr>
          <w:rFonts w:hint="eastAsia" w:ascii="仿宋" w:hAnsi="仿宋" w:eastAsia="仿宋" w:cs="仿宋"/>
          <w:b/>
          <w:bCs/>
          <w:color w:val="auto"/>
          <w:sz w:val="24"/>
          <w:szCs w:val="24"/>
          <w:highlight w:val="none"/>
        </w:rPr>
        <w:t>其他投标无效</w:t>
      </w:r>
      <w:r>
        <w:rPr>
          <w:rFonts w:hint="eastAsia" w:ascii="仿宋" w:hAnsi="仿宋" w:eastAsia="仿宋" w:cs="仿宋"/>
          <w:bCs/>
          <w:color w:val="auto"/>
          <w:sz w:val="24"/>
          <w:szCs w:val="24"/>
          <w:highlight w:val="none"/>
        </w:rPr>
        <w:t>。</w:t>
      </w:r>
    </w:p>
    <w:p w14:paraId="179FDD34">
      <w:pPr>
        <w:pStyle w:val="132"/>
        <w:widowControl w:val="0"/>
        <w:wordWrap/>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4如本项目使用综合评分法，提供相同品牌相同规格类型产品且通过资格审查、符合性审查的不同投标人，按一家投标人计算，评审后得分最高的同品牌同规格类型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5245B586">
      <w:pPr>
        <w:pStyle w:val="132"/>
        <w:widowControl w:val="0"/>
        <w:wordWrap/>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.5如一个分包内包含多种产品的，采购人或采购代理机构将在</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投标人须知前附表</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中载明核心产品，多家投标人提供的所有核心产品品牌均相同的，按相关条规定处理。</w:t>
      </w:r>
    </w:p>
    <w:p w14:paraId="661CAE69">
      <w:pPr>
        <w:pStyle w:val="132"/>
        <w:widowControl w:val="0"/>
        <w:wordWrap/>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6投标人所投产品如被列入财政部与国家主管部门颁发的节能产品目录或环境标志产品目录，应提供相关证明，在评标时予以优先采购，具体优先采购办法见第五章评标方法和标准。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rPr>
        <w:t>无效投标</w:t>
      </w:r>
      <w:r>
        <w:rPr>
          <w:rFonts w:hint="eastAsia" w:ascii="仿宋" w:hAnsi="仿宋" w:eastAsia="仿宋" w:cs="仿宋"/>
          <w:bCs/>
          <w:color w:val="auto"/>
          <w:sz w:val="24"/>
          <w:szCs w:val="24"/>
          <w:highlight w:val="none"/>
        </w:rPr>
        <w:t>被拒绝。</w:t>
      </w:r>
    </w:p>
    <w:p w14:paraId="676B36E1">
      <w:pPr>
        <w:pStyle w:val="132"/>
        <w:widowControl w:val="0"/>
        <w:wordWrap/>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.7</w:t>
      </w:r>
      <w:r>
        <w:rPr>
          <w:rFonts w:hint="eastAsia" w:ascii="仿宋" w:hAnsi="仿宋" w:eastAsia="仿宋" w:cs="仿宋"/>
          <w:color w:val="auto"/>
          <w:sz w:val="24"/>
          <w:szCs w:val="24"/>
          <w:highlight w:val="none"/>
        </w:rPr>
        <w:t>投标人不良信用记录以采购人或采购代理机构查询结果为准。</w:t>
      </w:r>
    </w:p>
    <w:p w14:paraId="5D67D313">
      <w:pPr>
        <w:pStyle w:val="132"/>
        <w:widowControl w:val="0"/>
        <w:wordWrap/>
        <w:adjustRightInd/>
        <w:snapToGrid/>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.8</w:t>
      </w:r>
      <w:r>
        <w:rPr>
          <w:rFonts w:hint="eastAsia" w:ascii="仿宋" w:hAnsi="仿宋" w:eastAsia="仿宋" w:cs="仿宋"/>
          <w:b/>
          <w:color w:val="auto"/>
          <w:sz w:val="24"/>
          <w:szCs w:val="24"/>
          <w:highlight w:val="none"/>
        </w:rPr>
        <w:t>资格审查</w:t>
      </w:r>
      <w:r>
        <w:rPr>
          <w:rFonts w:hint="eastAsia" w:ascii="仿宋" w:hAnsi="仿宋" w:eastAsia="仿宋" w:cs="仿宋"/>
          <w:b/>
          <w:color w:val="auto"/>
          <w:sz w:val="24"/>
          <w:szCs w:val="24"/>
          <w:highlight w:val="none"/>
          <w:lang w:val="en-US" w:eastAsia="zh-CN"/>
        </w:rPr>
        <w:t>及</w:t>
      </w:r>
      <w:r>
        <w:rPr>
          <w:rFonts w:hint="eastAsia" w:ascii="仿宋" w:hAnsi="仿宋" w:eastAsia="仿宋" w:cs="仿宋"/>
          <w:b/>
          <w:color w:val="auto"/>
          <w:sz w:val="24"/>
          <w:szCs w:val="24"/>
          <w:highlight w:val="none"/>
        </w:rPr>
        <w:t>符合性审查标准详见第</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章</w:t>
      </w:r>
      <w:r>
        <w:rPr>
          <w:rFonts w:hint="eastAsia" w:ascii="仿宋" w:hAnsi="仿宋" w:eastAsia="仿宋" w:cs="仿宋"/>
          <w:b/>
          <w:color w:val="auto"/>
          <w:sz w:val="24"/>
          <w:szCs w:val="24"/>
          <w:highlight w:val="none"/>
          <w:lang w:val="en-US" w:eastAsia="zh-CN"/>
        </w:rPr>
        <w:t>评标办法及标准</w:t>
      </w:r>
      <w:r>
        <w:rPr>
          <w:rFonts w:hint="eastAsia" w:ascii="仿宋" w:hAnsi="仿宋" w:eastAsia="仿宋" w:cs="仿宋"/>
          <w:b/>
          <w:color w:val="auto"/>
          <w:sz w:val="24"/>
          <w:szCs w:val="24"/>
          <w:highlight w:val="none"/>
        </w:rPr>
        <w:t>。</w:t>
      </w:r>
    </w:p>
    <w:p w14:paraId="34C5334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21、投标文件的澄清</w:t>
      </w:r>
    </w:p>
    <w:p w14:paraId="0934620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评标委员会在评标过程中有权随时请投标人就投标文件中含混之处加以澄清或答疑。</w:t>
      </w:r>
    </w:p>
    <w:p w14:paraId="20DA4F7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投标人对要求澄清的问题应以书面形式明确答复，并应有法人授权代表的签署。</w:t>
      </w:r>
    </w:p>
    <w:p w14:paraId="0C28D15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投标人的澄清文件是投标文件的组成部分，并取代投标文件中被澄清的部分。</w:t>
      </w:r>
    </w:p>
    <w:p w14:paraId="10BA03B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 投标文件的澄清不得改变投标的实质内容。</w:t>
      </w:r>
    </w:p>
    <w:p w14:paraId="65E462C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 如果投标人在投标文件中未对招标文件中的条款或参数要求提出偏离意见或澄清将视同投标人同意招标文件的全部或部分要求。</w:t>
      </w:r>
    </w:p>
    <w:p w14:paraId="59509DA1">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22、定标</w:t>
      </w:r>
    </w:p>
    <w:p w14:paraId="73A8DC1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评标委员会有权选择和拒绝投标人中标，且无需向投标人进行任何有关评标的解释工作。在确定中标人之前，供应商试图在投标文件审查、澄清、比较和评标时对评标委员会、采购人和采购代理机构施加任何影响都可能导致其投标无效。</w:t>
      </w:r>
    </w:p>
    <w:p w14:paraId="3B329F4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327AEBFA">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23、中标的标准</w:t>
      </w:r>
    </w:p>
    <w:p w14:paraId="24DDD37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资格审查文件完整无缺；</w:t>
      </w:r>
    </w:p>
    <w:p w14:paraId="7FE73AE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 已交纳投标保证金；</w:t>
      </w:r>
    </w:p>
    <w:p w14:paraId="1A3562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报价合理，承诺条件优惠；</w:t>
      </w:r>
    </w:p>
    <w:p w14:paraId="4D06ACA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 投标文件与招标文件无重大偏离；</w:t>
      </w:r>
    </w:p>
    <w:p w14:paraId="7ABEB25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23.5 有较强的技术力量，能提供完善的技术服务；</w:t>
      </w:r>
    </w:p>
    <w:p w14:paraId="4F451BF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23.6 其他；</w:t>
      </w:r>
    </w:p>
    <w:p w14:paraId="4A1354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14:paraId="60256016">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24、中标通知</w:t>
      </w:r>
    </w:p>
    <w:p w14:paraId="7677FF2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评标结束后，招标人将当众宣布评标结果，并在“新疆政府采购网”（网址：http://www.ccgp-xinjiang.gov.cn/）上予以公告。公告有效期1个工作日；</w:t>
      </w:r>
    </w:p>
    <w:p w14:paraId="7EC195A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招标代理机构根据定标结果，在投标有效期届满前，以书面形式向中标单位发出中标通知书。</w:t>
      </w:r>
    </w:p>
    <w:p w14:paraId="0E32E42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 招标代理机构将定标结果及时通知未中标单位并退还投标保证金。无需解释落标原因。</w:t>
      </w:r>
    </w:p>
    <w:p w14:paraId="6D5606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招标人有权在定标之前拒绝任何有不正当行为或扰乱正常招标工作的投标人，由此对投标人造成的损失不负任何责任，同时对此无需做任何解释。</w:t>
      </w:r>
    </w:p>
    <w:p w14:paraId="4B863158">
      <w:pPr>
        <w:widowControl/>
        <w:spacing w:line="360" w:lineRule="auto"/>
        <w:ind w:firstLine="236" w:firstLineChars="98"/>
        <w:jc w:val="left"/>
        <w:rPr>
          <w:rFonts w:hint="eastAsia" w:ascii="仿宋" w:hAnsi="仿宋" w:eastAsia="仿宋" w:cs="仿宋"/>
          <w:b w:val="0"/>
          <w:bCs/>
          <w:color w:val="auto"/>
          <w:sz w:val="24"/>
          <w:szCs w:val="24"/>
          <w:highlight w:val="none"/>
        </w:rPr>
      </w:pPr>
      <w:r>
        <w:rPr>
          <w:rFonts w:hint="eastAsia" w:ascii="仿宋" w:hAnsi="仿宋" w:eastAsia="仿宋" w:cs="仿宋"/>
          <w:b/>
          <w:color w:val="auto"/>
          <w:kern w:val="0"/>
          <w:sz w:val="24"/>
          <w:szCs w:val="24"/>
          <w:highlight w:val="none"/>
        </w:rPr>
        <w:t xml:space="preserve">  25、</w:t>
      </w:r>
      <w:r>
        <w:rPr>
          <w:rFonts w:hint="eastAsia" w:ascii="仿宋" w:hAnsi="仿宋" w:eastAsia="仿宋" w:cs="仿宋"/>
          <w:b/>
          <w:color w:val="auto"/>
          <w:sz w:val="24"/>
          <w:szCs w:val="24"/>
          <w:highlight w:val="none"/>
        </w:rPr>
        <w:t>付款方式</w:t>
      </w:r>
      <w:r>
        <w:rPr>
          <w:rFonts w:hint="eastAsia" w:ascii="仿宋" w:hAnsi="仿宋" w:eastAsia="仿宋" w:cs="仿宋"/>
          <w:b/>
          <w:color w:val="auto"/>
          <w:kern w:val="0"/>
          <w:sz w:val="24"/>
          <w:szCs w:val="24"/>
          <w:highlight w:val="none"/>
        </w:rPr>
        <w:t>：</w:t>
      </w:r>
      <w:r>
        <w:rPr>
          <w:rFonts w:hint="eastAsia" w:ascii="仿宋" w:hAnsi="仿宋" w:eastAsia="仿宋" w:cs="仿宋"/>
          <w:b w:val="0"/>
          <w:bCs/>
          <w:color w:val="auto"/>
          <w:sz w:val="24"/>
          <w:szCs w:val="24"/>
          <w:highlight w:val="none"/>
          <w:lang w:val="en-US" w:eastAsia="zh-CN"/>
        </w:rPr>
        <w:t>按季度支付，具体以双方签订合同为准。</w:t>
      </w:r>
    </w:p>
    <w:p w14:paraId="3E06F5BE">
      <w:pPr>
        <w:numPr>
          <w:ilvl w:val="0"/>
          <w:numId w:val="0"/>
        </w:numPr>
        <w:spacing w:line="600" w:lineRule="auto"/>
        <w:jc w:val="center"/>
        <w:outlineLvl w:val="2"/>
        <w:rPr>
          <w:rFonts w:hint="eastAsia" w:ascii="仿宋" w:hAnsi="仿宋" w:eastAsia="仿宋" w:cs="仿宋"/>
          <w:b/>
          <w:color w:val="auto"/>
          <w:sz w:val="28"/>
          <w:szCs w:val="28"/>
          <w:highlight w:val="none"/>
        </w:rPr>
      </w:pPr>
      <w:bookmarkStart w:id="55" w:name="_Toc24055"/>
      <w:bookmarkStart w:id="56" w:name="_Toc4609"/>
      <w:r>
        <w:rPr>
          <w:rFonts w:hint="eastAsia" w:ascii="仿宋" w:hAnsi="仿宋" w:eastAsia="仿宋" w:cs="仿宋"/>
          <w:b/>
          <w:color w:val="auto"/>
          <w:sz w:val="28"/>
          <w:szCs w:val="28"/>
          <w:highlight w:val="none"/>
          <w:lang w:eastAsia="zh-CN"/>
        </w:rPr>
        <w:t>七、</w:t>
      </w:r>
      <w:r>
        <w:rPr>
          <w:rFonts w:hint="eastAsia" w:ascii="仿宋" w:hAnsi="仿宋" w:eastAsia="仿宋" w:cs="仿宋"/>
          <w:b/>
          <w:color w:val="auto"/>
          <w:sz w:val="28"/>
          <w:szCs w:val="28"/>
          <w:highlight w:val="none"/>
        </w:rPr>
        <w:t>签定合同</w:t>
      </w:r>
      <w:bookmarkEnd w:id="55"/>
      <w:bookmarkEnd w:id="56"/>
    </w:p>
    <w:p w14:paraId="7F115F17">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26、签定合同</w:t>
      </w:r>
    </w:p>
    <w:p w14:paraId="3039B357">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26.1 中标人依据《中标通知书》与采购人签订采购合同，签订时间为《中标通知书》发出之日起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日内</w:t>
      </w:r>
      <w:r>
        <w:rPr>
          <w:rFonts w:hint="eastAsia" w:ascii="仿宋" w:hAnsi="仿宋" w:eastAsia="仿宋" w:cs="仿宋"/>
          <w:color w:val="auto"/>
          <w:sz w:val="24"/>
          <w:szCs w:val="24"/>
          <w:highlight w:val="none"/>
          <w:lang w:eastAsia="zh-CN"/>
        </w:rPr>
        <w:t>。</w:t>
      </w:r>
    </w:p>
    <w:p w14:paraId="4F57AA2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 中标合同不得转让。合同分包需在投标文件中予以说明，并需经招标人同意。否则，招标人有权取消中标人的中标资格。</w:t>
      </w:r>
    </w:p>
    <w:p w14:paraId="55F3E43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 招标人如遇中标人违约，可从侯选中标人中重新选定中标人，并签定</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合同。</w:t>
      </w:r>
    </w:p>
    <w:p w14:paraId="72FE7C8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26.4 合同的制订由招标人、中标人、招标代理机构三方参加，为确保合同双方的利益均等，由招标代理机构在合同制订过程中进行协调。</w:t>
      </w:r>
    </w:p>
    <w:p w14:paraId="75FD5224">
      <w:pPr>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26.5 合同需经招标人、中标人双方签字盖章后即生效。招标人、中标人亦可自愿申请公证。</w:t>
      </w:r>
    </w:p>
    <w:p w14:paraId="799DA816">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27、合同的组成</w:t>
      </w:r>
    </w:p>
    <w:p w14:paraId="5DB3905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 下列文件均为合同不可分割部分：</w:t>
      </w:r>
    </w:p>
    <w:p w14:paraId="346C42A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27.1.1 专用合同；</w:t>
      </w:r>
    </w:p>
    <w:p w14:paraId="09D318C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27.1.2 合同条款；</w:t>
      </w:r>
    </w:p>
    <w:p w14:paraId="202792D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27.1.3 中标通知书；</w:t>
      </w:r>
    </w:p>
    <w:p w14:paraId="6970D6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27.1.4 乙方中标的投标文件；</w:t>
      </w:r>
    </w:p>
    <w:p w14:paraId="059B113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27.1.5 招标文件；</w:t>
      </w:r>
    </w:p>
    <w:p w14:paraId="7E9D065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27.1.6 评标答疑记录。</w:t>
      </w:r>
    </w:p>
    <w:p w14:paraId="1BF7D245">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28、履约保证金</w:t>
      </w:r>
    </w:p>
    <w:p w14:paraId="2D1947BA">
      <w:pPr>
        <w:pStyle w:val="78"/>
        <w:overflowPunct w:val="0"/>
        <w:spacing w:line="360" w:lineRule="auto"/>
        <w:ind w:firstLine="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28.1 </w:t>
      </w:r>
      <w:r>
        <w:rPr>
          <w:rFonts w:hint="eastAsia" w:ascii="仿宋" w:hAnsi="仿宋" w:eastAsia="仿宋" w:cs="仿宋"/>
          <w:color w:val="auto"/>
          <w:sz w:val="24"/>
          <w:szCs w:val="24"/>
          <w:highlight w:val="none"/>
          <w:lang w:val="en-US" w:eastAsia="zh-CN"/>
        </w:rPr>
        <w:t>根据《中华人民共和国政府采购法实施条例》第四十八条  履约保证金的数额不得超过政府采购合同金额的10%（具体金额以合同约定为准）。中标人与招标人签订合同前提交履约保证金，如中标人未按招标文件规定</w:t>
      </w:r>
      <w:r>
        <w:rPr>
          <w:rFonts w:hint="eastAsia" w:ascii="仿宋" w:hAnsi="仿宋" w:eastAsia="仿宋" w:cs="仿宋"/>
          <w:color w:val="auto"/>
          <w:kern w:val="0"/>
          <w:sz w:val="24"/>
          <w:szCs w:val="24"/>
          <w:highlight w:val="none"/>
          <w:lang w:val="en-US" w:eastAsia="zh-CN" w:bidi="ar"/>
        </w:rPr>
        <w:t>的工期服务、实施过程中的变更、验收配合等服务完毕，则扣除履约保证金</w:t>
      </w:r>
      <w:r>
        <w:rPr>
          <w:rFonts w:hint="eastAsia" w:ascii="仿宋" w:hAnsi="仿宋" w:eastAsia="仿宋" w:cs="仿宋"/>
          <w:color w:val="auto"/>
          <w:sz w:val="24"/>
          <w:szCs w:val="24"/>
          <w:highlight w:val="none"/>
          <w:lang w:val="en-US" w:eastAsia="zh-CN"/>
        </w:rPr>
        <w:t>。</w:t>
      </w:r>
    </w:p>
    <w:p w14:paraId="1A237D9D">
      <w:pPr>
        <w:pStyle w:val="78"/>
        <w:overflowPunct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28.2 履约保证金（无息）将在乙方履行完成合同所有义务后凭乙方的收款收据在五天内退返乙方。</w:t>
      </w:r>
    </w:p>
    <w:p w14:paraId="596C87CA">
      <w:pPr>
        <w:numPr>
          <w:ilvl w:val="0"/>
          <w:numId w:val="0"/>
        </w:numPr>
        <w:spacing w:line="360" w:lineRule="auto"/>
        <w:jc w:val="center"/>
        <w:outlineLvl w:val="2"/>
        <w:rPr>
          <w:rFonts w:hint="eastAsia" w:ascii="仿宋" w:hAnsi="仿宋" w:eastAsia="仿宋" w:cs="仿宋"/>
          <w:b/>
          <w:bCs w:val="0"/>
          <w:color w:val="auto"/>
          <w:sz w:val="28"/>
          <w:szCs w:val="28"/>
          <w:highlight w:val="none"/>
        </w:rPr>
      </w:pPr>
      <w:bookmarkStart w:id="57" w:name="_Toc18703"/>
      <w:bookmarkStart w:id="58" w:name="_Toc28496"/>
      <w:r>
        <w:rPr>
          <w:rFonts w:hint="eastAsia" w:ascii="仿宋" w:hAnsi="仿宋" w:eastAsia="仿宋" w:cs="仿宋"/>
          <w:b/>
          <w:bCs w:val="0"/>
          <w:color w:val="auto"/>
          <w:sz w:val="28"/>
          <w:szCs w:val="28"/>
          <w:highlight w:val="none"/>
          <w:lang w:eastAsia="zh-CN"/>
        </w:rPr>
        <w:t>八、</w:t>
      </w:r>
      <w:r>
        <w:rPr>
          <w:rFonts w:hint="eastAsia" w:ascii="仿宋" w:hAnsi="仿宋" w:eastAsia="仿宋" w:cs="仿宋"/>
          <w:b/>
          <w:bCs w:val="0"/>
          <w:color w:val="auto"/>
          <w:sz w:val="28"/>
          <w:szCs w:val="28"/>
          <w:highlight w:val="none"/>
        </w:rPr>
        <w:t>法律责任</w:t>
      </w:r>
    </w:p>
    <w:p w14:paraId="365F1801">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29</w:t>
      </w:r>
      <w:r>
        <w:rPr>
          <w:rFonts w:hint="eastAsia" w:ascii="仿宋" w:hAnsi="仿宋" w:eastAsia="仿宋" w:cs="仿宋"/>
          <w:b/>
          <w:bCs w:val="0"/>
          <w:color w:val="auto"/>
          <w:sz w:val="24"/>
          <w:szCs w:val="24"/>
          <w:highlight w:val="none"/>
          <w:lang w:val="en-US" w:eastAsia="zh-CN"/>
        </w:rPr>
        <w:t>.</w:t>
      </w:r>
      <w:r>
        <w:rPr>
          <w:rFonts w:hint="eastAsia" w:ascii="仿宋" w:hAnsi="仿宋" w:eastAsia="仿宋" w:cs="仿宋"/>
          <w:b/>
          <w:bCs w:val="0"/>
          <w:color w:val="auto"/>
          <w:sz w:val="24"/>
          <w:szCs w:val="24"/>
          <w:highlight w:val="none"/>
        </w:rPr>
        <w:t>法律责任</w:t>
      </w:r>
    </w:p>
    <w:p w14:paraId="367AB263">
      <w:pPr>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29.1</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14:paraId="02B6A724">
      <w:pPr>
        <w:spacing w:line="360" w:lineRule="auto"/>
        <w:ind w:left="714" w:leftChars="1" w:hanging="712" w:hangingChars="297"/>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（一）提供虚假材料谋取中标的； </w:t>
      </w:r>
    </w:p>
    <w:p w14:paraId="502A55CE">
      <w:pPr>
        <w:spacing w:line="360" w:lineRule="auto"/>
        <w:ind w:left="714" w:leftChars="1" w:hanging="712" w:hangingChars="297"/>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（二）采取不正当手段诋毁、排挤其他投标人的；</w:t>
      </w:r>
    </w:p>
    <w:p w14:paraId="25941BD9">
      <w:pPr>
        <w:spacing w:line="360" w:lineRule="auto"/>
        <w:ind w:left="714" w:leftChars="1" w:hanging="712" w:hangingChars="297"/>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（三）与招标人、采购人、其他投标人恶意串通的； </w:t>
      </w:r>
    </w:p>
    <w:p w14:paraId="12D700BF">
      <w:pPr>
        <w:spacing w:line="360" w:lineRule="auto"/>
        <w:ind w:left="714" w:leftChars="1" w:hanging="712" w:hangingChars="297"/>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（四）向招标人、采购人行贿或者提供其他不正当利益的； </w:t>
      </w:r>
    </w:p>
    <w:p w14:paraId="7099C003">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（五）在招标过程中与招标人、采购人进行协商谈判、不按照招标文件、投标文件订立合同，或者与采购人另行订立背离合同实质性内容的协议的； </w:t>
      </w:r>
    </w:p>
    <w:p w14:paraId="730267F5">
      <w:pPr>
        <w:spacing w:line="360" w:lineRule="auto"/>
        <w:ind w:left="714" w:leftChars="1" w:hanging="712" w:hangingChars="297"/>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（六）拒绝有关部门监督检查或者提供虚假情况的。 </w:t>
      </w:r>
    </w:p>
    <w:p w14:paraId="1DA1F441">
      <w:pPr>
        <w:spacing w:line="360" w:lineRule="auto"/>
        <w:ind w:left="714" w:leftChars="1" w:hanging="712" w:hangingChars="297"/>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投标人有前款第（一）至（五）项情形之一的，中标无效。 </w:t>
      </w:r>
    </w:p>
    <w:p w14:paraId="010171A5">
      <w:pPr>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29.2</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中标人有下列情形之一的，招标人不予退还其交纳的投标保证金；情节严重的，由财政部门将其列入不良行为记录名单，在一至三年内禁止参加政府采购活动，并予以通报：</w:t>
      </w:r>
    </w:p>
    <w:p w14:paraId="300EEB4B">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（一）中标后无正当理由不与采购人签订合同的；</w:t>
      </w:r>
    </w:p>
    <w:p w14:paraId="400FEB20">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（二）将中标项目转让给他人，或者在投标文件中未说明，且未经招标人同意，将中标项目分包给他人的；</w:t>
      </w:r>
    </w:p>
    <w:p w14:paraId="2E72C1AA">
      <w:pPr>
        <w:pStyle w:val="14"/>
        <w:tabs>
          <w:tab w:val="left" w:pos="9214"/>
        </w:tabs>
        <w:spacing w:after="0"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（三）拒绝履行合同义务的。</w:t>
      </w:r>
    </w:p>
    <w:p w14:paraId="0FF948C1">
      <w:pPr>
        <w:numPr>
          <w:ilvl w:val="0"/>
          <w:numId w:val="0"/>
        </w:numPr>
        <w:spacing w:line="480" w:lineRule="auto"/>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九、</w:t>
      </w:r>
      <w:r>
        <w:rPr>
          <w:rFonts w:hint="eastAsia" w:ascii="仿宋" w:hAnsi="仿宋" w:eastAsia="仿宋" w:cs="仿宋"/>
          <w:b/>
          <w:color w:val="auto"/>
          <w:sz w:val="28"/>
          <w:szCs w:val="28"/>
          <w:highlight w:val="none"/>
        </w:rPr>
        <w:t>特别提示</w:t>
      </w:r>
      <w:bookmarkEnd w:id="57"/>
      <w:bookmarkEnd w:id="58"/>
    </w:p>
    <w:p w14:paraId="15740C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30、投标人应认真研读招标文件，充分考虑招标文件中的技术要求和合同条款后编制投标文件。</w:t>
      </w:r>
    </w:p>
    <w:p w14:paraId="3E693A9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31、如招标文件中未提供的各类表格样式，投标人可另行设计表格样式，但力求内容完整，表达清晰、准确。</w:t>
      </w:r>
    </w:p>
    <w:p w14:paraId="6D86C4D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 xml:space="preserve">、本项目实行网上投标，采用电子投标文件。若供应商参与投标，自行承担投标一切费用。 </w:t>
      </w:r>
    </w:p>
    <w:p w14:paraId="14C5FB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14:paraId="00E4BAB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075F607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2A34A36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、本招标文件是根据《中华人民共和国招标投标法》规定编制的，解释权属</w:t>
      </w:r>
      <w:r>
        <w:rPr>
          <w:rFonts w:hint="eastAsia" w:ascii="仿宋" w:hAnsi="仿宋" w:eastAsia="仿宋" w:cs="仿宋"/>
          <w:b w:val="0"/>
          <w:bCs/>
          <w:i w:val="0"/>
          <w:caps w:val="0"/>
          <w:color w:val="auto"/>
          <w:spacing w:val="0"/>
          <w:sz w:val="24"/>
          <w:szCs w:val="24"/>
          <w:highlight w:val="none"/>
          <w:shd w:val="clear" w:color="auto" w:fill="FFFFFF"/>
          <w:lang w:val="en-US" w:eastAsia="zh-CN"/>
        </w:rPr>
        <w:t>新疆庆信达项目管理有限公司</w:t>
      </w:r>
      <w:r>
        <w:rPr>
          <w:rFonts w:hint="eastAsia" w:ascii="仿宋" w:hAnsi="仿宋" w:eastAsia="仿宋" w:cs="仿宋"/>
          <w:color w:val="auto"/>
          <w:sz w:val="24"/>
          <w:szCs w:val="24"/>
          <w:highlight w:val="none"/>
        </w:rPr>
        <w:t>。</w:t>
      </w:r>
    </w:p>
    <w:p w14:paraId="46FA66BE">
      <w:pPr>
        <w:spacing w:line="480" w:lineRule="auto"/>
        <w:jc w:val="center"/>
        <w:outlineLvl w:val="2"/>
        <w:rPr>
          <w:rFonts w:hint="eastAsia" w:ascii="仿宋" w:hAnsi="仿宋" w:eastAsia="仿宋" w:cs="仿宋"/>
          <w:b/>
          <w:color w:val="auto"/>
          <w:sz w:val="28"/>
          <w:szCs w:val="28"/>
          <w:highlight w:val="none"/>
        </w:rPr>
      </w:pPr>
      <w:bookmarkStart w:id="59" w:name="_Toc15933"/>
      <w:bookmarkStart w:id="60" w:name="_Toc22021"/>
      <w:r>
        <w:rPr>
          <w:rFonts w:hint="eastAsia" w:ascii="仿宋" w:hAnsi="仿宋" w:eastAsia="仿宋" w:cs="仿宋"/>
          <w:b/>
          <w:color w:val="auto"/>
          <w:sz w:val="28"/>
          <w:szCs w:val="28"/>
          <w:highlight w:val="none"/>
        </w:rPr>
        <w:t>十、招标失败条件</w:t>
      </w:r>
      <w:bookmarkEnd w:id="59"/>
      <w:bookmarkEnd w:id="60"/>
    </w:p>
    <w:p w14:paraId="4504D8C0">
      <w:pPr>
        <w:pStyle w:val="56"/>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34.出现影响采购公正的违法、违规行为的；</w:t>
      </w:r>
    </w:p>
    <w:p w14:paraId="2B2253ED">
      <w:pPr>
        <w:pStyle w:val="56"/>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35.因重大变故，采购任务取消的；</w:t>
      </w:r>
    </w:p>
    <w:p w14:paraId="35990320">
      <w:pPr>
        <w:pStyle w:val="56"/>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36.招标响应文件截止时间后，实际参与的供应商不足法定家数的；</w:t>
      </w:r>
    </w:p>
    <w:p w14:paraId="7339B816">
      <w:pPr>
        <w:pStyle w:val="56"/>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37.最终报价均超过采购预算的；</w:t>
      </w:r>
    </w:p>
    <w:p w14:paraId="143689B2">
      <w:pPr>
        <w:pStyle w:val="78"/>
        <w:overflowPunct w:val="0"/>
        <w:spacing w:line="360" w:lineRule="auto"/>
        <w:ind w:firstLine="480" w:firstLineChars="200"/>
        <w:rPr>
          <w:rFonts w:hint="eastAsia" w:ascii="仿宋" w:hAnsi="仿宋" w:eastAsia="仿宋" w:cs="仿宋"/>
          <w:b/>
          <w:color w:val="auto"/>
          <w:sz w:val="28"/>
          <w:szCs w:val="28"/>
          <w:highlight w:val="none"/>
        </w:rPr>
      </w:pPr>
      <w:r>
        <w:rPr>
          <w:rFonts w:hint="eastAsia" w:ascii="仿宋" w:hAnsi="仿宋" w:eastAsia="仿宋" w:cs="仿宋"/>
          <w:bCs/>
          <w:color w:val="auto"/>
          <w:szCs w:val="24"/>
          <w:highlight w:val="none"/>
        </w:rPr>
        <w:t>38.对招标文件作出实质性响应的供应商不足法定家数的；</w:t>
      </w:r>
    </w:p>
    <w:p w14:paraId="54AA414F">
      <w:pPr>
        <w:spacing w:line="360" w:lineRule="auto"/>
        <w:jc w:val="center"/>
        <w:outlineLvl w:val="2"/>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十一、质疑及答复</w:t>
      </w:r>
    </w:p>
    <w:p w14:paraId="3E035556">
      <w:pPr>
        <w:widowControl w:val="0"/>
        <w:wordWrap/>
        <w:adjustRightInd/>
        <w:snapToGrid/>
        <w:spacing w:line="408"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39、质疑的提出</w:t>
      </w:r>
      <w:r>
        <w:rPr>
          <w:rFonts w:hint="eastAsia" w:ascii="仿宋" w:hAnsi="仿宋" w:eastAsia="仿宋" w:cs="仿宋"/>
          <w:color w:val="auto"/>
          <w:sz w:val="24"/>
          <w:szCs w:val="24"/>
          <w:highlight w:val="none"/>
        </w:rPr>
        <w:tab/>
      </w:r>
    </w:p>
    <w:p w14:paraId="43AB814F">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 本采购文件中所称质疑及答复，是指参加本次采购活动的供应商对政府采购活动中的采购文件、采购过程和中标结果向采购方提出质疑，采购方答复质疑的行为。</w:t>
      </w:r>
    </w:p>
    <w:p w14:paraId="0851228A">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39.2 供应商认为采购文件、采购过程和中标结果使自己的权益受到损害的，可以在知道或者应知其权益受到损害之日起 </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 个工作日内，以书面形式向采购方提出质疑。</w:t>
      </w:r>
    </w:p>
    <w:p w14:paraId="3BB3E1C2">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39.2.1供应商应知其权益受到损害之日，是指：</w:t>
      </w:r>
    </w:p>
    <w:p w14:paraId="6F43DABB">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（一）对可以质疑的采购文件提出质疑的，为收到采购文件之日或者采购文件公告期限届满之日；</w:t>
      </w:r>
    </w:p>
    <w:p w14:paraId="0E8132F6">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（二）对采购过程提出质疑的，为各采购程序环节结束之日；</w:t>
      </w:r>
    </w:p>
    <w:p w14:paraId="083C1105">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（三）对中标结果提出质疑的，为中标结果公告期限届满之日。</w:t>
      </w:r>
    </w:p>
    <w:p w14:paraId="5AFDF99E">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39.3 对可以质疑的采购文件提出质疑的，质疑人为参与本项目的报价方或潜在报价方。可质疑的文件为采购公告以及采购文件（包括属于其组成部分的澄清、修改、补充文件和评审标准、合同文本等）。</w:t>
      </w:r>
    </w:p>
    <w:p w14:paraId="79D9FF03">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39.4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7515C09F">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39.5   提出质疑应当符合下列条件：</w:t>
      </w:r>
    </w:p>
    <w:p w14:paraId="2581DD29">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（一）质疑主体应当符合有关规定；</w:t>
      </w:r>
    </w:p>
    <w:p w14:paraId="2F9FB7E6">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（二）在质疑法定期限内提出；</w:t>
      </w:r>
    </w:p>
    <w:p w14:paraId="33E8BC77">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（三）属于可以提出质疑的政府采购事项受理范围和本项目采购人的管辖权范围；</w:t>
      </w:r>
    </w:p>
    <w:p w14:paraId="1C137864">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（四）政府采购法律、法规、规章规定的其他条件。</w:t>
      </w:r>
    </w:p>
    <w:p w14:paraId="27B06452">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F5DAC55">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39.7 质疑人所提供的证明材料应当具有真实性、合法性以及与质疑事项的关联性和证明力，否则不能作为认定该质疑事项成立的依据。</w:t>
      </w:r>
    </w:p>
    <w:p w14:paraId="7EEFB69A">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39.8 质疑人提出质疑时应当提交质疑函。质疑函包括下列内容：</w:t>
      </w:r>
    </w:p>
    <w:p w14:paraId="5C053252">
      <w:pPr>
        <w:widowControl w:val="0"/>
        <w:wordWrap/>
        <w:adjustRightInd/>
        <w:snapToGrid/>
        <w:spacing w:line="384"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（一）提出质疑的质疑人的名称、地址、邮编、联系人及联系电话等；</w:t>
      </w:r>
    </w:p>
    <w:p w14:paraId="53B09613">
      <w:pPr>
        <w:widowControl w:val="0"/>
        <w:wordWrap/>
        <w:adjustRightInd/>
        <w:snapToGrid/>
        <w:spacing w:line="384"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14:paraId="3D49FD65">
      <w:pPr>
        <w:widowControl w:val="0"/>
        <w:wordWrap/>
        <w:adjustRightInd/>
        <w:snapToGrid/>
        <w:spacing w:line="384"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w:t>
      </w:r>
    </w:p>
    <w:p w14:paraId="4AC1877E">
      <w:pPr>
        <w:widowControl w:val="0"/>
        <w:wordWrap/>
        <w:adjustRightInd/>
        <w:snapToGrid/>
        <w:spacing w:line="384"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（四）事实依据和证明材料；</w:t>
      </w:r>
    </w:p>
    <w:p w14:paraId="5E78B0CE">
      <w:pPr>
        <w:widowControl w:val="0"/>
        <w:wordWrap/>
        <w:adjustRightInd/>
        <w:snapToGrid/>
        <w:spacing w:line="384"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（五）法律依据；</w:t>
      </w:r>
    </w:p>
    <w:p w14:paraId="41CAB1A1">
      <w:pPr>
        <w:widowControl w:val="0"/>
        <w:wordWrap/>
        <w:adjustRightInd/>
        <w:snapToGrid/>
        <w:spacing w:line="384"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14:paraId="5C17F083">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39.9  质疑函采用实名制。质疑人为自然人的应当由本人签字，并附有效身份证明文件；质疑人为法人或者非法人组织的应当由法定代表人或者负责人签字并加盖公章，并附有效身份证明文件。</w:t>
      </w:r>
    </w:p>
    <w:p w14:paraId="4A4D6A34">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39.10 质疑人可以委托代理人进行质疑。代理人应当提交授权委托书。授权委托书应当载明委托代理的具体权限、期限和相关事项。</w:t>
      </w:r>
    </w:p>
    <w:p w14:paraId="0BF68A66">
      <w:pPr>
        <w:widowControl w:val="0"/>
        <w:wordWrap/>
        <w:adjustRightInd/>
        <w:snapToGrid/>
        <w:spacing w:line="384"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40、质疑的审查和受理</w:t>
      </w:r>
    </w:p>
    <w:p w14:paraId="5C967251">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40.1 采购方在收到质疑函后应当及时审查是否符合质疑受理条件，对符合质疑受理条件的，及时予以受理。</w:t>
      </w:r>
    </w:p>
    <w:p w14:paraId="6EE60B29">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对不符合质疑受理条件的，分别按照下列不同情形予以处理：</w:t>
      </w:r>
    </w:p>
    <w:p w14:paraId="0EABD3D7">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（一）质疑函内容不符合规定的，告知质疑人进行修改并重新质疑。修改后质疑事项仍不具体、不明确或者最终递交质疑函的时间超过质疑法定期限的，不予受理；</w:t>
      </w:r>
    </w:p>
    <w:p w14:paraId="266DA621">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（二）质疑主体不符合有关规定的，告知质疑人不予受理；</w:t>
      </w:r>
    </w:p>
    <w:p w14:paraId="1DADB177">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（三）超过质疑法定期限提出质疑的，告知质疑人不予受理；</w:t>
      </w:r>
    </w:p>
    <w:p w14:paraId="7A4C7E7B">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（四）对不属于可以提出质疑的政府采购事项提出质疑的，告知质疑人不予受理；</w:t>
      </w:r>
    </w:p>
    <w:p w14:paraId="72B44ACB">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（五）质疑不属于本项目采购方管辖的，告知质疑人向有管辖权的采购人提出质疑；</w:t>
      </w:r>
    </w:p>
    <w:p w14:paraId="12ACBE28">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（六）质疑不符合其他条件的，告知质疑人不予受理。</w:t>
      </w:r>
    </w:p>
    <w:p w14:paraId="2B1477E2">
      <w:pPr>
        <w:widowControl w:val="0"/>
        <w:wordWrap/>
        <w:adjustRightInd/>
        <w:snapToGrid/>
        <w:spacing w:line="384"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41、质疑的处理和答复</w:t>
      </w:r>
    </w:p>
    <w:p w14:paraId="4877097C">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 按照《政府采购质疑和投诉办法（财政部94号令）》处理及答复质疑。</w:t>
      </w:r>
    </w:p>
    <w:p w14:paraId="145756AB">
      <w:pPr>
        <w:widowControl w:val="0"/>
        <w:wordWrap/>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 采购方受理质疑后，将及时把质疑函发送给被质疑人，并要求其在一定限期</w:t>
      </w:r>
      <w:r>
        <w:rPr>
          <w:rFonts w:hint="eastAsia" w:ascii="仿宋" w:hAnsi="仿宋" w:eastAsia="仿宋" w:cs="仿宋"/>
          <w:color w:val="auto"/>
          <w:sz w:val="24"/>
          <w:szCs w:val="24"/>
          <w:highlight w:val="none"/>
          <w:lang w:val="en-US" w:eastAsia="zh-CN"/>
        </w:rPr>
        <w:t>内</w:t>
      </w:r>
      <w:r>
        <w:rPr>
          <w:rFonts w:hint="eastAsia" w:ascii="仿宋" w:hAnsi="仿宋" w:eastAsia="仿宋" w:cs="仿宋"/>
          <w:color w:val="auto"/>
          <w:sz w:val="24"/>
          <w:szCs w:val="24"/>
          <w:highlight w:val="none"/>
        </w:rPr>
        <w:t>提交书面答复，同时提供有关证据、依据和相关材料。</w:t>
      </w:r>
    </w:p>
    <w:p w14:paraId="45D5B815">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 对于质疑事项中涉及的问题较多、情况比较复杂的，为了全面查清事实、取得充分的证据，采购方认为有必要时，可以进行调查取证或者组织质证。</w:t>
      </w:r>
    </w:p>
    <w:p w14:paraId="131E0C78">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41.4对评审过程、中标结果提出质疑的，采购方可以组织原评审委员会协助答复质疑。</w:t>
      </w:r>
    </w:p>
    <w:p w14:paraId="5B70A8CA">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41.5质疑处理过程中，质疑人书面申请撤回质疑的，将终止质疑处理程序。</w:t>
      </w:r>
    </w:p>
    <w:p w14:paraId="61EE2C56">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41.6质疑人拒绝配合采购方依法对质疑进行调查处理的，采购方将按质疑人自动撤回质疑处理；被质疑人拒绝配合采购方依法对质疑进行调查处理的，采购方将视同其认可质疑事项。</w:t>
      </w:r>
    </w:p>
    <w:p w14:paraId="0F495B85">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41.7 采购方将在正式受理质疑后 </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 个工作日内作出答复，但处理质疑需要进行调查取证、组织专家评审、质疑人及被质疑人提交或补正材料等所需时间，不计算在质疑处理期限内。</w:t>
      </w:r>
    </w:p>
    <w:p w14:paraId="211416D7">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41.8 采购方经调查、论证、核实，认定质疑不能成立的，继续开展采购活动；认定质疑成立的，按照以下情况处理：</w:t>
      </w:r>
    </w:p>
    <w:p w14:paraId="6E04EF42">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14:paraId="608606C2">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14:paraId="2B64CB2C">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41.9 采购方将书面答复质疑，质疑答复包括下列内容：</w:t>
      </w:r>
    </w:p>
    <w:p w14:paraId="023546EB">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（一）质疑人名称；</w:t>
      </w:r>
    </w:p>
    <w:p w14:paraId="1D21FFAB">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（二）收到质疑函的日期、质疑项目名称及编号;</w:t>
      </w:r>
    </w:p>
    <w:p w14:paraId="30D8943F">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（三）质疑事项、质疑答复的具体内容、事实依据和法律依据；</w:t>
      </w:r>
    </w:p>
    <w:p w14:paraId="041CC13F">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（四）告知质疑人依法投诉的权利；</w:t>
      </w:r>
    </w:p>
    <w:p w14:paraId="7E6CCA87">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（五）质疑答复日期。</w:t>
      </w:r>
    </w:p>
    <w:p w14:paraId="503328FE">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41.10 质疑人有下列行为之一的，属于虚假、恶意质疑，将由采购方建议财政部门将其列入不良行为记录名单，禁止其 1 至 3 年内参加政府采购活动：</w:t>
      </w:r>
    </w:p>
    <w:p w14:paraId="4DE016FC">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（一）受理后发现投诉不符合法定受理条件；</w:t>
      </w:r>
    </w:p>
    <w:p w14:paraId="4D93BFBB">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（二）投诉事项缺乏事实依据，投诉事项不成立；</w:t>
      </w:r>
    </w:p>
    <w:p w14:paraId="660EBB15">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（三）投诉人捏造事实或者提供虚假材料；</w:t>
      </w:r>
    </w:p>
    <w:p w14:paraId="6AD1674C">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（四）投诉人以非法手段取得证明材料。证据来源的合法性存在明显疑问，投诉人无法证明其取得方式合法的，视为以非法手段取得证明材料。</w:t>
      </w:r>
    </w:p>
    <w:p w14:paraId="7CE90853">
      <w:pPr>
        <w:widowControl w:val="0"/>
        <w:wordWrap/>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（五）法律法规规定的其他违法情形。</w:t>
      </w:r>
    </w:p>
    <w:p w14:paraId="65A59B82">
      <w:pPr>
        <w:pStyle w:val="111"/>
        <w:spacing w:line="450" w:lineRule="exact"/>
        <w:jc w:val="center"/>
        <w:outlineLvl w:val="0"/>
        <w:rPr>
          <w:rFonts w:hint="eastAsia" w:ascii="仿宋" w:hAnsi="仿宋" w:eastAsia="仿宋" w:cs="仿宋"/>
          <w:b/>
          <w:bCs/>
          <w:color w:val="auto"/>
          <w:sz w:val="28"/>
          <w:szCs w:val="28"/>
          <w:highlight w:val="none"/>
        </w:rPr>
      </w:pPr>
    </w:p>
    <w:p w14:paraId="024E3346">
      <w:pPr>
        <w:pStyle w:val="111"/>
        <w:spacing w:line="450" w:lineRule="exact"/>
        <w:jc w:val="center"/>
        <w:outlineLvl w:val="0"/>
        <w:rPr>
          <w:rFonts w:hint="eastAsia" w:ascii="仿宋" w:hAnsi="仿宋" w:eastAsia="仿宋" w:cs="仿宋"/>
          <w:b/>
          <w:bCs/>
          <w:color w:val="auto"/>
          <w:sz w:val="28"/>
          <w:szCs w:val="28"/>
          <w:highlight w:val="none"/>
        </w:rPr>
      </w:pPr>
    </w:p>
    <w:p w14:paraId="5191E594">
      <w:pPr>
        <w:pStyle w:val="111"/>
        <w:spacing w:line="450" w:lineRule="exact"/>
        <w:jc w:val="center"/>
        <w:outlineLvl w:val="0"/>
        <w:rPr>
          <w:rFonts w:hint="eastAsia" w:ascii="仿宋" w:hAnsi="仿宋" w:eastAsia="仿宋" w:cs="仿宋"/>
          <w:b/>
          <w:bCs/>
          <w:color w:val="auto"/>
          <w:sz w:val="28"/>
          <w:szCs w:val="28"/>
          <w:highlight w:val="none"/>
        </w:rPr>
      </w:pPr>
    </w:p>
    <w:p w14:paraId="3F53D379">
      <w:pPr>
        <w:pStyle w:val="111"/>
        <w:spacing w:line="450" w:lineRule="exact"/>
        <w:jc w:val="center"/>
        <w:outlineLvl w:val="0"/>
        <w:rPr>
          <w:rFonts w:hint="eastAsia" w:ascii="仿宋" w:hAnsi="仿宋" w:eastAsia="仿宋" w:cs="仿宋"/>
          <w:b/>
          <w:bCs/>
          <w:color w:val="auto"/>
          <w:sz w:val="28"/>
          <w:szCs w:val="28"/>
          <w:highlight w:val="none"/>
        </w:rPr>
      </w:pPr>
    </w:p>
    <w:p w14:paraId="37917610">
      <w:pPr>
        <w:pStyle w:val="111"/>
        <w:spacing w:line="450" w:lineRule="exact"/>
        <w:jc w:val="center"/>
        <w:outlineLvl w:val="0"/>
        <w:rPr>
          <w:rFonts w:hint="eastAsia" w:ascii="仿宋" w:hAnsi="仿宋" w:eastAsia="仿宋" w:cs="仿宋"/>
          <w:b/>
          <w:bCs/>
          <w:color w:val="auto"/>
          <w:sz w:val="28"/>
          <w:szCs w:val="28"/>
          <w:highlight w:val="none"/>
        </w:rPr>
      </w:pPr>
    </w:p>
    <w:p w14:paraId="3BED4AB4">
      <w:pPr>
        <w:pStyle w:val="111"/>
        <w:spacing w:line="450" w:lineRule="exact"/>
        <w:jc w:val="center"/>
        <w:outlineLvl w:val="0"/>
        <w:rPr>
          <w:rFonts w:hint="eastAsia" w:ascii="仿宋" w:hAnsi="仿宋" w:eastAsia="仿宋" w:cs="仿宋"/>
          <w:b/>
          <w:bCs/>
          <w:color w:val="auto"/>
          <w:sz w:val="28"/>
          <w:szCs w:val="28"/>
          <w:highlight w:val="none"/>
        </w:rPr>
      </w:pPr>
    </w:p>
    <w:p w14:paraId="0BDFA0DC">
      <w:pPr>
        <w:pStyle w:val="111"/>
        <w:spacing w:line="450" w:lineRule="exact"/>
        <w:jc w:val="center"/>
        <w:outlineLvl w:val="0"/>
        <w:rPr>
          <w:rFonts w:hint="eastAsia" w:ascii="仿宋" w:hAnsi="仿宋" w:eastAsia="仿宋" w:cs="仿宋"/>
          <w:b/>
          <w:bCs/>
          <w:color w:val="auto"/>
          <w:sz w:val="28"/>
          <w:szCs w:val="28"/>
          <w:highlight w:val="none"/>
        </w:rPr>
      </w:pPr>
    </w:p>
    <w:p w14:paraId="7A0D00A9">
      <w:pPr>
        <w:pStyle w:val="111"/>
        <w:spacing w:line="450" w:lineRule="exact"/>
        <w:jc w:val="center"/>
        <w:outlineLvl w:val="0"/>
        <w:rPr>
          <w:rFonts w:hint="eastAsia" w:ascii="仿宋" w:hAnsi="仿宋" w:eastAsia="仿宋" w:cs="仿宋"/>
          <w:b/>
          <w:bCs/>
          <w:color w:val="auto"/>
          <w:sz w:val="28"/>
          <w:szCs w:val="28"/>
          <w:highlight w:val="none"/>
        </w:rPr>
      </w:pPr>
    </w:p>
    <w:p w14:paraId="30BAC970">
      <w:pPr>
        <w:pStyle w:val="111"/>
        <w:spacing w:line="600" w:lineRule="auto"/>
        <w:jc w:val="center"/>
        <w:outlineLvl w:val="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质</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疑</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函</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范本</w:t>
      </w:r>
      <w:r>
        <w:rPr>
          <w:rFonts w:hint="eastAsia" w:ascii="仿宋" w:hAnsi="仿宋" w:eastAsia="仿宋" w:cs="仿宋"/>
          <w:b/>
          <w:bCs/>
          <w:color w:val="auto"/>
          <w:sz w:val="28"/>
          <w:szCs w:val="28"/>
          <w:highlight w:val="none"/>
          <w:lang w:eastAsia="zh-CN"/>
        </w:rPr>
        <w:t>）</w:t>
      </w:r>
    </w:p>
    <w:p w14:paraId="43572CF5">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p>
    <w:p w14:paraId="461D5130">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依据政府采购相关法规，我公司对</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的项目（项目编号：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）评审活动存在疑问，特提出质疑（详见下表）。</w:t>
      </w:r>
    </w:p>
    <w:p w14:paraId="3F52C46C">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我公司和本人对此质疑函内容的真实性负责，并愿意承担由此引起的相应处理和法律责任。</w:t>
      </w:r>
    </w:p>
    <w:p w14:paraId="211AD7A8">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法定代表人（签字并盖名章）：</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身份证号码：</w:t>
      </w:r>
    </w:p>
    <w:p w14:paraId="10DFE89C">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固话：</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传真：</w:t>
      </w:r>
      <w:r>
        <w:rPr>
          <w:rFonts w:hint="eastAsia" w:ascii="仿宋" w:hAnsi="仿宋" w:eastAsia="仿宋" w:cs="仿宋"/>
          <w:color w:val="auto"/>
          <w:kern w:val="0"/>
          <w:sz w:val="24"/>
          <w:szCs w:val="24"/>
          <w:highlight w:val="none"/>
        </w:rPr>
        <w:tab/>
      </w:r>
    </w:p>
    <w:p w14:paraId="54FE8FE7">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手机：</w:t>
      </w:r>
    </w:p>
    <w:p w14:paraId="796C5FF7">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本项目授权委托人（签字并盖名章）：</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身份证号码：</w:t>
      </w:r>
    </w:p>
    <w:p w14:paraId="4A14DBE2">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固话：</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传真：</w:t>
      </w:r>
    </w:p>
    <w:p w14:paraId="372985AA">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手机：</w:t>
      </w:r>
    </w:p>
    <w:p w14:paraId="130D0CDE">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公司地址：</w:t>
      </w:r>
      <w:r>
        <w:rPr>
          <w:rFonts w:hint="eastAsia" w:ascii="仿宋" w:hAnsi="仿宋" w:eastAsia="仿宋" w:cs="仿宋"/>
          <w:color w:val="auto"/>
          <w:kern w:val="0"/>
          <w:sz w:val="24"/>
          <w:szCs w:val="24"/>
          <w:highlight w:val="none"/>
        </w:rPr>
        <w:tab/>
      </w:r>
    </w:p>
    <w:p w14:paraId="7372288B">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邮编：</w:t>
      </w:r>
    </w:p>
    <w:p w14:paraId="6BB622D8">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质疑人（公章）</w:t>
      </w:r>
    </w:p>
    <w:p w14:paraId="39D9A2C0">
      <w:pPr>
        <w:spacing w:line="48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 xml:space="preserve">  月 </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日</w:t>
      </w:r>
    </w:p>
    <w:p w14:paraId="52657BA3">
      <w:pPr>
        <w:spacing w:line="360" w:lineRule="auto"/>
        <w:jc w:val="center"/>
        <w:rPr>
          <w:rFonts w:hint="eastAsia" w:ascii="仿宋" w:hAnsi="仿宋" w:eastAsia="仿宋" w:cs="仿宋"/>
          <w:color w:val="auto"/>
          <w:kern w:val="0"/>
          <w:sz w:val="24"/>
          <w:szCs w:val="24"/>
          <w:highlight w:val="none"/>
        </w:rPr>
      </w:pPr>
    </w:p>
    <w:p w14:paraId="5BC82185">
      <w:pP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br w:type="page"/>
      </w:r>
    </w:p>
    <w:p w14:paraId="1FC6292A">
      <w:pPr>
        <w:spacing w:line="360" w:lineRule="auto"/>
        <w:jc w:val="center"/>
        <w:outlineLvl w:val="0"/>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质疑内容</w:t>
      </w:r>
    </w:p>
    <w:p w14:paraId="7CADA81B">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5156976">
      <w:pPr>
        <w:spacing w:line="360" w:lineRule="auto"/>
        <w:ind w:firstLine="720" w:firstLineChars="3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项目编号：</w:t>
      </w:r>
      <w:r>
        <w:rPr>
          <w:rFonts w:hint="eastAsia" w:ascii="仿宋" w:hAnsi="仿宋" w:eastAsia="仿宋" w:cs="仿宋"/>
          <w:color w:val="auto"/>
          <w:sz w:val="24"/>
          <w:szCs w:val="24"/>
          <w:highlight w:val="none"/>
          <w:u w:val="single"/>
        </w:rPr>
        <w:t xml:space="preserve">                        </w:t>
      </w:r>
    </w:p>
    <w:tbl>
      <w:tblPr>
        <w:tblStyle w:val="29"/>
        <w:tblW w:w="88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2"/>
        <w:gridCol w:w="7409"/>
      </w:tblGrid>
      <w:tr w14:paraId="4F161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1412" w:type="dxa"/>
            <w:vMerge w:val="restart"/>
            <w:vAlign w:val="center"/>
          </w:tcPr>
          <w:p w14:paraId="277F3C83">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具体内容</w:t>
            </w:r>
          </w:p>
        </w:tc>
        <w:tc>
          <w:tcPr>
            <w:tcW w:w="7409" w:type="dxa"/>
            <w:vAlign w:val="center"/>
          </w:tcPr>
          <w:p w14:paraId="54DD49D0">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质疑事项：</w:t>
            </w:r>
          </w:p>
        </w:tc>
      </w:tr>
      <w:tr w14:paraId="02B38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1412" w:type="dxa"/>
            <w:vMerge w:val="continue"/>
            <w:vAlign w:val="center"/>
          </w:tcPr>
          <w:p w14:paraId="5FCB0EAC">
            <w:pPr>
              <w:spacing w:line="360" w:lineRule="auto"/>
              <w:jc w:val="center"/>
              <w:rPr>
                <w:rFonts w:hint="eastAsia" w:ascii="仿宋" w:hAnsi="仿宋" w:eastAsia="仿宋" w:cs="仿宋"/>
                <w:color w:val="auto"/>
                <w:kern w:val="0"/>
                <w:sz w:val="24"/>
                <w:szCs w:val="24"/>
                <w:highlight w:val="none"/>
              </w:rPr>
            </w:pPr>
          </w:p>
        </w:tc>
        <w:tc>
          <w:tcPr>
            <w:tcW w:w="7409" w:type="dxa"/>
            <w:vAlign w:val="center"/>
          </w:tcPr>
          <w:p w14:paraId="6CFAD333">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主要内容：</w:t>
            </w:r>
          </w:p>
        </w:tc>
      </w:tr>
      <w:tr w14:paraId="491DC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412" w:type="dxa"/>
            <w:vMerge w:val="continue"/>
            <w:vAlign w:val="center"/>
          </w:tcPr>
          <w:p w14:paraId="6ACD1037">
            <w:pPr>
              <w:spacing w:line="360" w:lineRule="auto"/>
              <w:jc w:val="center"/>
              <w:rPr>
                <w:rFonts w:hint="eastAsia" w:ascii="仿宋" w:hAnsi="仿宋" w:eastAsia="仿宋" w:cs="仿宋"/>
                <w:color w:val="auto"/>
                <w:kern w:val="0"/>
                <w:sz w:val="24"/>
                <w:szCs w:val="24"/>
                <w:highlight w:val="none"/>
              </w:rPr>
            </w:pPr>
          </w:p>
        </w:tc>
        <w:tc>
          <w:tcPr>
            <w:tcW w:w="7409" w:type="dxa"/>
            <w:vAlign w:val="center"/>
          </w:tcPr>
          <w:p w14:paraId="0A5A5EC1">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事实依据：</w:t>
            </w:r>
          </w:p>
        </w:tc>
      </w:tr>
      <w:tr w14:paraId="3A0AE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412" w:type="dxa"/>
            <w:vMerge w:val="continue"/>
            <w:vAlign w:val="center"/>
          </w:tcPr>
          <w:p w14:paraId="06601440">
            <w:pPr>
              <w:spacing w:line="360" w:lineRule="auto"/>
              <w:jc w:val="center"/>
              <w:rPr>
                <w:rFonts w:hint="eastAsia" w:ascii="仿宋" w:hAnsi="仿宋" w:eastAsia="仿宋" w:cs="仿宋"/>
                <w:color w:val="auto"/>
                <w:kern w:val="0"/>
                <w:sz w:val="24"/>
                <w:szCs w:val="24"/>
                <w:highlight w:val="none"/>
              </w:rPr>
            </w:pPr>
          </w:p>
        </w:tc>
        <w:tc>
          <w:tcPr>
            <w:tcW w:w="7409" w:type="dxa"/>
            <w:vAlign w:val="center"/>
          </w:tcPr>
          <w:p w14:paraId="5101515E">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适应法规条款：</w:t>
            </w:r>
          </w:p>
        </w:tc>
      </w:tr>
      <w:tr w14:paraId="03A69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1412" w:type="dxa"/>
            <w:vMerge w:val="continue"/>
            <w:vAlign w:val="center"/>
          </w:tcPr>
          <w:p w14:paraId="2EB9BE27">
            <w:pPr>
              <w:spacing w:line="360" w:lineRule="auto"/>
              <w:jc w:val="center"/>
              <w:rPr>
                <w:rFonts w:hint="eastAsia" w:ascii="仿宋" w:hAnsi="仿宋" w:eastAsia="仿宋" w:cs="仿宋"/>
                <w:color w:val="auto"/>
                <w:kern w:val="0"/>
                <w:sz w:val="24"/>
                <w:szCs w:val="24"/>
                <w:highlight w:val="none"/>
              </w:rPr>
            </w:pPr>
          </w:p>
        </w:tc>
        <w:tc>
          <w:tcPr>
            <w:tcW w:w="7409" w:type="dxa"/>
            <w:vAlign w:val="top"/>
          </w:tcPr>
          <w:p w14:paraId="232C2FC1">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佐证材料：</w:t>
            </w:r>
          </w:p>
        </w:tc>
      </w:tr>
    </w:tbl>
    <w:p w14:paraId="1E17E9C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p w14:paraId="46495E67">
      <w:pPr>
        <w:spacing w:line="360" w:lineRule="auto"/>
        <w:ind w:firstLine="720" w:firstLineChars="3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14:paraId="68EDEB6A">
      <w:pPr>
        <w:spacing w:line="360" w:lineRule="auto"/>
        <w:ind w:firstLine="720" w:firstLineChars="3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14:paraId="6F797843">
      <w:pPr>
        <w:spacing w:line="360" w:lineRule="auto"/>
        <w:ind w:firstLine="720" w:firstLineChars="3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3、“具体的质疑事项及事实依据”一栏填写不下时，质疑人可另附页（A4），但附纸要求加盖质疑人公章。</w:t>
      </w:r>
    </w:p>
    <w:p w14:paraId="7CDC57B8">
      <w:pPr>
        <w:spacing w:line="360" w:lineRule="auto"/>
        <w:ind w:firstLine="720" w:firstLineChars="3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4、与质疑事项有关的材料应与质疑函合并装订。</w:t>
      </w:r>
    </w:p>
    <w:p w14:paraId="1EC9E20C">
      <w:pPr>
        <w:spacing w:line="360" w:lineRule="auto"/>
        <w:ind w:firstLine="720" w:firstLineChars="3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5、质疑函一式三份。</w:t>
      </w:r>
    </w:p>
    <w:p w14:paraId="27E84F53">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p>
    <w:p w14:paraId="1D26912D">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p>
    <w:p w14:paraId="5887E25C">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p>
    <w:p w14:paraId="0C44B9DC">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p>
    <w:p w14:paraId="2720E685">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p>
    <w:p w14:paraId="79341EAD">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p>
    <w:p w14:paraId="0C5EC4DE">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p>
    <w:p w14:paraId="287B0765">
      <w:pPr>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42.投诉及处理</w:t>
      </w:r>
    </w:p>
    <w:p w14:paraId="66A7AA83">
      <w:pPr>
        <w:widowControl w:val="0"/>
        <w:wordWrap/>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42.1</w:t>
      </w:r>
      <w:r>
        <w:rPr>
          <w:rFonts w:hint="eastAsia" w:ascii="仿宋" w:hAnsi="仿宋" w:eastAsia="仿宋" w:cs="仿宋"/>
          <w:color w:val="auto"/>
          <w:kern w:val="0"/>
          <w:sz w:val="24"/>
          <w:szCs w:val="24"/>
          <w:highlight w:val="none"/>
        </w:rPr>
        <w:t>质疑供应商对采购人、采购代理机构的答复不满意，或者采购人、采购代理机构未在规定时间内作出答复的，可以在答复期满后</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个工作日内向</w:t>
      </w:r>
      <w:r>
        <w:rPr>
          <w:rFonts w:hint="eastAsia" w:ascii="仿宋" w:hAnsi="仿宋" w:eastAsia="仿宋" w:cs="仿宋"/>
          <w:color w:val="auto"/>
          <w:kern w:val="0"/>
          <w:sz w:val="24"/>
          <w:szCs w:val="24"/>
          <w:highlight w:val="none"/>
          <w:lang w:val="en-US" w:eastAsia="zh-CN"/>
        </w:rPr>
        <w:t>监督</w:t>
      </w:r>
      <w:r>
        <w:rPr>
          <w:rFonts w:hint="eastAsia" w:ascii="仿宋" w:hAnsi="仿宋" w:eastAsia="仿宋" w:cs="仿宋"/>
          <w:color w:val="auto"/>
          <w:kern w:val="0"/>
          <w:sz w:val="24"/>
          <w:szCs w:val="24"/>
          <w:highlight w:val="none"/>
        </w:rPr>
        <w:t>财政部门提起投诉。</w:t>
      </w:r>
    </w:p>
    <w:p w14:paraId="7F9628D1">
      <w:pPr>
        <w:widowControl w:val="0"/>
        <w:wordWrap/>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42.2</w:t>
      </w:r>
      <w:r>
        <w:rPr>
          <w:rFonts w:hint="eastAsia" w:ascii="仿宋" w:hAnsi="仿宋" w:eastAsia="仿宋" w:cs="仿宋"/>
          <w:color w:val="auto"/>
          <w:kern w:val="0"/>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7E533929">
      <w:pPr>
        <w:widowControl w:val="0"/>
        <w:wordWrap/>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）投诉人和被投诉人的姓名或者名称、通讯地址、邮编、联系人及联系电话；</w:t>
      </w:r>
    </w:p>
    <w:p w14:paraId="4102D315">
      <w:pPr>
        <w:widowControl w:val="0"/>
        <w:wordWrap/>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）质疑和质疑答复情况说明及相关证明材料；</w:t>
      </w:r>
    </w:p>
    <w:p w14:paraId="6F420867">
      <w:pPr>
        <w:widowControl w:val="0"/>
        <w:wordWrap/>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）具体、明确的投诉事项和与投诉事项相关的投诉请求；</w:t>
      </w:r>
    </w:p>
    <w:p w14:paraId="5D206432">
      <w:pPr>
        <w:widowControl w:val="0"/>
        <w:wordWrap/>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）事实依据；</w:t>
      </w:r>
    </w:p>
    <w:p w14:paraId="16BFE451">
      <w:pPr>
        <w:widowControl w:val="0"/>
        <w:wordWrap/>
        <w:adjustRightInd/>
        <w:snapToGrid/>
        <w:spacing w:beforeAutospacing="0" w:afterAutospacing="0" w:line="432"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）法律依据；</w:t>
      </w:r>
    </w:p>
    <w:p w14:paraId="5DDD4283">
      <w:pPr>
        <w:widowControl w:val="0"/>
        <w:wordWrap/>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）提起投诉的日期。</w:t>
      </w:r>
    </w:p>
    <w:p w14:paraId="2464152D">
      <w:pPr>
        <w:widowControl w:val="0"/>
        <w:wordWrap/>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42.3</w:t>
      </w:r>
      <w:r>
        <w:rPr>
          <w:rFonts w:hint="eastAsia" w:ascii="仿宋" w:hAnsi="仿宋" w:eastAsia="仿宋" w:cs="仿宋"/>
          <w:color w:val="auto"/>
          <w:kern w:val="0"/>
          <w:sz w:val="24"/>
          <w:szCs w:val="24"/>
          <w:highlight w:val="none"/>
        </w:rPr>
        <w:t>投诉人为自然人的，应当由本人签字；投诉人为法人或者其他组织的，应当由法定代表人、主要负责人，或者其授权代表签字或者盖章，并加盖公章。</w:t>
      </w:r>
    </w:p>
    <w:p w14:paraId="0FDE75A5">
      <w:pPr>
        <w:widowControl w:val="0"/>
        <w:wordWrap/>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42.4</w:t>
      </w:r>
      <w:r>
        <w:rPr>
          <w:rFonts w:hint="eastAsia" w:ascii="仿宋" w:hAnsi="仿宋" w:eastAsia="仿宋" w:cs="仿宋"/>
          <w:color w:val="auto"/>
          <w:kern w:val="0"/>
          <w:sz w:val="24"/>
          <w:szCs w:val="24"/>
          <w:highlight w:val="none"/>
        </w:rPr>
        <w:t>投诉人应当根据规定的信息内容，并按照规定的方式提起投诉。</w:t>
      </w:r>
    </w:p>
    <w:p w14:paraId="666AC19C">
      <w:pPr>
        <w:widowControl w:val="0"/>
        <w:wordWrap/>
        <w:adjustRightInd/>
        <w:snapToGrid/>
        <w:spacing w:beforeAutospacing="0" w:afterAutospacing="0" w:line="432" w:lineRule="auto"/>
        <w:ind w:firstLine="240" w:firstLineChars="1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42.5</w:t>
      </w:r>
      <w:r>
        <w:rPr>
          <w:rFonts w:hint="eastAsia" w:ascii="仿宋" w:hAnsi="仿宋" w:eastAsia="仿宋" w:cs="仿宋"/>
          <w:color w:val="auto"/>
          <w:kern w:val="0"/>
          <w:sz w:val="24"/>
          <w:szCs w:val="24"/>
          <w:highlight w:val="none"/>
        </w:rPr>
        <w:t>投诉人提起投诉应当符合下列条件：</w:t>
      </w:r>
    </w:p>
    <w:p w14:paraId="12618F4B">
      <w:pPr>
        <w:widowControl w:val="0"/>
        <w:wordWrap/>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）提起投诉前已依法进行质疑；</w:t>
      </w:r>
    </w:p>
    <w:p w14:paraId="3A3B0AE6">
      <w:pPr>
        <w:widowControl w:val="0"/>
        <w:wordWrap/>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）投诉书内容符合本办法的规定；</w:t>
      </w:r>
    </w:p>
    <w:p w14:paraId="5A1F9A1B">
      <w:pPr>
        <w:widowControl w:val="0"/>
        <w:wordWrap/>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）在投诉有效期限内提起投诉；</w:t>
      </w:r>
    </w:p>
    <w:p w14:paraId="17AA3D66">
      <w:pPr>
        <w:widowControl w:val="0"/>
        <w:wordWrap/>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）同一投诉事项未经财政部门投诉处理；</w:t>
      </w:r>
    </w:p>
    <w:p w14:paraId="580FB976">
      <w:pPr>
        <w:widowControl w:val="0"/>
        <w:wordWrap/>
        <w:adjustRightInd/>
        <w:snapToGrid/>
        <w:spacing w:beforeAutospacing="0" w:afterAutospacing="0" w:line="43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）财政部规定的其他条件。</w:t>
      </w:r>
    </w:p>
    <w:p w14:paraId="3E39D0FC">
      <w:pPr>
        <w:widowControl w:val="0"/>
        <w:wordWrap/>
        <w:adjustRightInd/>
        <w:snapToGrid/>
        <w:spacing w:beforeAutospacing="0" w:afterAutospacing="0" w:line="432" w:lineRule="auto"/>
        <w:ind w:firstLine="480" w:firstLineChars="200"/>
        <w:textAlignment w:val="auto"/>
        <w:rPr>
          <w:rFonts w:hint="eastAsia" w:ascii="仿宋" w:hAnsi="仿宋" w:eastAsia="仿宋" w:cs="仿宋"/>
          <w:color w:val="auto"/>
          <w:highlight w:val="none"/>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 w:hAnsi="仿宋" w:eastAsia="仿宋" w:cs="仿宋"/>
          <w:color w:val="auto"/>
          <w:kern w:val="0"/>
          <w:sz w:val="24"/>
          <w:szCs w:val="24"/>
          <w:highlight w:val="none"/>
          <w:lang w:val="en-US" w:eastAsia="zh-CN"/>
        </w:rPr>
        <w:t>42.6</w:t>
      </w:r>
      <w:r>
        <w:rPr>
          <w:rFonts w:hint="eastAsia" w:ascii="仿宋" w:hAnsi="仿宋" w:eastAsia="仿宋" w:cs="仿宋"/>
          <w:color w:val="auto"/>
          <w:kern w:val="0"/>
          <w:sz w:val="24"/>
          <w:szCs w:val="24"/>
          <w:highlight w:val="none"/>
        </w:rPr>
        <w:t>供应商投诉的事项不得超出已质疑事项的范围，但基于质疑答复内容提出的投诉事项除外。</w:t>
      </w:r>
    </w:p>
    <w:p w14:paraId="71142A99">
      <w:pPr>
        <w:jc w:val="center"/>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投</w:t>
      </w:r>
      <w:r>
        <w:rPr>
          <w:rFonts w:hint="eastAsia" w:ascii="仿宋" w:hAnsi="仿宋" w:eastAsia="仿宋" w:cs="仿宋"/>
          <w:b/>
          <w:bCs/>
          <w:color w:val="auto"/>
          <w:kern w:val="0"/>
          <w:sz w:val="28"/>
          <w:szCs w:val="28"/>
          <w:highlight w:val="none"/>
          <w:lang w:val="en-US" w:eastAsia="zh-CN"/>
        </w:rPr>
        <w:t xml:space="preserve"> </w:t>
      </w:r>
      <w:r>
        <w:rPr>
          <w:rFonts w:hint="eastAsia" w:ascii="仿宋" w:hAnsi="仿宋" w:eastAsia="仿宋" w:cs="仿宋"/>
          <w:b/>
          <w:bCs/>
          <w:color w:val="auto"/>
          <w:kern w:val="0"/>
          <w:sz w:val="28"/>
          <w:szCs w:val="28"/>
          <w:highlight w:val="none"/>
        </w:rPr>
        <w:t>诉</w:t>
      </w:r>
      <w:r>
        <w:rPr>
          <w:rFonts w:hint="eastAsia" w:ascii="仿宋" w:hAnsi="仿宋" w:eastAsia="仿宋" w:cs="仿宋"/>
          <w:b/>
          <w:bCs/>
          <w:color w:val="auto"/>
          <w:kern w:val="0"/>
          <w:sz w:val="28"/>
          <w:szCs w:val="28"/>
          <w:highlight w:val="none"/>
          <w:lang w:val="en-US" w:eastAsia="zh-CN"/>
        </w:rPr>
        <w:t xml:space="preserve"> </w:t>
      </w:r>
      <w:r>
        <w:rPr>
          <w:rFonts w:hint="eastAsia" w:ascii="仿宋" w:hAnsi="仿宋" w:eastAsia="仿宋" w:cs="仿宋"/>
          <w:b/>
          <w:bCs/>
          <w:color w:val="auto"/>
          <w:kern w:val="0"/>
          <w:sz w:val="28"/>
          <w:szCs w:val="28"/>
          <w:highlight w:val="none"/>
        </w:rPr>
        <w:t>书</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rPr>
        <w:t>范本</w:t>
      </w:r>
      <w:r>
        <w:rPr>
          <w:rFonts w:hint="eastAsia" w:ascii="仿宋" w:hAnsi="仿宋" w:eastAsia="仿宋" w:cs="仿宋"/>
          <w:b/>
          <w:bCs/>
          <w:color w:val="auto"/>
          <w:kern w:val="0"/>
          <w:sz w:val="28"/>
          <w:szCs w:val="28"/>
          <w:highlight w:val="none"/>
          <w:lang w:eastAsia="zh-CN"/>
        </w:rPr>
        <w:t>）</w:t>
      </w:r>
    </w:p>
    <w:p w14:paraId="07153E72">
      <w:pPr>
        <w:pStyle w:val="14"/>
        <w:rPr>
          <w:rFonts w:hint="eastAsia" w:ascii="仿宋" w:hAnsi="仿宋" w:eastAsia="仿宋" w:cs="仿宋"/>
          <w:color w:val="auto"/>
          <w:highlight w:val="none"/>
        </w:rPr>
      </w:pPr>
    </w:p>
    <w:p w14:paraId="35E7AE9A">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65BD94CE">
      <w:pPr>
        <w:spacing w:line="360" w:lineRule="auto"/>
        <w:ind w:firstLine="480" w:firstLine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dotted"/>
        </w:rPr>
        <w:t xml:space="preserve">                                               </w:t>
      </w:r>
    </w:p>
    <w:p w14:paraId="7B5D3F8E">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374EDA3B">
      <w:pPr>
        <w:tabs>
          <w:tab w:val="left" w:pos="651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法定代表人/主要负责人：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79F4BDE4">
      <w:pPr>
        <w:tabs>
          <w:tab w:val="left" w:pos="6510"/>
        </w:tabs>
        <w:spacing w:line="360" w:lineRule="auto"/>
        <w:ind w:firstLine="480" w:firstLine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79FCBAE2">
      <w:pPr>
        <w:spacing w:line="360" w:lineRule="auto"/>
        <w:ind w:firstLine="480" w:firstLine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0EF53BF3">
      <w:pPr>
        <w:spacing w:line="360" w:lineRule="auto"/>
        <w:ind w:firstLine="480" w:firstLine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dotted"/>
        </w:rPr>
        <w:t xml:space="preserve">                   </w:t>
      </w:r>
    </w:p>
    <w:p w14:paraId="167CA04A">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被投诉人1：</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15E95D33">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5366099A">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4D2C3CD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被投诉人2</w:t>
      </w:r>
    </w:p>
    <w:p w14:paraId="05ACA055">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相关供应商：</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76F2455D">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28A1D303">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229D3637">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433EACA3">
      <w:pPr>
        <w:spacing w:line="360" w:lineRule="auto"/>
        <w:ind w:firstLine="480" w:firstLine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dotted"/>
        </w:rPr>
        <w:t xml:space="preserve">                                        </w:t>
      </w:r>
    </w:p>
    <w:p w14:paraId="3ABD9BDA">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采购项目编号：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44D3FAE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381E22C3">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color w:val="auto"/>
          <w:sz w:val="24"/>
          <w:szCs w:val="24"/>
          <w:highlight w:val="none"/>
          <w:u w:val="dotted"/>
        </w:rPr>
        <w:t xml:space="preserve">                                         </w:t>
      </w:r>
    </w:p>
    <w:p w14:paraId="28F9BD7C">
      <w:pPr>
        <w:spacing w:line="360" w:lineRule="auto"/>
        <w:ind w:firstLine="480" w:firstLine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采购文件公告:</w:t>
      </w:r>
      <w:r>
        <w:rPr>
          <w:rFonts w:hint="eastAsia" w:ascii="仿宋" w:hAnsi="仿宋" w:eastAsia="仿宋" w:cs="仿宋"/>
          <w:color w:val="auto"/>
          <w:sz w:val="24"/>
          <w:szCs w:val="24"/>
          <w:highlight w:val="none"/>
          <w:u w:val="dotted"/>
        </w:rPr>
        <w:t xml:space="preserve">是/否 </w:t>
      </w:r>
      <w:r>
        <w:rPr>
          <w:rFonts w:hint="eastAsia" w:ascii="仿宋" w:hAnsi="仿宋" w:eastAsia="仿宋" w:cs="仿宋"/>
          <w:color w:val="auto"/>
          <w:sz w:val="24"/>
          <w:szCs w:val="24"/>
          <w:highlight w:val="none"/>
        </w:rPr>
        <w:t>公告期限：</w:t>
      </w:r>
      <w:r>
        <w:rPr>
          <w:rFonts w:hint="eastAsia" w:ascii="仿宋" w:hAnsi="仿宋" w:eastAsia="仿宋" w:cs="仿宋"/>
          <w:color w:val="auto"/>
          <w:sz w:val="24"/>
          <w:szCs w:val="24"/>
          <w:highlight w:val="none"/>
          <w:u w:val="dotted"/>
        </w:rPr>
        <w:t xml:space="preserve">                                 </w:t>
      </w:r>
    </w:p>
    <w:p w14:paraId="7E411C50">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采购结果公告:</w:t>
      </w:r>
      <w:r>
        <w:rPr>
          <w:rFonts w:hint="eastAsia" w:ascii="仿宋" w:hAnsi="仿宋" w:eastAsia="仿宋" w:cs="仿宋"/>
          <w:color w:val="auto"/>
          <w:sz w:val="24"/>
          <w:szCs w:val="24"/>
          <w:highlight w:val="none"/>
          <w:u w:val="dotted"/>
        </w:rPr>
        <w:t xml:space="preserve">是/否 </w:t>
      </w:r>
      <w:r>
        <w:rPr>
          <w:rFonts w:hint="eastAsia" w:ascii="仿宋" w:hAnsi="仿宋" w:eastAsia="仿宋" w:cs="仿宋"/>
          <w:color w:val="auto"/>
          <w:sz w:val="24"/>
          <w:szCs w:val="24"/>
          <w:highlight w:val="none"/>
        </w:rPr>
        <w:t>公告期限：</w:t>
      </w:r>
      <w:r>
        <w:rPr>
          <w:rFonts w:hint="eastAsia" w:ascii="仿宋" w:hAnsi="仿宋" w:eastAsia="仿宋" w:cs="仿宋"/>
          <w:color w:val="auto"/>
          <w:sz w:val="24"/>
          <w:szCs w:val="24"/>
          <w:highlight w:val="none"/>
          <w:u w:val="dotted"/>
        </w:rPr>
        <w:t xml:space="preserve">                        </w:t>
      </w:r>
    </w:p>
    <w:p w14:paraId="72A59924">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三、质疑基本情况</w:t>
      </w:r>
    </w:p>
    <w:p w14:paraId="0F67C3C7">
      <w:pPr>
        <w:spacing w:line="360" w:lineRule="auto"/>
        <w:ind w:firstLine="480" w:firstLine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提出质疑，质疑事项为：</w:t>
      </w:r>
      <w:r>
        <w:rPr>
          <w:rFonts w:hint="eastAsia" w:ascii="仿宋" w:hAnsi="仿宋" w:eastAsia="仿宋" w:cs="仿宋"/>
          <w:color w:val="auto"/>
          <w:sz w:val="24"/>
          <w:szCs w:val="24"/>
          <w:highlight w:val="none"/>
          <w:u w:val="dotted"/>
        </w:rPr>
        <w:t xml:space="preserve">                                </w:t>
      </w:r>
    </w:p>
    <w:p w14:paraId="44FDBF30">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62F650A3">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采购人/代理机构</w:t>
      </w: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日,就质疑事项作出了答复/没有在法定期限内作出答复。</w:t>
      </w:r>
    </w:p>
    <w:p w14:paraId="308523B5">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四、投诉事项具体内容</w:t>
      </w:r>
    </w:p>
    <w:p w14:paraId="7A77D1A9">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投诉事项 1：</w:t>
      </w:r>
      <w:r>
        <w:rPr>
          <w:rFonts w:hint="eastAsia" w:ascii="仿宋" w:hAnsi="仿宋" w:eastAsia="仿宋" w:cs="仿宋"/>
          <w:color w:val="auto"/>
          <w:sz w:val="24"/>
          <w:szCs w:val="24"/>
          <w:highlight w:val="none"/>
          <w:u w:val="dotted"/>
        </w:rPr>
        <w:t xml:space="preserve">                                       </w:t>
      </w:r>
    </w:p>
    <w:p w14:paraId="19C74EB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2B0A82E7">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090697B5">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68E7BD55">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2E6B694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投诉事项2</w:t>
      </w:r>
    </w:p>
    <w:p w14:paraId="236C4D26">
      <w:pPr>
        <w:spacing w:line="360" w:lineRule="auto"/>
        <w:ind w:firstLine="480" w:firstLine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w:t>
      </w:r>
    </w:p>
    <w:p w14:paraId="224BF9C1">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五、与投诉事项相关的投诉请求</w:t>
      </w:r>
    </w:p>
    <w:p w14:paraId="2D6ABE6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3417C9A7">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14:paraId="1532614E">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15F2E4BD">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761B08E4">
      <w:pPr>
        <w:spacing w:line="360" w:lineRule="auto"/>
        <w:rPr>
          <w:rFonts w:hint="eastAsia" w:ascii="仿宋" w:hAnsi="仿宋" w:eastAsia="仿宋" w:cs="仿宋"/>
          <w:b/>
          <w:color w:val="auto"/>
          <w:sz w:val="24"/>
          <w:szCs w:val="24"/>
          <w:highlight w:val="none"/>
        </w:rPr>
      </w:pPr>
    </w:p>
    <w:p w14:paraId="509DC057">
      <w:pPr>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投诉书制作说明：</w:t>
      </w:r>
    </w:p>
    <w:p w14:paraId="0EBB853F">
      <w:pPr>
        <w:widowControl/>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1.投诉人提起投诉时，应当提交投诉书和必要的证明材料，并按照被投诉人和与投诉事项有关的供应商数量提供投诉书副本。</w:t>
      </w:r>
    </w:p>
    <w:p w14:paraId="70487BAE">
      <w:pPr>
        <w:widowControl/>
        <w:spacing w:line="48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szCs w:val="24"/>
          <w:highlight w:val="none"/>
        </w:rPr>
        <w:t>投诉人签署的授权委托书。授权委托书应当载明代理人的姓名或者名称、代理事项、具体权限、期限和相关事项。</w:t>
      </w:r>
    </w:p>
    <w:p w14:paraId="176F653C">
      <w:pPr>
        <w:widowControl/>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3.投诉人若对项目的某一分包进行投诉，投诉书应列明具体分包号。</w:t>
      </w:r>
    </w:p>
    <w:p w14:paraId="63724125">
      <w:pPr>
        <w:widowControl/>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4.投诉书应简要列明质疑事项，质疑函、质疑答复等作为附件材料提供。</w:t>
      </w:r>
    </w:p>
    <w:p w14:paraId="3D13A5C8">
      <w:pPr>
        <w:widowControl/>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5.投诉书的投诉事项应具体、明确，并有必要的事实依据和法律依据。</w:t>
      </w:r>
    </w:p>
    <w:p w14:paraId="1760D49C">
      <w:pPr>
        <w:widowControl/>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6.投诉书的投诉请求应与投诉事项相关。</w:t>
      </w:r>
    </w:p>
    <w:p w14:paraId="7EBEA85F">
      <w:pPr>
        <w:spacing w:line="480" w:lineRule="auto"/>
        <w:ind w:firstLine="480" w:firstLineChars="200"/>
        <w:rPr>
          <w:rFonts w:hint="eastAsia" w:ascii="仿宋" w:hAnsi="仿宋" w:eastAsia="仿宋" w:cs="仿宋"/>
          <w:b w:val="0"/>
          <w:bCs/>
          <w:color w:val="auto"/>
          <w:sz w:val="28"/>
          <w:szCs w:val="28"/>
          <w:highlight w:val="none"/>
        </w:rPr>
      </w:pPr>
      <w:r>
        <w:rPr>
          <w:rFonts w:hint="eastAsia" w:ascii="仿宋" w:hAnsi="仿宋" w:eastAsia="仿宋" w:cs="仿宋"/>
          <w:color w:val="auto"/>
          <w:sz w:val="24"/>
          <w:szCs w:val="24"/>
          <w:highlight w:val="none"/>
        </w:rPr>
        <w:t>7.投诉人为自然人的，投诉书应当由本人签字；投诉人为法人或者其他组织的，投诉书应当由法定代表人、主要负责人，或者其授权代表签字或者盖章，并加盖公章。</w:t>
      </w:r>
      <w:bookmarkEnd w:id="41"/>
      <w:bookmarkEnd w:id="42"/>
    </w:p>
    <w:p w14:paraId="4EBEC6C6">
      <w:pPr>
        <w:widowControl w:val="0"/>
        <w:wordWrap/>
        <w:adjustRightInd/>
        <w:snapToGrid w:val="0"/>
        <w:spacing w:line="240" w:lineRule="auto"/>
        <w:jc w:val="center"/>
        <w:textAlignment w:val="auto"/>
        <w:outlineLvl w:val="0"/>
        <w:rPr>
          <w:rFonts w:hint="eastAsia" w:ascii="仿宋" w:hAnsi="仿宋" w:eastAsia="仿宋" w:cs="仿宋"/>
          <w:b/>
          <w:color w:val="auto"/>
          <w:sz w:val="22"/>
          <w:szCs w:val="22"/>
          <w:highlight w:val="none"/>
        </w:rPr>
      </w:pPr>
      <w:bookmarkStart w:id="61" w:name="_Toc23028"/>
      <w:bookmarkStart w:id="62" w:name="_Toc29710"/>
      <w:bookmarkStart w:id="63" w:name="_Toc1354"/>
      <w:bookmarkStart w:id="64" w:name="_Toc6417"/>
      <w:bookmarkStart w:id="65" w:name="_Toc20110"/>
      <w:r>
        <w:rPr>
          <w:rFonts w:hint="eastAsia" w:ascii="仿宋" w:hAnsi="仿宋" w:eastAsia="仿宋" w:cs="仿宋"/>
          <w:b/>
          <w:bCs/>
          <w:color w:val="auto"/>
          <w:sz w:val="40"/>
          <w:szCs w:val="40"/>
          <w:highlight w:val="none"/>
          <w:lang w:val="en-US" w:eastAsia="zh-CN"/>
        </w:rPr>
        <w:t>第二章  评标办法及标准</w:t>
      </w:r>
      <w:bookmarkEnd w:id="61"/>
      <w:bookmarkEnd w:id="62"/>
      <w:bookmarkEnd w:id="63"/>
      <w:bookmarkEnd w:id="64"/>
      <w:bookmarkEnd w:id="65"/>
      <w:bookmarkStart w:id="66" w:name="_Toc99301422"/>
      <w:bookmarkStart w:id="67" w:name="_Toc20061"/>
      <w:bookmarkStart w:id="68" w:name="_Toc25254"/>
      <w:bookmarkStart w:id="69" w:name="_Toc11973"/>
      <w:bookmarkStart w:id="70" w:name="_Toc700"/>
      <w:bookmarkStart w:id="71" w:name="_Toc18832"/>
      <w:bookmarkStart w:id="72" w:name="_Toc26060"/>
      <w:bookmarkStart w:id="73" w:name="_Toc24194"/>
      <w:bookmarkStart w:id="74" w:name="_Toc7241"/>
      <w:bookmarkStart w:id="75" w:name="_Toc19312"/>
      <w:bookmarkStart w:id="76" w:name="_Toc19723"/>
      <w:bookmarkStart w:id="77" w:name="_Toc28817"/>
      <w:bookmarkStart w:id="78" w:name="_Toc13536"/>
      <w:bookmarkStart w:id="79" w:name="_Toc32237"/>
    </w:p>
    <w:p w14:paraId="1757787F">
      <w:pPr>
        <w:widowControl w:val="0"/>
        <w:tabs>
          <w:tab w:val="left" w:pos="360"/>
          <w:tab w:val="left" w:pos="900"/>
        </w:tabs>
        <w:wordWrap/>
        <w:adjustRightInd/>
        <w:snapToGrid w:val="0"/>
        <w:spacing w:line="240" w:lineRule="auto"/>
        <w:jc w:val="left"/>
        <w:textAlignment w:val="auto"/>
        <w:outlineLvl w:val="1"/>
        <w:rPr>
          <w:rFonts w:hint="eastAsia" w:ascii="仿宋" w:hAnsi="仿宋" w:eastAsia="仿宋" w:cs="仿宋"/>
          <w:b/>
          <w:color w:val="auto"/>
          <w:sz w:val="24"/>
          <w:szCs w:val="24"/>
          <w:highlight w:val="none"/>
        </w:rPr>
      </w:pPr>
    </w:p>
    <w:p w14:paraId="5FE3A034">
      <w:pPr>
        <w:keepNext w:val="0"/>
        <w:keepLines w:val="0"/>
        <w:pageBreakBefore w:val="0"/>
        <w:widowControl w:val="0"/>
        <w:tabs>
          <w:tab w:val="left" w:pos="360"/>
          <w:tab w:val="left" w:pos="900"/>
        </w:tabs>
        <w:kinsoku/>
        <w:wordWrap/>
        <w:overflowPunct/>
        <w:topLinePunct w:val="0"/>
        <w:autoSpaceDE/>
        <w:autoSpaceDN/>
        <w:bidi w:val="0"/>
        <w:adjustRightInd/>
        <w:snapToGrid w:val="0"/>
        <w:spacing w:line="264" w:lineRule="auto"/>
        <w:jc w:val="left"/>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一、资格审查程序</w:t>
      </w:r>
      <w:bookmarkEnd w:id="66"/>
    </w:p>
    <w:p w14:paraId="3FF1F29F">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264" w:lineRule="auto"/>
        <w:ind w:leftChars="-50" w:right="62"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开标结束后，采购人或采购代理机构将根据《资格审查要求》中的规定，对投标人进行资格审查，并形成资格审查结果。</w:t>
      </w:r>
    </w:p>
    <w:p w14:paraId="1DB4C9AB">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264" w:lineRule="auto"/>
        <w:ind w:leftChars="-50" w:right="62"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《资格审查要求》中对格式有要求的，除招标文件另有规定外，均为“实质性格式”文件。</w:t>
      </w:r>
    </w:p>
    <w:p w14:paraId="6D8304F7">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264" w:lineRule="auto"/>
        <w:ind w:leftChars="-50" w:right="62"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投标人《资格证明文件》有任何一项不符合《资格审查要求》的，资格审查不合格，其</w:t>
      </w:r>
      <w:r>
        <w:rPr>
          <w:rFonts w:hint="eastAsia" w:ascii="仿宋" w:hAnsi="仿宋" w:eastAsia="仿宋" w:cs="仿宋"/>
          <w:b/>
          <w:color w:val="auto"/>
          <w:sz w:val="24"/>
          <w:szCs w:val="24"/>
          <w:highlight w:val="none"/>
        </w:rPr>
        <w:t>投标无效</w:t>
      </w:r>
      <w:r>
        <w:rPr>
          <w:rFonts w:hint="eastAsia" w:ascii="仿宋" w:hAnsi="仿宋" w:eastAsia="仿宋" w:cs="仿宋"/>
          <w:color w:val="auto"/>
          <w:sz w:val="24"/>
          <w:szCs w:val="24"/>
          <w:highlight w:val="none"/>
        </w:rPr>
        <w:t>。</w:t>
      </w:r>
    </w:p>
    <w:p w14:paraId="5341A746">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264" w:lineRule="auto"/>
        <w:ind w:leftChars="-50" w:right="62"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资格审查合格的投标人不足3家的，不进行评标。</w:t>
      </w:r>
    </w:p>
    <w:p w14:paraId="3F4AB5D3">
      <w:pPr>
        <w:keepNext w:val="0"/>
        <w:keepLines w:val="0"/>
        <w:pageBreakBefore w:val="0"/>
        <w:widowControl w:val="0"/>
        <w:tabs>
          <w:tab w:val="left" w:pos="360"/>
          <w:tab w:val="left" w:pos="900"/>
        </w:tabs>
        <w:kinsoku/>
        <w:wordWrap/>
        <w:overflowPunct/>
        <w:topLinePunct w:val="0"/>
        <w:autoSpaceDE/>
        <w:autoSpaceDN/>
        <w:bidi w:val="0"/>
        <w:adjustRightInd/>
        <w:snapToGrid w:val="0"/>
        <w:spacing w:line="264" w:lineRule="auto"/>
        <w:jc w:val="left"/>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二、资格审查要求</w:t>
      </w:r>
    </w:p>
    <w:tbl>
      <w:tblPr>
        <w:tblStyle w:val="29"/>
        <w:tblW w:w="105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869"/>
        <w:gridCol w:w="6796"/>
        <w:gridCol w:w="1104"/>
      </w:tblGrid>
      <w:tr w14:paraId="3F231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781" w:type="dxa"/>
            <w:vAlign w:val="center"/>
          </w:tcPr>
          <w:p w14:paraId="3BD16BE1">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b/>
                <w:color w:val="auto"/>
                <w:sz w:val="24"/>
                <w:szCs w:val="24"/>
                <w:highlight w:val="none"/>
              </w:rPr>
            </w:pPr>
            <w:bookmarkStart w:id="80" w:name="_Hlt487972895"/>
            <w:bookmarkEnd w:id="80"/>
            <w:r>
              <w:rPr>
                <w:rFonts w:hint="eastAsia" w:ascii="仿宋" w:hAnsi="仿宋" w:eastAsia="仿宋" w:cs="仿宋"/>
                <w:b/>
                <w:color w:val="auto"/>
                <w:sz w:val="24"/>
                <w:szCs w:val="24"/>
                <w:highlight w:val="none"/>
              </w:rPr>
              <w:t>序号</w:t>
            </w:r>
          </w:p>
        </w:tc>
        <w:tc>
          <w:tcPr>
            <w:tcW w:w="1869" w:type="dxa"/>
            <w:vAlign w:val="center"/>
          </w:tcPr>
          <w:p w14:paraId="05D43D7D">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审查因素</w:t>
            </w:r>
          </w:p>
        </w:tc>
        <w:tc>
          <w:tcPr>
            <w:tcW w:w="6796" w:type="dxa"/>
            <w:vAlign w:val="center"/>
          </w:tcPr>
          <w:p w14:paraId="1525B525">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审查内容</w:t>
            </w:r>
          </w:p>
        </w:tc>
        <w:tc>
          <w:tcPr>
            <w:tcW w:w="1104" w:type="dxa"/>
            <w:vAlign w:val="center"/>
          </w:tcPr>
          <w:p w14:paraId="7FEA0480">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备注</w:t>
            </w:r>
          </w:p>
        </w:tc>
      </w:tr>
      <w:tr w14:paraId="7F474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1" w:type="dxa"/>
            <w:vAlign w:val="center"/>
          </w:tcPr>
          <w:p w14:paraId="5788B3D8">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1869" w:type="dxa"/>
            <w:vAlign w:val="center"/>
          </w:tcPr>
          <w:p w14:paraId="306B8A63">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营业执照</w:t>
            </w:r>
          </w:p>
          <w:p w14:paraId="76101923">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2"/>
                <w:sz w:val="24"/>
                <w:szCs w:val="24"/>
                <w:highlight w:val="none"/>
                <w:lang w:val="en-US" w:eastAsia="zh-CN" w:bidi="ar-SA"/>
              </w:rPr>
              <w:t>三证合一</w:t>
            </w:r>
            <w:r>
              <w:rPr>
                <w:rFonts w:hint="eastAsia" w:ascii="仿宋" w:hAnsi="仿宋" w:eastAsia="仿宋" w:cs="仿宋"/>
                <w:color w:val="auto"/>
                <w:sz w:val="24"/>
                <w:szCs w:val="24"/>
                <w:highlight w:val="none"/>
                <w:lang w:val="en-US" w:eastAsia="zh-CN"/>
              </w:rPr>
              <w:t>）</w:t>
            </w:r>
          </w:p>
        </w:tc>
        <w:tc>
          <w:tcPr>
            <w:tcW w:w="6796" w:type="dxa"/>
            <w:vAlign w:val="center"/>
          </w:tcPr>
          <w:p w14:paraId="4F1E681D">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是否提供</w:t>
            </w:r>
            <w:r>
              <w:rPr>
                <w:rFonts w:hint="eastAsia" w:ascii="仿宋" w:hAnsi="仿宋" w:eastAsia="仿宋" w:cs="仿宋"/>
                <w:b w:val="0"/>
                <w:bCs w:val="0"/>
                <w:color w:val="auto"/>
                <w:kern w:val="2"/>
                <w:sz w:val="24"/>
                <w:szCs w:val="24"/>
                <w:highlight w:val="none"/>
                <w:lang w:val="en-US" w:eastAsia="zh-CN"/>
              </w:rPr>
              <w:t>有效经年检合格的“三证合一”营业执照</w:t>
            </w:r>
            <w:r>
              <w:rPr>
                <w:rFonts w:hint="eastAsia" w:ascii="仿宋" w:hAnsi="仿宋" w:eastAsia="仿宋" w:cs="仿宋"/>
                <w:color w:val="auto"/>
                <w:sz w:val="24"/>
                <w:szCs w:val="24"/>
                <w:highlight w:val="none"/>
                <w:lang w:val="en-US" w:eastAsia="zh-CN"/>
              </w:rPr>
              <w:t>；</w:t>
            </w:r>
          </w:p>
        </w:tc>
        <w:tc>
          <w:tcPr>
            <w:tcW w:w="1104" w:type="dxa"/>
            <w:vAlign w:val="center"/>
          </w:tcPr>
          <w:p w14:paraId="2DA47353">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p>
        </w:tc>
      </w:tr>
      <w:tr w14:paraId="1BC6E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jc w:val="center"/>
        </w:trPr>
        <w:tc>
          <w:tcPr>
            <w:tcW w:w="781" w:type="dxa"/>
            <w:vAlign w:val="center"/>
          </w:tcPr>
          <w:p w14:paraId="1A1CFFBC">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1869" w:type="dxa"/>
            <w:vAlign w:val="center"/>
          </w:tcPr>
          <w:p w14:paraId="6292EB47">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法人身份证明或授权委托书</w:t>
            </w:r>
          </w:p>
        </w:tc>
        <w:tc>
          <w:tcPr>
            <w:tcW w:w="6796" w:type="dxa"/>
            <w:vAlign w:val="center"/>
          </w:tcPr>
          <w:p w14:paraId="55374F89">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hanging="120" w:hangingChars="5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是否提供</w:t>
            </w:r>
            <w:r>
              <w:rPr>
                <w:rFonts w:hint="eastAsia" w:ascii="仿宋" w:hAnsi="仿宋" w:eastAsia="仿宋" w:cs="仿宋"/>
                <w:color w:val="auto"/>
                <w:kern w:val="2"/>
                <w:sz w:val="24"/>
                <w:szCs w:val="24"/>
                <w:lang w:val="en-US" w:eastAsia="zh-CN" w:bidi="ar"/>
              </w:rPr>
              <w:t>法定代表人身份证明书</w:t>
            </w: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及法定代表人身份证复印件或法定代表人授权委托书及被委托人身份证复印件；</w:t>
            </w:r>
          </w:p>
        </w:tc>
        <w:tc>
          <w:tcPr>
            <w:tcW w:w="1104" w:type="dxa"/>
            <w:vAlign w:val="center"/>
          </w:tcPr>
          <w:p w14:paraId="448B6C56">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p>
        </w:tc>
      </w:tr>
      <w:tr w14:paraId="716B2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81" w:type="dxa"/>
            <w:vAlign w:val="center"/>
          </w:tcPr>
          <w:p w14:paraId="70B1DC57">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1869" w:type="dxa"/>
            <w:vAlign w:val="center"/>
          </w:tcPr>
          <w:p w14:paraId="0B3F0CFB">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社保证明</w:t>
            </w:r>
          </w:p>
        </w:tc>
        <w:tc>
          <w:tcPr>
            <w:tcW w:w="6796" w:type="dxa"/>
            <w:vAlign w:val="center"/>
          </w:tcPr>
          <w:p w14:paraId="0B2CFAB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120" w:leftChars="0" w:right="0" w:hanging="120" w:hangingChars="5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是否提供</w:t>
            </w:r>
            <w:r>
              <w:rPr>
                <w:rFonts w:hint="eastAsia" w:ascii="仿宋" w:hAnsi="仿宋" w:eastAsia="仿宋" w:cs="仿宋"/>
                <w:b w:val="0"/>
                <w:bCs w:val="0"/>
                <w:color w:val="auto"/>
                <w:kern w:val="2"/>
                <w:sz w:val="24"/>
                <w:szCs w:val="24"/>
                <w:highlight w:val="none"/>
                <w:lang w:val="en-US" w:eastAsia="zh-CN"/>
              </w:rPr>
              <w:t>本单位缴纳的近三个月（近三个月是指2026年01月-2026年03月）社保缴纳证明（社保证明材料须是社保局出具的缴纳证明或社保系统导出的缴纳汇总凭证；新成立不足三个月的公司以实际发生的为准，如依法不需要缴纳社会保障资金的，应提供相应文件证明）</w:t>
            </w:r>
            <w:r>
              <w:rPr>
                <w:rFonts w:hint="eastAsia" w:ascii="仿宋" w:hAnsi="仿宋" w:eastAsia="仿宋" w:cs="仿宋"/>
                <w:color w:val="auto"/>
                <w:sz w:val="24"/>
                <w:szCs w:val="24"/>
                <w:highlight w:val="none"/>
                <w:lang w:val="en-US" w:eastAsia="zh-CN"/>
              </w:rPr>
              <w:t>；</w:t>
            </w:r>
          </w:p>
        </w:tc>
        <w:tc>
          <w:tcPr>
            <w:tcW w:w="1104" w:type="dxa"/>
            <w:vAlign w:val="center"/>
          </w:tcPr>
          <w:p w14:paraId="7823B4F2">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p>
        </w:tc>
      </w:tr>
      <w:tr w14:paraId="010DE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81" w:type="dxa"/>
            <w:vAlign w:val="center"/>
          </w:tcPr>
          <w:p w14:paraId="6FA556B4">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1869" w:type="dxa"/>
            <w:vAlign w:val="center"/>
          </w:tcPr>
          <w:p w14:paraId="393C98DD">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财务审计报告</w:t>
            </w:r>
          </w:p>
        </w:tc>
        <w:tc>
          <w:tcPr>
            <w:tcW w:w="6796" w:type="dxa"/>
            <w:vAlign w:val="center"/>
          </w:tcPr>
          <w:p w14:paraId="57B8ABA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120" w:leftChars="0" w:right="0" w:hanging="120" w:hangingChars="5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是否提供</w:t>
            </w:r>
            <w:r>
              <w:rPr>
                <w:rFonts w:hint="eastAsia" w:ascii="仿宋" w:hAnsi="仿宋" w:eastAsia="仿宋" w:cs="仿宋"/>
                <w:b w:val="0"/>
                <w:bCs w:val="0"/>
                <w:color w:val="auto"/>
                <w:kern w:val="2"/>
                <w:sz w:val="24"/>
                <w:szCs w:val="24"/>
                <w:highlight w:val="none"/>
                <w:lang w:val="en-US" w:eastAsia="zh-CN"/>
              </w:rPr>
              <w:t>2024年度或2025年度第三方审计机构出具的财务审计报告(2025年10月以后新成立公司可不提供）</w:t>
            </w:r>
            <w:r>
              <w:rPr>
                <w:rFonts w:hint="eastAsia" w:ascii="仿宋" w:hAnsi="仿宋" w:eastAsia="仿宋" w:cs="仿宋"/>
                <w:color w:val="auto"/>
                <w:kern w:val="2"/>
                <w:sz w:val="24"/>
                <w:szCs w:val="24"/>
                <w:highlight w:val="none"/>
                <w:lang w:val="en-US" w:eastAsia="zh-CN"/>
              </w:rPr>
              <w:t>；</w:t>
            </w:r>
          </w:p>
        </w:tc>
        <w:tc>
          <w:tcPr>
            <w:tcW w:w="1104" w:type="dxa"/>
            <w:vAlign w:val="center"/>
          </w:tcPr>
          <w:p w14:paraId="0EE9C8F9">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p>
        </w:tc>
      </w:tr>
      <w:tr w14:paraId="5B5C3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81" w:type="dxa"/>
            <w:vAlign w:val="center"/>
          </w:tcPr>
          <w:p w14:paraId="670EF1AF">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869" w:type="dxa"/>
            <w:vAlign w:val="center"/>
          </w:tcPr>
          <w:p w14:paraId="5231AC78">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完税证明</w:t>
            </w:r>
          </w:p>
        </w:tc>
        <w:tc>
          <w:tcPr>
            <w:tcW w:w="6796" w:type="dxa"/>
            <w:vAlign w:val="center"/>
          </w:tcPr>
          <w:p w14:paraId="3E2A9E8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120" w:leftChars="0" w:right="0" w:hanging="120" w:hangingChars="5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是否提供</w:t>
            </w:r>
            <w:r>
              <w:rPr>
                <w:rFonts w:hint="eastAsia" w:ascii="仿宋" w:hAnsi="仿宋" w:eastAsia="仿宋" w:cs="仿宋"/>
                <w:b w:val="0"/>
                <w:bCs w:val="0"/>
                <w:color w:val="auto"/>
                <w:kern w:val="2"/>
                <w:sz w:val="24"/>
                <w:szCs w:val="24"/>
                <w:highlight w:val="none"/>
                <w:lang w:val="en-US" w:eastAsia="zh-CN"/>
              </w:rPr>
              <w:t>税务部门出具近三个月（近三个月是指2026年01月-2026年03月）依法缴纳税收的完税证明（需含增值税、印花税等税种；如当月无需缴税需提供税务机关出具的无欠税证明），新成立公司按实际发生提供税务机关出具的无欠税证明</w:t>
            </w:r>
            <w:r>
              <w:rPr>
                <w:rFonts w:hint="eastAsia" w:ascii="仿宋" w:hAnsi="仿宋" w:eastAsia="仿宋" w:cs="仿宋"/>
                <w:color w:val="auto"/>
                <w:kern w:val="2"/>
                <w:sz w:val="24"/>
                <w:szCs w:val="24"/>
                <w:highlight w:val="none"/>
                <w:lang w:val="en-US" w:eastAsia="zh-CN"/>
              </w:rPr>
              <w:t>；</w:t>
            </w:r>
          </w:p>
        </w:tc>
        <w:tc>
          <w:tcPr>
            <w:tcW w:w="1104" w:type="dxa"/>
            <w:vAlign w:val="center"/>
          </w:tcPr>
          <w:p w14:paraId="3BBBB1A2">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p>
        </w:tc>
      </w:tr>
      <w:tr w14:paraId="76AE3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81" w:type="dxa"/>
            <w:vAlign w:val="center"/>
          </w:tcPr>
          <w:p w14:paraId="39B3663C">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1869" w:type="dxa"/>
            <w:vAlign w:val="center"/>
          </w:tcPr>
          <w:p w14:paraId="10E870CF">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投标人信用记录</w:t>
            </w:r>
          </w:p>
        </w:tc>
        <w:tc>
          <w:tcPr>
            <w:tcW w:w="6796" w:type="dxa"/>
            <w:vAlign w:val="center"/>
          </w:tcPr>
          <w:p w14:paraId="06A37803">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hanging="120" w:hangingChars="5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凡拟参加本次招标项目的投标人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被列入经营异常名录信息、严重违法失信名单（黑名单）信息（尚在处罚期内的）；将拒绝其参与本次政府采购活动</w:t>
            </w:r>
            <w:r>
              <w:rPr>
                <w:rFonts w:hint="eastAsia" w:ascii="仿宋" w:hAnsi="仿宋" w:eastAsia="仿宋" w:cs="仿宋"/>
                <w:color w:val="auto"/>
                <w:kern w:val="2"/>
                <w:sz w:val="24"/>
                <w:szCs w:val="24"/>
                <w:highlight w:val="none"/>
                <w:lang w:val="en-US" w:eastAsia="zh-CN" w:bidi="ar-SA"/>
              </w:rPr>
              <w:t>；</w:t>
            </w:r>
          </w:p>
        </w:tc>
        <w:tc>
          <w:tcPr>
            <w:tcW w:w="1104" w:type="dxa"/>
            <w:vAlign w:val="center"/>
          </w:tcPr>
          <w:p w14:paraId="0842AFEA">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以招标代理机构现场查询为准</w:t>
            </w:r>
          </w:p>
        </w:tc>
      </w:tr>
      <w:tr w14:paraId="6F040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81" w:type="dxa"/>
            <w:vAlign w:val="center"/>
          </w:tcPr>
          <w:p w14:paraId="30B20694">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1869" w:type="dxa"/>
            <w:vAlign w:val="center"/>
          </w:tcPr>
          <w:p w14:paraId="00C49EA6">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供应商关系</w:t>
            </w:r>
          </w:p>
        </w:tc>
        <w:tc>
          <w:tcPr>
            <w:tcW w:w="6796" w:type="dxa"/>
            <w:vAlign w:val="center"/>
          </w:tcPr>
          <w:p w14:paraId="4BAFA0CB">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hanging="120" w:hangingChars="5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企业负责人为同一人或者存在直接控股、管理关系的不同供应商，不得参加同一合同项下的政府采购活动。否则，皆取消投标资格</w:t>
            </w:r>
            <w:r>
              <w:rPr>
                <w:rFonts w:hint="eastAsia" w:ascii="仿宋" w:hAnsi="仿宋" w:eastAsia="仿宋" w:cs="仿宋"/>
                <w:color w:val="auto"/>
                <w:kern w:val="2"/>
                <w:sz w:val="24"/>
                <w:szCs w:val="24"/>
                <w:highlight w:val="none"/>
                <w:lang w:val="en-US" w:eastAsia="zh-CN" w:bidi="ar-SA"/>
              </w:rPr>
              <w:t>（提供承诺书，格式自拟；若不提供或提供虚假材料，将作否决投标处理！）；</w:t>
            </w:r>
          </w:p>
        </w:tc>
        <w:tc>
          <w:tcPr>
            <w:tcW w:w="1104" w:type="dxa"/>
            <w:vAlign w:val="center"/>
          </w:tcPr>
          <w:p w14:paraId="160D41A5">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p>
        </w:tc>
      </w:tr>
      <w:tr w14:paraId="5B363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781" w:type="dxa"/>
            <w:vAlign w:val="center"/>
          </w:tcPr>
          <w:p w14:paraId="2B60B4E7">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1869" w:type="dxa"/>
            <w:vAlign w:val="center"/>
          </w:tcPr>
          <w:p w14:paraId="1B46753D">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hanging="120" w:hangingChars="5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投标保证金</w:t>
            </w:r>
          </w:p>
          <w:p w14:paraId="08004828">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或保函</w:t>
            </w:r>
          </w:p>
        </w:tc>
        <w:tc>
          <w:tcPr>
            <w:tcW w:w="6796" w:type="dxa"/>
            <w:vAlign w:val="center"/>
          </w:tcPr>
          <w:p w14:paraId="52AF4826">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hanging="120" w:hangingChars="5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是否按照采购文件要求足额缴纳保证金或电子保函</w:t>
            </w: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w:t>
            </w:r>
          </w:p>
        </w:tc>
        <w:tc>
          <w:tcPr>
            <w:tcW w:w="1104" w:type="dxa"/>
            <w:vAlign w:val="center"/>
          </w:tcPr>
          <w:p w14:paraId="31C97E81">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p>
        </w:tc>
      </w:tr>
      <w:tr w14:paraId="1E6D7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781" w:type="dxa"/>
            <w:vAlign w:val="center"/>
          </w:tcPr>
          <w:p w14:paraId="7BF9333E">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869" w:type="dxa"/>
            <w:shd w:val="clear" w:color="auto" w:fill="auto"/>
            <w:vAlign w:val="center"/>
          </w:tcPr>
          <w:p w14:paraId="69BE1588">
            <w:pPr>
              <w:keepNext w:val="0"/>
              <w:keepLines w:val="0"/>
              <w:pageBreakBefore w:val="0"/>
              <w:widowControl w:val="0"/>
              <w:tabs>
                <w:tab w:val="left" w:pos="1080"/>
              </w:tabs>
              <w:kinsoku/>
              <w:wordWrap/>
              <w:overflowPunct/>
              <w:topLinePunct w:val="0"/>
              <w:autoSpaceDE/>
              <w:autoSpaceDN/>
              <w:bidi w:val="0"/>
              <w:adjustRightInd/>
              <w:snapToGrid w:val="0"/>
              <w:spacing w:line="240" w:lineRule="auto"/>
              <w:ind w:left="120" w:leftChars="0" w:right="62" w:rightChars="0"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《中小企业声明函》</w:t>
            </w:r>
          </w:p>
        </w:tc>
        <w:tc>
          <w:tcPr>
            <w:tcW w:w="6796" w:type="dxa"/>
            <w:shd w:val="clear" w:color="auto" w:fill="auto"/>
            <w:vAlign w:val="center"/>
          </w:tcPr>
          <w:p w14:paraId="0BFE56AC">
            <w:pPr>
              <w:keepNext w:val="0"/>
              <w:keepLines w:val="0"/>
              <w:pageBreakBefore w:val="0"/>
              <w:widowControl w:val="0"/>
              <w:tabs>
                <w:tab w:val="left" w:pos="1080"/>
              </w:tabs>
              <w:kinsoku/>
              <w:wordWrap/>
              <w:overflowPunct/>
              <w:topLinePunct w:val="0"/>
              <w:autoSpaceDE/>
              <w:autoSpaceDN/>
              <w:bidi w:val="0"/>
              <w:adjustRightInd/>
              <w:snapToGrid w:val="0"/>
              <w:spacing w:line="240" w:lineRule="auto"/>
              <w:ind w:left="120" w:leftChars="0" w:right="62" w:rightChars="0" w:hanging="120" w:hangingChars="5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是否提供合格的《中小企业声明函》；</w:t>
            </w:r>
          </w:p>
        </w:tc>
        <w:tc>
          <w:tcPr>
            <w:tcW w:w="1104" w:type="dxa"/>
            <w:vAlign w:val="center"/>
          </w:tcPr>
          <w:p w14:paraId="6B93C2EB">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p>
        </w:tc>
      </w:tr>
      <w:tr w14:paraId="3C37A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781" w:type="dxa"/>
            <w:vAlign w:val="center"/>
          </w:tcPr>
          <w:p w14:paraId="17C981AA">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869" w:type="dxa"/>
            <w:vAlign w:val="center"/>
          </w:tcPr>
          <w:p w14:paraId="0C74FB48">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hanging="120" w:hangingChars="5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特定资格要求</w:t>
            </w:r>
          </w:p>
        </w:tc>
        <w:tc>
          <w:tcPr>
            <w:tcW w:w="6796" w:type="dxa"/>
            <w:vAlign w:val="center"/>
          </w:tcPr>
          <w:p w14:paraId="6A9B7DA4">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120" w:leftChars="0" w:right="62" w:hanging="120" w:hangingChars="50"/>
              <w:jc w:val="left"/>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val="0"/>
                <w:color w:val="auto"/>
                <w:kern w:val="2"/>
                <w:sz w:val="24"/>
                <w:szCs w:val="24"/>
                <w:highlight w:val="none"/>
                <w:lang w:val="en-US" w:eastAsia="zh-CN"/>
              </w:rPr>
              <w:t>投标人须具备有效的</w:t>
            </w:r>
            <w:r>
              <w:rPr>
                <w:rFonts w:hint="eastAsia" w:ascii="仿宋" w:hAnsi="仿宋" w:eastAsia="仿宋" w:cs="仿宋"/>
                <w:color w:val="auto"/>
                <w:sz w:val="24"/>
                <w:szCs w:val="24"/>
                <w:highlight w:val="none"/>
              </w:rPr>
              <w:t>《保安服务许可证》</w:t>
            </w:r>
            <w:r>
              <w:rPr>
                <w:rFonts w:hint="eastAsia" w:ascii="仿宋" w:hAnsi="仿宋" w:eastAsia="仿宋" w:cs="仿宋"/>
                <w:b w:val="0"/>
                <w:bCs w:val="0"/>
                <w:color w:val="auto"/>
                <w:kern w:val="2"/>
                <w:sz w:val="24"/>
                <w:szCs w:val="24"/>
                <w:highlight w:val="none"/>
                <w:lang w:val="en-US" w:eastAsia="zh-CN"/>
              </w:rPr>
              <w:t>。</w:t>
            </w:r>
          </w:p>
        </w:tc>
        <w:tc>
          <w:tcPr>
            <w:tcW w:w="1104" w:type="dxa"/>
            <w:vAlign w:val="center"/>
          </w:tcPr>
          <w:p w14:paraId="5B24263A">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center"/>
              <w:textAlignment w:val="auto"/>
              <w:rPr>
                <w:rFonts w:hint="eastAsia" w:ascii="仿宋" w:hAnsi="仿宋" w:eastAsia="仿宋" w:cs="仿宋"/>
                <w:color w:val="auto"/>
                <w:sz w:val="24"/>
                <w:szCs w:val="24"/>
                <w:highlight w:val="none"/>
              </w:rPr>
            </w:pPr>
          </w:p>
        </w:tc>
      </w:tr>
      <w:tr w14:paraId="1A904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550" w:type="dxa"/>
            <w:gridSpan w:val="4"/>
            <w:vAlign w:val="center"/>
          </w:tcPr>
          <w:p w14:paraId="12C56A07">
            <w:pPr>
              <w:keepNext w:val="0"/>
              <w:keepLines w:val="0"/>
              <w:pageBreakBefore w:val="0"/>
              <w:widowControl w:val="0"/>
              <w:tabs>
                <w:tab w:val="left" w:pos="1080"/>
              </w:tabs>
              <w:kinsoku/>
              <w:wordWrap/>
              <w:overflowPunct/>
              <w:topLinePunct w:val="0"/>
              <w:autoSpaceDE/>
              <w:autoSpaceDN/>
              <w:bidi w:val="0"/>
              <w:adjustRightInd w:val="0"/>
              <w:snapToGrid w:val="0"/>
              <w:spacing w:line="240" w:lineRule="auto"/>
              <w:ind w:left="0" w:right="62"/>
              <w:jc w:val="left"/>
              <w:textAlignment w:val="auto"/>
              <w:rPr>
                <w:rFonts w:hint="eastAsia" w:ascii="仿宋" w:hAnsi="仿宋" w:eastAsia="仿宋" w:cs="仿宋"/>
                <w:color w:val="auto"/>
                <w:sz w:val="24"/>
                <w:szCs w:val="24"/>
                <w:highlight w:val="none"/>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结论：是否通过评审；以上评审中有任意一项不通过，则不进入下一环节。</w:t>
            </w:r>
          </w:p>
        </w:tc>
      </w:tr>
    </w:tbl>
    <w:p w14:paraId="56CE3F5C">
      <w:pPr>
        <w:keepNext w:val="0"/>
        <w:keepLines w:val="0"/>
        <w:pageBreakBefore w:val="0"/>
        <w:widowControl w:val="0"/>
        <w:tabs>
          <w:tab w:val="left" w:pos="360"/>
          <w:tab w:val="left" w:pos="900"/>
        </w:tabs>
        <w:kinsoku/>
        <w:wordWrap/>
        <w:overflowPunct/>
        <w:topLinePunct w:val="0"/>
        <w:autoSpaceDE/>
        <w:autoSpaceDN/>
        <w:bidi w:val="0"/>
        <w:adjustRightInd/>
        <w:snapToGrid w:val="0"/>
        <w:spacing w:line="300" w:lineRule="auto"/>
        <w:jc w:val="both"/>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三</w:t>
      </w:r>
      <w:r>
        <w:rPr>
          <w:rFonts w:hint="eastAsia" w:ascii="仿宋" w:hAnsi="仿宋" w:eastAsia="仿宋" w:cs="仿宋"/>
          <w:b/>
          <w:color w:val="auto"/>
          <w:sz w:val="28"/>
          <w:szCs w:val="28"/>
          <w:highlight w:val="none"/>
        </w:rPr>
        <w:t>、评标方法</w:t>
      </w:r>
    </w:p>
    <w:p w14:paraId="6136B835">
      <w:pPr>
        <w:keepNext w:val="0"/>
        <w:keepLines w:val="0"/>
        <w:pageBreakBefore w:val="0"/>
        <w:widowControl w:val="0"/>
        <w:numPr>
          <w:ilvl w:val="0"/>
          <w:numId w:val="6"/>
        </w:numPr>
        <w:tabs>
          <w:tab w:val="left" w:pos="360"/>
        </w:tabs>
        <w:kinsoku/>
        <w:wordWrap/>
        <w:overflowPunct/>
        <w:topLinePunct w:val="0"/>
        <w:autoSpaceDE/>
        <w:autoSpaceDN/>
        <w:bidi w:val="0"/>
        <w:adjustRightInd/>
        <w:snapToGrid w:val="0"/>
        <w:spacing w:line="300" w:lineRule="auto"/>
        <w:textAlignment w:val="auto"/>
        <w:outlineLvl w:val="1"/>
        <w:rPr>
          <w:rFonts w:hint="eastAsia" w:ascii="仿宋" w:hAnsi="仿宋" w:eastAsia="仿宋" w:cs="仿宋"/>
          <w:color w:val="auto"/>
          <w:sz w:val="24"/>
          <w:szCs w:val="24"/>
          <w:highlight w:val="none"/>
        </w:rPr>
      </w:pPr>
      <w:bookmarkStart w:id="81" w:name="_Toc265228379"/>
      <w:bookmarkStart w:id="82" w:name="_Toc127151742"/>
      <w:bookmarkStart w:id="83" w:name="_Toc151190168"/>
      <w:bookmarkStart w:id="84" w:name="_Toc150774746"/>
      <w:bookmarkStart w:id="85" w:name="_Toc226965731"/>
      <w:bookmarkStart w:id="86" w:name="_Toc305158883"/>
      <w:bookmarkStart w:id="87" w:name="_Toc150774641"/>
      <w:bookmarkStart w:id="88" w:name="_Toc264969231"/>
      <w:bookmarkStart w:id="89" w:name="_Toc164351635"/>
      <w:bookmarkStart w:id="90" w:name="_Toc226337237"/>
      <w:bookmarkStart w:id="91" w:name="_Toc151193783"/>
      <w:bookmarkStart w:id="92" w:name="_Toc149720834"/>
      <w:bookmarkStart w:id="93" w:name="_Toc164229236"/>
      <w:bookmarkStart w:id="94" w:name="_Toc164608810"/>
      <w:bookmarkStart w:id="95" w:name="_Toc195842906"/>
      <w:bookmarkStart w:id="96" w:name="_Toc151193855"/>
      <w:bookmarkStart w:id="97" w:name="_Toc127161455"/>
      <w:bookmarkStart w:id="98" w:name="_Toc142311043"/>
      <w:bookmarkStart w:id="99" w:name="_Toc150509292"/>
      <w:bookmarkStart w:id="100" w:name="_Toc150480779"/>
      <w:bookmarkStart w:id="101" w:name="_Toc305158809"/>
      <w:bookmarkStart w:id="102" w:name="_Toc151193639"/>
      <w:bookmarkStart w:id="103" w:name="_Toc226309785"/>
      <w:bookmarkStart w:id="104" w:name="_Toc151193929"/>
      <w:bookmarkStart w:id="105" w:name="_Toc164608655"/>
      <w:bookmarkStart w:id="106" w:name="_Toc127151541"/>
      <w:bookmarkStart w:id="107" w:name="_Toc164229382"/>
      <w:bookmarkStart w:id="108" w:name="_Toc226965814"/>
      <w:bookmarkStart w:id="109" w:name="_Toc151193711"/>
      <w:bookmarkStart w:id="110" w:name="_Toc353873941"/>
      <w:bookmarkStart w:id="111" w:name="_Toc353825551"/>
      <w:r>
        <w:rPr>
          <w:rFonts w:hint="eastAsia" w:ascii="仿宋" w:hAnsi="仿宋" w:eastAsia="仿宋" w:cs="仿宋"/>
          <w:color w:val="auto"/>
          <w:sz w:val="24"/>
          <w:szCs w:val="24"/>
          <w:highlight w:val="none"/>
        </w:rPr>
        <w:t>投标文件的符合性审查</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25860366">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300" w:lineRule="auto"/>
        <w:ind w:leftChars="-50" w:right="6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评标委员会对资格审查合格的投标人的投标文件进行符合性审查，以确定其是否满足招标文件的实质性要求。</w:t>
      </w:r>
      <w:bookmarkStart w:id="112" w:name="_Toc520356167"/>
    </w:p>
    <w:p w14:paraId="324A8689">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300" w:lineRule="auto"/>
        <w:ind w:leftChars="-50" w:right="6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112"/>
      <w:r>
        <w:rPr>
          <w:rFonts w:hint="eastAsia" w:ascii="仿宋" w:hAnsi="仿宋" w:eastAsia="仿宋" w:cs="仿宋"/>
          <w:color w:val="auto"/>
          <w:sz w:val="24"/>
          <w:szCs w:val="24"/>
          <w:highlight w:val="none"/>
        </w:rPr>
        <w:t>要求的</w:t>
      </w:r>
      <w:r>
        <w:rPr>
          <w:rFonts w:hint="eastAsia" w:ascii="仿宋" w:hAnsi="仿宋" w:eastAsia="仿宋" w:cs="仿宋"/>
          <w:b/>
          <w:color w:val="auto"/>
          <w:sz w:val="24"/>
          <w:szCs w:val="24"/>
          <w:highlight w:val="none"/>
        </w:rPr>
        <w:t>投标无效</w:t>
      </w:r>
      <w:r>
        <w:rPr>
          <w:rFonts w:hint="eastAsia" w:ascii="仿宋" w:hAnsi="仿宋" w:eastAsia="仿宋" w:cs="仿宋"/>
          <w:color w:val="auto"/>
          <w:sz w:val="24"/>
          <w:szCs w:val="24"/>
          <w:highlight w:val="none"/>
        </w:rPr>
        <w:t>。</w:t>
      </w:r>
    </w:p>
    <w:p w14:paraId="70E8A4CD">
      <w:pPr>
        <w:keepNext w:val="0"/>
        <w:keepLines w:val="0"/>
        <w:pageBreakBefore w:val="0"/>
        <w:widowControl w:val="0"/>
        <w:tabs>
          <w:tab w:val="left" w:pos="900"/>
          <w:tab w:val="left" w:pos="1080"/>
          <w:tab w:val="left" w:pos="1589"/>
        </w:tabs>
        <w:kinsoku/>
        <w:wordWrap/>
        <w:overflowPunct/>
        <w:topLinePunct w:val="0"/>
        <w:autoSpaceDE/>
        <w:autoSpaceDN/>
        <w:bidi w:val="0"/>
        <w:adjustRightInd/>
        <w:snapToGrid w:val="0"/>
        <w:spacing w:line="312" w:lineRule="auto"/>
        <w:ind w:leftChars="-170" w:hanging="416" w:hangingChars="148"/>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符合性审查要求</w:t>
      </w:r>
    </w:p>
    <w:tbl>
      <w:tblPr>
        <w:tblStyle w:val="29"/>
        <w:tblW w:w="10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735"/>
        <w:gridCol w:w="8079"/>
      </w:tblGrid>
      <w:tr w14:paraId="1DEA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31" w:type="dxa"/>
            <w:vAlign w:val="center"/>
          </w:tcPr>
          <w:p w14:paraId="4A2F1EC6">
            <w:pPr>
              <w:widowControl/>
              <w:wordWrap/>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1735" w:type="dxa"/>
            <w:vAlign w:val="center"/>
          </w:tcPr>
          <w:p w14:paraId="3D97DF6B">
            <w:pPr>
              <w:widowControl/>
              <w:wordWrap/>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审查因素</w:t>
            </w:r>
          </w:p>
        </w:tc>
        <w:tc>
          <w:tcPr>
            <w:tcW w:w="8079" w:type="dxa"/>
            <w:vAlign w:val="center"/>
          </w:tcPr>
          <w:p w14:paraId="6614B64E">
            <w:pPr>
              <w:widowControl/>
              <w:wordWrap/>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审查内容</w:t>
            </w:r>
          </w:p>
        </w:tc>
      </w:tr>
      <w:tr w14:paraId="10C4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1" w:type="dxa"/>
            <w:vAlign w:val="center"/>
          </w:tcPr>
          <w:p w14:paraId="5B6EC4A2">
            <w:pPr>
              <w:tabs>
                <w:tab w:val="left" w:pos="1080"/>
              </w:tabs>
              <w:wordWrap/>
              <w:adjustRightInd/>
              <w:snapToGrid w:val="0"/>
              <w:spacing w:line="240" w:lineRule="auto"/>
              <w:ind w:left="0" w:leftChars="0" w:right="62"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p>
        </w:tc>
        <w:tc>
          <w:tcPr>
            <w:tcW w:w="1735" w:type="dxa"/>
            <w:vAlign w:val="center"/>
          </w:tcPr>
          <w:p w14:paraId="502E02DF">
            <w:pPr>
              <w:tabs>
                <w:tab w:val="left" w:pos="1080"/>
                <w:tab w:val="right" w:pos="1727"/>
              </w:tabs>
              <w:wordWrap/>
              <w:adjustRightInd/>
              <w:snapToGrid w:val="0"/>
              <w:spacing w:line="240" w:lineRule="auto"/>
              <w:ind w:left="0" w:leftChars="0" w:right="62"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签字、盖章</w:t>
            </w:r>
          </w:p>
        </w:tc>
        <w:tc>
          <w:tcPr>
            <w:tcW w:w="8079" w:type="dxa"/>
            <w:vAlign w:val="center"/>
          </w:tcPr>
          <w:p w14:paraId="18570B88">
            <w:pPr>
              <w:tabs>
                <w:tab w:val="left" w:pos="1080"/>
              </w:tabs>
              <w:wordWrap/>
              <w:adjustRightInd/>
              <w:snapToGrid w:val="0"/>
              <w:spacing w:line="240" w:lineRule="auto"/>
              <w:ind w:left="0" w:leftChars="0" w:right="62"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投标响应文件签字盖章是否满足招标文件要求；</w:t>
            </w:r>
          </w:p>
        </w:tc>
      </w:tr>
      <w:tr w14:paraId="0034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31" w:type="dxa"/>
            <w:vAlign w:val="center"/>
          </w:tcPr>
          <w:p w14:paraId="2B0F2895">
            <w:pPr>
              <w:tabs>
                <w:tab w:val="left" w:pos="1080"/>
              </w:tabs>
              <w:snapToGrid w:val="0"/>
              <w:spacing w:line="240" w:lineRule="auto"/>
              <w:ind w:left="0" w:leftChars="0" w:right="62"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p>
        </w:tc>
        <w:tc>
          <w:tcPr>
            <w:tcW w:w="1735" w:type="dxa"/>
            <w:vAlign w:val="center"/>
          </w:tcPr>
          <w:p w14:paraId="065A29A5">
            <w:pPr>
              <w:tabs>
                <w:tab w:val="left" w:pos="1080"/>
              </w:tabs>
              <w:snapToGrid w:val="0"/>
              <w:spacing w:line="240" w:lineRule="auto"/>
              <w:ind w:left="0" w:leftChars="0" w:right="62"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响应文件编制</w:t>
            </w:r>
          </w:p>
        </w:tc>
        <w:tc>
          <w:tcPr>
            <w:tcW w:w="8079" w:type="dxa"/>
            <w:vAlign w:val="center"/>
          </w:tcPr>
          <w:p w14:paraId="7A48C252">
            <w:pPr>
              <w:tabs>
                <w:tab w:val="left" w:pos="1080"/>
              </w:tabs>
              <w:snapToGrid w:val="0"/>
              <w:spacing w:line="240" w:lineRule="auto"/>
              <w:ind w:left="0" w:leftChars="0" w:right="62"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投标响应文件是否按招标文件要求编制，内容是否全面或字迹是否模糊、辨认不清的；</w:t>
            </w:r>
          </w:p>
        </w:tc>
      </w:tr>
      <w:tr w14:paraId="57B8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31" w:type="dxa"/>
            <w:vAlign w:val="center"/>
          </w:tcPr>
          <w:p w14:paraId="2E151274">
            <w:pPr>
              <w:widowControl w:val="0"/>
              <w:tabs>
                <w:tab w:val="left" w:pos="1080"/>
              </w:tabs>
              <w:wordWrap/>
              <w:adjustRightInd/>
              <w:snapToGrid w:val="0"/>
              <w:spacing w:line="240" w:lineRule="auto"/>
              <w:ind w:left="0" w:leftChars="0" w:right="62"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p>
        </w:tc>
        <w:tc>
          <w:tcPr>
            <w:tcW w:w="1735" w:type="dxa"/>
            <w:vAlign w:val="center"/>
          </w:tcPr>
          <w:p w14:paraId="3615CA42">
            <w:pPr>
              <w:widowControl w:val="0"/>
              <w:tabs>
                <w:tab w:val="left" w:pos="1080"/>
              </w:tabs>
              <w:wordWrap/>
              <w:adjustRightInd/>
              <w:snapToGrid w:val="0"/>
              <w:spacing w:line="240" w:lineRule="auto"/>
              <w:ind w:left="0" w:leftChars="0" w:right="62"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响应文件内容</w:t>
            </w:r>
          </w:p>
        </w:tc>
        <w:tc>
          <w:tcPr>
            <w:tcW w:w="8079" w:type="dxa"/>
            <w:vAlign w:val="center"/>
          </w:tcPr>
          <w:p w14:paraId="70073228">
            <w:pPr>
              <w:widowControl w:val="0"/>
              <w:tabs>
                <w:tab w:val="left" w:pos="1080"/>
              </w:tabs>
              <w:wordWrap/>
              <w:adjustRightInd/>
              <w:snapToGrid w:val="0"/>
              <w:spacing w:line="240" w:lineRule="auto"/>
              <w:ind w:left="0" w:leftChars="0" w:right="62"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rPr>
              <w:t>投标响应文件是否不齐全或者内容虚假的；</w:t>
            </w:r>
          </w:p>
        </w:tc>
      </w:tr>
      <w:tr w14:paraId="274B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31" w:type="dxa"/>
            <w:vAlign w:val="center"/>
          </w:tcPr>
          <w:p w14:paraId="6CF9459D">
            <w:pPr>
              <w:tabs>
                <w:tab w:val="left" w:pos="1080"/>
              </w:tabs>
              <w:snapToGrid w:val="0"/>
              <w:spacing w:line="240" w:lineRule="auto"/>
              <w:ind w:left="0" w:leftChars="0" w:right="62"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735" w:type="dxa"/>
            <w:vAlign w:val="center"/>
          </w:tcPr>
          <w:p w14:paraId="7213F721">
            <w:pPr>
              <w:tabs>
                <w:tab w:val="left" w:pos="1080"/>
              </w:tabs>
              <w:snapToGrid w:val="0"/>
              <w:spacing w:line="240" w:lineRule="auto"/>
              <w:ind w:left="0" w:leftChars="0" w:right="62"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w:t>
            </w:r>
          </w:p>
        </w:tc>
        <w:tc>
          <w:tcPr>
            <w:tcW w:w="8079" w:type="dxa"/>
            <w:vAlign w:val="center"/>
          </w:tcPr>
          <w:p w14:paraId="5C4BCDB7">
            <w:pPr>
              <w:tabs>
                <w:tab w:val="left" w:pos="1080"/>
              </w:tabs>
              <w:snapToGrid w:val="0"/>
              <w:spacing w:line="240" w:lineRule="auto"/>
              <w:ind w:left="0" w:leftChars="0" w:right="62" w:firstLine="0" w:firstLineChars="0"/>
              <w:jc w:val="left"/>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投标人投标报价超过最高限价的；对同一招标项目做出两个及以上报价未明确效力；</w:t>
            </w:r>
          </w:p>
        </w:tc>
      </w:tr>
      <w:tr w14:paraId="4188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1" w:type="dxa"/>
            <w:vAlign w:val="center"/>
          </w:tcPr>
          <w:p w14:paraId="1DF03EAE">
            <w:pPr>
              <w:widowControl w:val="0"/>
              <w:tabs>
                <w:tab w:val="left" w:pos="1080"/>
              </w:tabs>
              <w:wordWrap/>
              <w:adjustRightInd/>
              <w:snapToGrid w:val="0"/>
              <w:spacing w:line="240" w:lineRule="auto"/>
              <w:ind w:left="0" w:leftChars="0" w:right="62"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p>
        </w:tc>
        <w:tc>
          <w:tcPr>
            <w:tcW w:w="1735" w:type="dxa"/>
            <w:vAlign w:val="center"/>
          </w:tcPr>
          <w:p w14:paraId="74843814">
            <w:pPr>
              <w:widowControl w:val="0"/>
              <w:tabs>
                <w:tab w:val="left" w:pos="1080"/>
              </w:tabs>
              <w:wordWrap/>
              <w:adjustRightInd/>
              <w:snapToGrid w:val="0"/>
              <w:spacing w:line="240" w:lineRule="auto"/>
              <w:ind w:left="0" w:leftChars="0" w:right="62" w:firstLine="0" w:firstLineChars="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服务期限</w:t>
            </w:r>
          </w:p>
        </w:tc>
        <w:tc>
          <w:tcPr>
            <w:tcW w:w="8079" w:type="dxa"/>
            <w:vAlign w:val="center"/>
          </w:tcPr>
          <w:p w14:paraId="039F9A75">
            <w:pPr>
              <w:widowControl w:val="0"/>
              <w:tabs>
                <w:tab w:val="left" w:pos="1080"/>
              </w:tabs>
              <w:wordWrap/>
              <w:adjustRightInd/>
              <w:snapToGrid w:val="0"/>
              <w:spacing w:line="240" w:lineRule="auto"/>
              <w:ind w:left="0" w:leftChars="0" w:right="62"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投标文件记载的招标项目服务期限及招标文件中要求提供的承诺书（承诺函）是否满足招标文件要求；</w:t>
            </w:r>
          </w:p>
        </w:tc>
      </w:tr>
      <w:tr w14:paraId="1785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1" w:type="dxa"/>
            <w:vAlign w:val="center"/>
          </w:tcPr>
          <w:p w14:paraId="6FE11E18">
            <w:pPr>
              <w:widowControl w:val="0"/>
              <w:tabs>
                <w:tab w:val="left" w:pos="1080"/>
              </w:tabs>
              <w:wordWrap/>
              <w:adjustRightInd/>
              <w:snapToGrid w:val="0"/>
              <w:spacing w:line="240" w:lineRule="auto"/>
              <w:ind w:left="0" w:leftChars="0" w:right="62"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p>
        </w:tc>
        <w:tc>
          <w:tcPr>
            <w:tcW w:w="1735" w:type="dxa"/>
            <w:vAlign w:val="center"/>
          </w:tcPr>
          <w:p w14:paraId="50C52FB4">
            <w:pPr>
              <w:widowControl w:val="0"/>
              <w:tabs>
                <w:tab w:val="left" w:pos="1080"/>
              </w:tabs>
              <w:wordWrap/>
              <w:adjustRightInd/>
              <w:snapToGrid w:val="0"/>
              <w:spacing w:line="240" w:lineRule="auto"/>
              <w:ind w:left="0" w:leftChars="0" w:right="62"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投标有效期</w:t>
            </w:r>
          </w:p>
        </w:tc>
        <w:tc>
          <w:tcPr>
            <w:tcW w:w="8079" w:type="dxa"/>
            <w:vAlign w:val="center"/>
          </w:tcPr>
          <w:p w14:paraId="608F2AA2">
            <w:pPr>
              <w:widowControl w:val="0"/>
              <w:tabs>
                <w:tab w:val="left" w:pos="1080"/>
              </w:tabs>
              <w:wordWrap/>
              <w:adjustRightInd/>
              <w:snapToGrid w:val="0"/>
              <w:spacing w:line="240" w:lineRule="auto"/>
              <w:ind w:left="0" w:leftChars="0" w:right="62"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kern w:val="2"/>
                <w:sz w:val="24"/>
                <w:szCs w:val="24"/>
                <w:highlight w:val="none"/>
                <w:lang w:val="en-US" w:eastAsia="zh-CN"/>
              </w:rPr>
              <w:t>响应</w:t>
            </w:r>
            <w:r>
              <w:rPr>
                <w:rFonts w:hint="eastAsia" w:ascii="仿宋" w:hAnsi="仿宋" w:eastAsia="仿宋" w:cs="仿宋"/>
                <w:color w:val="auto"/>
                <w:sz w:val="24"/>
                <w:szCs w:val="24"/>
                <w:highlight w:val="none"/>
                <w:lang w:val="en-US" w:eastAsia="zh-CN"/>
              </w:rPr>
              <w:t>文件中承诺的投标有效期满足招标文件中载明的投标有效期的；</w:t>
            </w:r>
          </w:p>
        </w:tc>
      </w:tr>
      <w:tr w14:paraId="4479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31" w:type="dxa"/>
            <w:vAlign w:val="center"/>
          </w:tcPr>
          <w:p w14:paraId="1E1E5061">
            <w:pPr>
              <w:widowControl w:val="0"/>
              <w:tabs>
                <w:tab w:val="left" w:pos="1080"/>
              </w:tabs>
              <w:wordWrap/>
              <w:adjustRightInd/>
              <w:snapToGrid w:val="0"/>
              <w:spacing w:line="240" w:lineRule="auto"/>
              <w:ind w:left="0" w:leftChars="0" w:right="62"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p>
        </w:tc>
        <w:tc>
          <w:tcPr>
            <w:tcW w:w="1735" w:type="dxa"/>
            <w:vAlign w:val="center"/>
          </w:tcPr>
          <w:p w14:paraId="772A88C5">
            <w:pPr>
              <w:widowControl w:val="0"/>
              <w:tabs>
                <w:tab w:val="left" w:pos="1080"/>
              </w:tabs>
              <w:wordWrap/>
              <w:adjustRightInd/>
              <w:snapToGrid w:val="0"/>
              <w:spacing w:line="240" w:lineRule="auto"/>
              <w:ind w:left="0" w:leftChars="0" w:right="62"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商务条款</w:t>
            </w:r>
          </w:p>
        </w:tc>
        <w:tc>
          <w:tcPr>
            <w:tcW w:w="8079" w:type="dxa"/>
            <w:vAlign w:val="center"/>
          </w:tcPr>
          <w:p w14:paraId="3F647186">
            <w:pPr>
              <w:widowControl w:val="0"/>
              <w:tabs>
                <w:tab w:val="left" w:pos="1080"/>
              </w:tabs>
              <w:wordWrap/>
              <w:adjustRightInd/>
              <w:snapToGrid w:val="0"/>
              <w:spacing w:line="240" w:lineRule="auto"/>
              <w:ind w:left="0" w:leftChars="0" w:right="62"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商务条款是否有偏离情况的</w:t>
            </w:r>
            <w:r>
              <w:rPr>
                <w:rFonts w:hint="eastAsia" w:ascii="仿宋" w:hAnsi="仿宋" w:eastAsia="仿宋" w:cs="仿宋"/>
                <w:color w:val="auto"/>
                <w:kern w:val="0"/>
                <w:sz w:val="24"/>
                <w:szCs w:val="24"/>
                <w:highlight w:val="none"/>
                <w:lang w:val="en-US" w:eastAsia="zh-CN" w:bidi="ar"/>
              </w:rPr>
              <w:t>；</w:t>
            </w:r>
          </w:p>
        </w:tc>
      </w:tr>
      <w:tr w14:paraId="7408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31" w:type="dxa"/>
            <w:vAlign w:val="center"/>
          </w:tcPr>
          <w:p w14:paraId="50113915">
            <w:pPr>
              <w:tabs>
                <w:tab w:val="left" w:pos="1080"/>
              </w:tabs>
              <w:snapToGrid w:val="0"/>
              <w:spacing w:line="240" w:lineRule="auto"/>
              <w:ind w:left="0" w:leftChars="0" w:right="62"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p>
        </w:tc>
        <w:tc>
          <w:tcPr>
            <w:tcW w:w="1735" w:type="dxa"/>
            <w:vAlign w:val="center"/>
          </w:tcPr>
          <w:p w14:paraId="18AAA132">
            <w:pPr>
              <w:tabs>
                <w:tab w:val="left" w:pos="1080"/>
              </w:tabs>
              <w:snapToGrid w:val="0"/>
              <w:spacing w:line="240" w:lineRule="auto"/>
              <w:ind w:left="0" w:leftChars="0" w:right="62"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报价合理性</w:t>
            </w:r>
          </w:p>
        </w:tc>
        <w:tc>
          <w:tcPr>
            <w:tcW w:w="8079" w:type="dxa"/>
            <w:vAlign w:val="center"/>
          </w:tcPr>
          <w:p w14:paraId="488FB957">
            <w:pPr>
              <w:tabs>
                <w:tab w:val="left" w:pos="1080"/>
              </w:tabs>
              <w:snapToGrid w:val="0"/>
              <w:spacing w:line="240" w:lineRule="auto"/>
              <w:ind w:left="0" w:leftChars="0" w:right="62"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4915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31" w:type="dxa"/>
            <w:vAlign w:val="center"/>
          </w:tcPr>
          <w:p w14:paraId="4A178EE9">
            <w:pPr>
              <w:tabs>
                <w:tab w:val="left" w:pos="1080"/>
              </w:tabs>
              <w:snapToGrid w:val="0"/>
              <w:spacing w:line="240" w:lineRule="auto"/>
              <w:ind w:left="0" w:leftChars="0" w:right="62" w:firstLine="0" w:firstLineChars="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9</w:t>
            </w:r>
          </w:p>
        </w:tc>
        <w:tc>
          <w:tcPr>
            <w:tcW w:w="1735" w:type="dxa"/>
            <w:vAlign w:val="center"/>
          </w:tcPr>
          <w:p w14:paraId="207F45F3">
            <w:pPr>
              <w:tabs>
                <w:tab w:val="left" w:pos="1080"/>
              </w:tabs>
              <w:snapToGrid w:val="0"/>
              <w:spacing w:line="240" w:lineRule="auto"/>
              <w:ind w:left="0" w:leftChars="0" w:right="62"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公平竞争</w:t>
            </w:r>
          </w:p>
        </w:tc>
        <w:tc>
          <w:tcPr>
            <w:tcW w:w="8079" w:type="dxa"/>
            <w:vAlign w:val="center"/>
          </w:tcPr>
          <w:p w14:paraId="33072F10">
            <w:pPr>
              <w:tabs>
                <w:tab w:val="left" w:pos="1080"/>
              </w:tabs>
              <w:snapToGrid w:val="0"/>
              <w:spacing w:line="240" w:lineRule="auto"/>
              <w:ind w:left="0" w:leftChars="0" w:right="62"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投标人遵循公平竞争的原则，不存在恶意串通，妨碍其他投标人的竞争行为，不存在损害采购人或者其他投标人的合法权益情形的；</w:t>
            </w:r>
          </w:p>
        </w:tc>
      </w:tr>
      <w:tr w14:paraId="3C77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14:paraId="7EE5C38D">
            <w:pPr>
              <w:tabs>
                <w:tab w:val="left" w:pos="1080"/>
              </w:tabs>
              <w:snapToGrid w:val="0"/>
              <w:spacing w:line="240" w:lineRule="auto"/>
              <w:ind w:left="0" w:leftChars="0" w:right="62" w:firstLine="0" w:firstLineChars="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10</w:t>
            </w:r>
          </w:p>
        </w:tc>
        <w:tc>
          <w:tcPr>
            <w:tcW w:w="1735" w:type="dxa"/>
            <w:vAlign w:val="center"/>
          </w:tcPr>
          <w:p w14:paraId="6D32FD2B">
            <w:pPr>
              <w:tabs>
                <w:tab w:val="left" w:pos="1080"/>
              </w:tabs>
              <w:snapToGrid w:val="0"/>
              <w:spacing w:line="240" w:lineRule="auto"/>
              <w:ind w:left="0" w:leftChars="0" w:right="62"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串通投标</w:t>
            </w:r>
          </w:p>
        </w:tc>
        <w:tc>
          <w:tcPr>
            <w:tcW w:w="8079" w:type="dxa"/>
            <w:vAlign w:val="center"/>
          </w:tcPr>
          <w:p w14:paraId="3E7931E4">
            <w:pPr>
              <w:tabs>
                <w:tab w:val="left" w:pos="1080"/>
              </w:tabs>
              <w:snapToGrid w:val="0"/>
              <w:spacing w:line="240" w:lineRule="auto"/>
              <w:ind w:left="0" w:leftChars="0" w:right="62"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C4F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1" w:type="dxa"/>
            <w:vAlign w:val="center"/>
          </w:tcPr>
          <w:p w14:paraId="2364D503">
            <w:pPr>
              <w:widowControl w:val="0"/>
              <w:tabs>
                <w:tab w:val="left" w:pos="1080"/>
              </w:tabs>
              <w:wordWrap/>
              <w:adjustRightInd/>
              <w:snapToGrid w:val="0"/>
              <w:spacing w:line="240" w:lineRule="auto"/>
              <w:ind w:left="0" w:leftChars="0" w:right="62" w:firstLine="0" w:firstLineChars="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11</w:t>
            </w:r>
          </w:p>
        </w:tc>
        <w:tc>
          <w:tcPr>
            <w:tcW w:w="1735" w:type="dxa"/>
            <w:vAlign w:val="center"/>
          </w:tcPr>
          <w:p w14:paraId="3DEC21B0">
            <w:pPr>
              <w:widowControl w:val="0"/>
              <w:tabs>
                <w:tab w:val="left" w:pos="1080"/>
              </w:tabs>
              <w:wordWrap/>
              <w:adjustRightInd/>
              <w:snapToGrid w:val="0"/>
              <w:spacing w:line="240" w:lineRule="auto"/>
              <w:ind w:left="0" w:leftChars="0" w:right="62"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附加条件</w:t>
            </w:r>
          </w:p>
        </w:tc>
        <w:tc>
          <w:tcPr>
            <w:tcW w:w="8079" w:type="dxa"/>
            <w:vAlign w:val="center"/>
          </w:tcPr>
          <w:p w14:paraId="4E9FC3D2">
            <w:pPr>
              <w:widowControl w:val="0"/>
              <w:tabs>
                <w:tab w:val="left" w:pos="1080"/>
              </w:tabs>
              <w:wordWrap/>
              <w:adjustRightInd/>
              <w:snapToGrid w:val="0"/>
              <w:spacing w:line="240" w:lineRule="auto"/>
              <w:ind w:left="0" w:leftChars="0" w:right="62"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投标文件未含有采购人不能接受的附加条件的；</w:t>
            </w:r>
          </w:p>
        </w:tc>
      </w:tr>
      <w:tr w14:paraId="32A1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31" w:type="dxa"/>
            <w:vAlign w:val="center"/>
          </w:tcPr>
          <w:p w14:paraId="36943307">
            <w:pPr>
              <w:tabs>
                <w:tab w:val="left" w:pos="1080"/>
              </w:tabs>
              <w:snapToGrid w:val="0"/>
              <w:spacing w:line="240" w:lineRule="auto"/>
              <w:ind w:left="0" w:leftChars="0" w:right="62" w:firstLine="0" w:firstLineChars="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12</w:t>
            </w:r>
          </w:p>
        </w:tc>
        <w:tc>
          <w:tcPr>
            <w:tcW w:w="1735" w:type="dxa"/>
            <w:vAlign w:val="center"/>
          </w:tcPr>
          <w:p w14:paraId="0A06A315">
            <w:pPr>
              <w:tabs>
                <w:tab w:val="left" w:pos="1080"/>
              </w:tabs>
              <w:snapToGrid w:val="0"/>
              <w:spacing w:line="240" w:lineRule="auto"/>
              <w:ind w:left="0" w:leftChars="0" w:right="62"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其他无效情形</w:t>
            </w:r>
          </w:p>
        </w:tc>
        <w:tc>
          <w:tcPr>
            <w:tcW w:w="8079" w:type="dxa"/>
            <w:vAlign w:val="center"/>
          </w:tcPr>
          <w:p w14:paraId="5A1EBC7B">
            <w:pPr>
              <w:tabs>
                <w:tab w:val="left" w:pos="1080"/>
              </w:tabs>
              <w:snapToGrid w:val="0"/>
              <w:spacing w:line="240" w:lineRule="auto"/>
              <w:ind w:left="0" w:leftChars="0" w:right="62"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投标人、投标文件不存在不符合法律、法规和招标文件规定的其他无效情形；</w:t>
            </w:r>
          </w:p>
        </w:tc>
      </w:tr>
      <w:bookmarkEnd w:id="110"/>
      <w:bookmarkEnd w:id="111"/>
      <w:tr w14:paraId="3E66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545" w:type="dxa"/>
            <w:gridSpan w:val="3"/>
            <w:vAlign w:val="center"/>
          </w:tcPr>
          <w:p w14:paraId="5BAF79C5">
            <w:pPr>
              <w:tabs>
                <w:tab w:val="left" w:pos="1080"/>
              </w:tabs>
              <w:snapToGrid w:val="0"/>
              <w:spacing w:line="240" w:lineRule="auto"/>
              <w:ind w:left="0" w:leftChars="0" w:right="62"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SA"/>
              </w:rPr>
              <w:t>注：</w:t>
            </w:r>
            <w:r>
              <w:rPr>
                <w:rFonts w:hint="eastAsia" w:ascii="仿宋" w:hAnsi="仿宋" w:eastAsia="仿宋" w:cs="仿宋"/>
                <w:b w:val="0"/>
                <w:bCs w:val="0"/>
                <w:color w:val="auto"/>
                <w:kern w:val="0"/>
                <w:sz w:val="24"/>
                <w:szCs w:val="24"/>
                <w:highlight w:val="none"/>
                <w:lang w:val="en-US" w:eastAsia="zh-CN" w:bidi="ar-SA"/>
              </w:rPr>
              <w:t>投标人有一项未通过不得参与下一阶段评审，做否决投标处理</w:t>
            </w:r>
            <w:r>
              <w:rPr>
                <w:rFonts w:hint="eastAsia" w:ascii="仿宋" w:hAnsi="仿宋" w:eastAsia="仿宋" w:cs="仿宋"/>
                <w:b w:val="0"/>
                <w:bCs w:val="0"/>
                <w:color w:val="auto"/>
                <w:sz w:val="24"/>
                <w:szCs w:val="24"/>
                <w:highlight w:val="none"/>
                <w:lang w:val="en-US" w:eastAsia="zh-CN"/>
              </w:rPr>
              <w:t>。</w:t>
            </w:r>
          </w:p>
        </w:tc>
      </w:tr>
    </w:tbl>
    <w:p w14:paraId="422C37FA">
      <w:pPr>
        <w:tabs>
          <w:tab w:val="left" w:pos="360"/>
          <w:tab w:val="left" w:pos="900"/>
        </w:tabs>
        <w:snapToGrid w:val="0"/>
        <w:spacing w:line="360" w:lineRule="auto"/>
        <w:jc w:val="center"/>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四、评标标准</w:t>
      </w:r>
    </w:p>
    <w:tbl>
      <w:tblPr>
        <w:tblStyle w:val="29"/>
        <w:tblW w:w="10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235"/>
        <w:gridCol w:w="1270"/>
        <w:gridCol w:w="7941"/>
      </w:tblGrid>
      <w:tr w14:paraId="5786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12" w:type="dxa"/>
            <w:noWrap w:val="0"/>
            <w:vAlign w:val="center"/>
          </w:tcPr>
          <w:p w14:paraId="106D7B24">
            <w:pPr>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235" w:type="dxa"/>
            <w:noWrap w:val="0"/>
            <w:vAlign w:val="center"/>
          </w:tcPr>
          <w:p w14:paraId="7A9FF564">
            <w:pPr>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leftChars="0" w:right="0" w:firstLine="0" w:firstLine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评审项</w:t>
            </w:r>
          </w:p>
        </w:tc>
        <w:tc>
          <w:tcPr>
            <w:tcW w:w="1270" w:type="dxa"/>
            <w:noWrap w:val="0"/>
            <w:vAlign w:val="center"/>
          </w:tcPr>
          <w:p w14:paraId="33646834">
            <w:pPr>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7941" w:type="dxa"/>
            <w:noWrap w:val="0"/>
            <w:vAlign w:val="center"/>
          </w:tcPr>
          <w:p w14:paraId="25BBC321">
            <w:pPr>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评分标准</w:t>
            </w:r>
          </w:p>
        </w:tc>
      </w:tr>
      <w:tr w14:paraId="74E0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 w:type="dxa"/>
            <w:noWrap w:val="0"/>
            <w:vAlign w:val="center"/>
          </w:tcPr>
          <w:p w14:paraId="0F65094B">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w:t>
            </w:r>
          </w:p>
        </w:tc>
        <w:tc>
          <w:tcPr>
            <w:tcW w:w="1235" w:type="dxa"/>
            <w:noWrap w:val="0"/>
            <w:vAlign w:val="center"/>
          </w:tcPr>
          <w:p w14:paraId="018EBD79">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价格部分</w:t>
            </w:r>
            <w:r>
              <w:rPr>
                <w:rFonts w:hint="eastAsia" w:ascii="仿宋" w:hAnsi="仿宋" w:eastAsia="仿宋" w:cs="仿宋"/>
                <w:color w:val="auto"/>
                <w:kern w:val="0"/>
                <w:sz w:val="22"/>
                <w:szCs w:val="22"/>
                <w:highlight w:val="none"/>
                <w:lang w:val="en-US" w:eastAsia="zh-CN" w:bidi="ar"/>
              </w:rPr>
              <w:t>（10分）</w:t>
            </w:r>
          </w:p>
        </w:tc>
        <w:tc>
          <w:tcPr>
            <w:tcW w:w="1270" w:type="dxa"/>
            <w:noWrap w:val="0"/>
            <w:vAlign w:val="center"/>
          </w:tcPr>
          <w:p w14:paraId="014ECFF8">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投标报价（10分）</w:t>
            </w:r>
          </w:p>
        </w:tc>
        <w:tc>
          <w:tcPr>
            <w:tcW w:w="7941" w:type="dxa"/>
            <w:noWrap w:val="0"/>
            <w:vAlign w:val="center"/>
          </w:tcPr>
          <w:p w14:paraId="1153385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33" w:lineRule="auto"/>
              <w:ind w:left="0" w:right="0" w:firstLine="0" w:firstLineChars="0"/>
              <w:textAlignment w:val="auto"/>
              <w:rPr>
                <w:rFonts w:hint="eastAsia" w:ascii="仿宋" w:hAnsi="仿宋" w:eastAsia="仿宋" w:cs="仿宋"/>
                <w:i w:val="0"/>
                <w:iCs w:val="0"/>
                <w:color w:val="auto"/>
                <w:spacing w:val="-2"/>
                <w:kern w:val="2"/>
                <w:sz w:val="22"/>
                <w:szCs w:val="22"/>
                <w:highlight w:val="none"/>
                <w:lang w:val="en-US" w:eastAsia="zh-CN" w:bidi="ar-SA"/>
              </w:rPr>
            </w:pPr>
            <w:r>
              <w:rPr>
                <w:rFonts w:hint="eastAsia" w:ascii="仿宋" w:hAnsi="仿宋" w:eastAsia="仿宋" w:cs="仿宋"/>
                <w:i w:val="0"/>
                <w:iCs w:val="0"/>
                <w:color w:val="auto"/>
                <w:spacing w:val="-2"/>
                <w:kern w:val="2"/>
                <w:sz w:val="22"/>
                <w:szCs w:val="22"/>
                <w:highlight w:val="none"/>
                <w:lang w:val="en-US" w:eastAsia="zh-CN" w:bidi="ar-SA"/>
              </w:rPr>
              <w:t>满足招标文件要求且投标价格最低的投标报价为评标基准价，其价格分为满分，其他投标人的价格分统一按照下列公式计算：</w:t>
            </w:r>
          </w:p>
          <w:p w14:paraId="19E25438">
            <w:pPr>
              <w:keepNext w:val="0"/>
              <w:keepLines w:val="0"/>
              <w:pageBreakBefore w:val="0"/>
              <w:widowControl w:val="0"/>
              <w:kinsoku/>
              <w:wordWrap/>
              <w:overflowPunct/>
              <w:topLinePunct w:val="0"/>
              <w:autoSpaceDE/>
              <w:autoSpaceDN/>
              <w:bidi w:val="0"/>
              <w:adjustRightInd w:val="0"/>
              <w:snapToGrid w:val="0"/>
              <w:spacing w:before="31" w:line="233" w:lineRule="auto"/>
              <w:ind w:right="99" w:rightChars="0"/>
              <w:jc w:val="both"/>
              <w:textAlignment w:val="auto"/>
              <w:rPr>
                <w:rFonts w:hint="eastAsia" w:ascii="仿宋" w:hAnsi="仿宋" w:eastAsia="仿宋" w:cs="仿宋"/>
                <w:color w:val="auto"/>
                <w:spacing w:val="-4"/>
                <w:sz w:val="22"/>
                <w:szCs w:val="22"/>
                <w:highlight w:val="none"/>
              </w:rPr>
            </w:pPr>
            <w:r>
              <w:rPr>
                <w:rFonts w:hint="eastAsia" w:ascii="仿宋" w:hAnsi="仿宋" w:eastAsia="仿宋" w:cs="仿宋"/>
                <w:i w:val="0"/>
                <w:iCs w:val="0"/>
                <w:color w:val="auto"/>
                <w:spacing w:val="-2"/>
                <w:kern w:val="2"/>
                <w:sz w:val="22"/>
                <w:szCs w:val="22"/>
                <w:highlight w:val="none"/>
                <w:lang w:val="en-US" w:eastAsia="zh-CN" w:bidi="ar-SA"/>
              </w:rPr>
              <w:t>投标报价得分=(评标基准价/投标报价)×10</w:t>
            </w:r>
            <w:r>
              <w:rPr>
                <w:rFonts w:hint="eastAsia" w:ascii="仿宋" w:hAnsi="仿宋" w:eastAsia="仿宋" w:cs="仿宋"/>
                <w:color w:val="auto"/>
                <w:kern w:val="0"/>
                <w:sz w:val="22"/>
                <w:szCs w:val="22"/>
                <w:highlight w:val="none"/>
              </w:rPr>
              <w:t>，计算分数时四舍五入取小数点后两位</w:t>
            </w:r>
            <w:r>
              <w:rPr>
                <w:rFonts w:hint="eastAsia" w:ascii="仿宋" w:hAnsi="仿宋" w:eastAsia="仿宋" w:cs="仿宋"/>
                <w:color w:val="auto"/>
                <w:spacing w:val="-4"/>
                <w:sz w:val="22"/>
                <w:szCs w:val="22"/>
                <w:highlight w:val="none"/>
              </w:rPr>
              <w:t>。</w:t>
            </w:r>
          </w:p>
          <w:p w14:paraId="41519D0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33" w:lineRule="auto"/>
              <w:ind w:left="0" w:right="0" w:firstLine="0" w:firstLineChars="0"/>
              <w:textAlignment w:val="auto"/>
              <w:rPr>
                <w:rFonts w:hint="eastAsia" w:ascii="仿宋" w:hAnsi="仿宋" w:eastAsia="仿宋" w:cs="仿宋"/>
                <w:color w:val="auto"/>
                <w:sz w:val="22"/>
                <w:szCs w:val="22"/>
                <w:highlight w:val="none"/>
                <w:lang w:val="en-US"/>
              </w:rPr>
            </w:pPr>
            <w:r>
              <w:rPr>
                <w:rFonts w:hint="eastAsia" w:ascii="仿宋" w:hAnsi="仿宋" w:eastAsia="仿宋" w:cs="仿宋"/>
                <w:b/>
                <w:bCs/>
                <w:color w:val="auto"/>
                <w:spacing w:val="-4"/>
                <w:sz w:val="22"/>
                <w:szCs w:val="22"/>
                <w:highlight w:val="none"/>
                <w:lang w:val="en-US" w:eastAsia="zh-CN"/>
              </w:rPr>
              <w:t>注：</w:t>
            </w:r>
            <w:r>
              <w:rPr>
                <w:rFonts w:hint="eastAsia" w:ascii="仿宋" w:hAnsi="仿宋" w:eastAsia="仿宋" w:cs="仿宋"/>
                <w:color w:val="auto"/>
                <w:spacing w:val="-4"/>
                <w:sz w:val="22"/>
                <w:szCs w:val="22"/>
                <w:highlight w:val="none"/>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tc>
      </w:tr>
      <w:tr w14:paraId="4E9F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noWrap w:val="0"/>
            <w:vAlign w:val="center"/>
          </w:tcPr>
          <w:p w14:paraId="5CDE0E9B">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1235" w:type="dxa"/>
            <w:vMerge w:val="restart"/>
            <w:noWrap w:val="0"/>
            <w:vAlign w:val="center"/>
          </w:tcPr>
          <w:p w14:paraId="1852146B">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商务部分+</w:t>
            </w:r>
            <w:r>
              <w:rPr>
                <w:rFonts w:hint="eastAsia" w:ascii="仿宋" w:hAnsi="仿宋" w:eastAsia="仿宋" w:cs="仿宋"/>
                <w:color w:val="auto"/>
                <w:kern w:val="0"/>
                <w:sz w:val="22"/>
                <w:szCs w:val="22"/>
                <w:highlight w:val="none"/>
                <w:lang w:val="en-US" w:eastAsia="zh-CN" w:bidi="ar"/>
              </w:rPr>
              <w:t>技术部分（90分）</w:t>
            </w:r>
          </w:p>
        </w:tc>
        <w:tc>
          <w:tcPr>
            <w:tcW w:w="1270" w:type="dxa"/>
            <w:noWrap w:val="0"/>
            <w:vAlign w:val="center"/>
          </w:tcPr>
          <w:p w14:paraId="03249A2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类似业绩</w:t>
            </w:r>
          </w:p>
          <w:p w14:paraId="4BAD441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val="en-US" w:eastAsia="zh-CN" w:bidi="ar"/>
              </w:rPr>
              <w:t>（6分）</w:t>
            </w:r>
          </w:p>
          <w:p w14:paraId="67A9BE55">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center"/>
              <w:textAlignment w:val="auto"/>
              <w:rPr>
                <w:rFonts w:hint="eastAsia" w:ascii="仿宋" w:hAnsi="仿宋" w:eastAsia="仿宋" w:cs="仿宋"/>
                <w:color w:val="auto"/>
                <w:kern w:val="2"/>
                <w:sz w:val="22"/>
                <w:szCs w:val="22"/>
                <w:highlight w:val="none"/>
                <w:lang w:val="en-US" w:eastAsia="zh-CN" w:bidi="ar-SA"/>
              </w:rPr>
            </w:pPr>
          </w:p>
        </w:tc>
        <w:tc>
          <w:tcPr>
            <w:tcW w:w="7941" w:type="dxa"/>
            <w:noWrap w:val="0"/>
            <w:vAlign w:val="center"/>
          </w:tcPr>
          <w:p w14:paraId="0CB66A9A">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提供近三年（2023年03月—投标截止）完成的类似业绩，每提供 1 项含业主履约评价表且评价为优/良好的业绩得2分，满分6分。</w:t>
            </w:r>
          </w:p>
          <w:p w14:paraId="1584692D">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w:t>
            </w:r>
            <w:r>
              <w:rPr>
                <w:rFonts w:hint="eastAsia" w:ascii="仿宋" w:hAnsi="仿宋" w:eastAsia="仿宋" w:cs="仿宋"/>
                <w:b/>
                <w:bCs/>
                <w:color w:val="auto"/>
                <w:kern w:val="2"/>
                <w:sz w:val="22"/>
                <w:szCs w:val="22"/>
                <w:highlight w:val="none"/>
                <w:lang w:val="en-US" w:eastAsia="zh-CN" w:bidi="ar-SA"/>
              </w:rPr>
              <w:t>注：</w:t>
            </w:r>
            <w:r>
              <w:rPr>
                <w:rFonts w:hint="eastAsia" w:ascii="仿宋" w:hAnsi="仿宋" w:eastAsia="仿宋" w:cs="仿宋"/>
                <w:color w:val="auto"/>
                <w:kern w:val="2"/>
                <w:sz w:val="22"/>
                <w:szCs w:val="22"/>
                <w:highlight w:val="none"/>
                <w:lang w:val="en-US" w:eastAsia="zh-CN" w:bidi="ar-SA"/>
              </w:rPr>
              <w:t>须提供中标（成交）通知书+项目合同（首页、关键信息页、签章页）+业主履约评价表，材料不清晰/不齐全视为无效业绩，未提供不得分。）</w:t>
            </w:r>
          </w:p>
        </w:tc>
      </w:tr>
      <w:tr w14:paraId="4CC4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 w:type="dxa"/>
            <w:noWrap w:val="0"/>
            <w:vAlign w:val="center"/>
          </w:tcPr>
          <w:p w14:paraId="6C34ECA9">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p w14:paraId="4839EE22">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sz w:val="22"/>
                <w:szCs w:val="22"/>
                <w:highlight w:val="none"/>
                <w:lang w:val="en-US" w:eastAsia="zh-CN"/>
              </w:rPr>
            </w:pPr>
          </w:p>
        </w:tc>
        <w:tc>
          <w:tcPr>
            <w:tcW w:w="1235" w:type="dxa"/>
            <w:vMerge w:val="continue"/>
            <w:noWrap w:val="0"/>
            <w:vAlign w:val="center"/>
          </w:tcPr>
          <w:p w14:paraId="0104E26F">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sz w:val="22"/>
                <w:szCs w:val="22"/>
                <w:highlight w:val="none"/>
                <w:lang w:val="en-US" w:eastAsia="zh-CN"/>
              </w:rPr>
            </w:pPr>
          </w:p>
        </w:tc>
        <w:tc>
          <w:tcPr>
            <w:tcW w:w="1270" w:type="dxa"/>
            <w:noWrap w:val="0"/>
            <w:vAlign w:val="center"/>
          </w:tcPr>
          <w:p w14:paraId="7F444B79">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人员配置（32分）</w:t>
            </w:r>
          </w:p>
          <w:p w14:paraId="6F83403E">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p w14:paraId="58A85209">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7941" w:type="dxa"/>
            <w:noWrap w:val="0"/>
            <w:vAlign w:val="center"/>
          </w:tcPr>
          <w:p w14:paraId="72D9AC3B">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基本要求：安保人员不少于58人+项目负责人1人，提供的人员不足59人不参与本项评审。</w:t>
            </w:r>
          </w:p>
          <w:p w14:paraId="49831D34">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1、项目负责人资质（4分）：持保安员二级技师证及以上得4分；三级证得2分；无不得分。</w:t>
            </w:r>
          </w:p>
          <w:p w14:paraId="4038D95F">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2、国通语能力（6分）：全员提供村级/社区或其他具备合法资质的语言培训机构、人社部门等单位出具的国通语合格证明的得6分；85%及以上人员提供得3分；85%以下人员提供不得分。</w:t>
            </w:r>
          </w:p>
          <w:p w14:paraId="038699E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3、年龄（6分）：拟派驻保安员年龄均在45周岁以下得6分；45周岁及以上人员占比≤10%得3分；45周岁及以上人员占比＞10%不得分。</w:t>
            </w:r>
          </w:p>
          <w:p w14:paraId="7B05855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w:t>
            </w:r>
            <w:r>
              <w:rPr>
                <w:rFonts w:hint="eastAsia" w:ascii="仿宋" w:hAnsi="仿宋" w:eastAsia="仿宋" w:cs="仿宋"/>
                <w:b/>
                <w:bCs/>
                <w:color w:val="auto"/>
                <w:kern w:val="0"/>
                <w:sz w:val="22"/>
                <w:szCs w:val="22"/>
                <w:highlight w:val="none"/>
                <w:lang w:val="en-US" w:eastAsia="zh-CN" w:bidi="ar"/>
              </w:rPr>
              <w:t>注：</w:t>
            </w:r>
            <w:r>
              <w:rPr>
                <w:rFonts w:hint="eastAsia" w:ascii="仿宋" w:hAnsi="仿宋" w:eastAsia="仿宋" w:cs="仿宋"/>
                <w:color w:val="auto"/>
                <w:kern w:val="0"/>
                <w:sz w:val="22"/>
                <w:szCs w:val="22"/>
                <w:highlight w:val="none"/>
                <w:lang w:val="en-US" w:eastAsia="zh-CN" w:bidi="ar"/>
              </w:rPr>
              <w:t>须提供人员年龄统计表、承诺函格式自拟。）</w:t>
            </w:r>
          </w:p>
          <w:p w14:paraId="24EEBBC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4、性别比例（6分）：男性≥70%得6分；65%-70% 得3分；＜65%不得分。</w:t>
            </w:r>
          </w:p>
          <w:p w14:paraId="7FE591D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w:t>
            </w:r>
            <w:r>
              <w:rPr>
                <w:rFonts w:hint="eastAsia" w:ascii="仿宋" w:hAnsi="仿宋" w:eastAsia="仿宋" w:cs="仿宋"/>
                <w:b/>
                <w:bCs/>
                <w:color w:val="auto"/>
                <w:kern w:val="0"/>
                <w:sz w:val="22"/>
                <w:szCs w:val="22"/>
                <w:highlight w:val="none"/>
                <w:lang w:val="en-US" w:eastAsia="zh-CN" w:bidi="ar"/>
              </w:rPr>
              <w:t>注：</w:t>
            </w:r>
            <w:r>
              <w:rPr>
                <w:rFonts w:hint="eastAsia" w:ascii="仿宋" w:hAnsi="仿宋" w:eastAsia="仿宋" w:cs="仿宋"/>
                <w:color w:val="auto"/>
                <w:kern w:val="0"/>
                <w:sz w:val="22"/>
                <w:szCs w:val="22"/>
                <w:highlight w:val="none"/>
                <w:lang w:val="en-US" w:eastAsia="zh-CN" w:bidi="ar"/>
              </w:rPr>
              <w:t>须提供人员性别统计表、承诺函格式自拟。）</w:t>
            </w:r>
          </w:p>
          <w:p w14:paraId="6FE493F6">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5、特殊身份占比（10分）：①退伍军人占比≥30%得5分；20%≤占比＜30%得3分；10%≤占比＜20% 得1分；＜10% 不得分②消防员（持有效消防员证/退役消防员证明）占比≥10% 得5分；5%≤占比＜10% 得2分；＜5%不得分。          （</w:t>
            </w:r>
            <w:r>
              <w:rPr>
                <w:rFonts w:hint="eastAsia" w:ascii="仿宋" w:hAnsi="仿宋" w:eastAsia="仿宋" w:cs="仿宋"/>
                <w:b/>
                <w:bCs/>
                <w:color w:val="auto"/>
                <w:kern w:val="0"/>
                <w:sz w:val="22"/>
                <w:szCs w:val="22"/>
                <w:highlight w:val="none"/>
                <w:lang w:val="en-US" w:eastAsia="zh-CN" w:bidi="ar"/>
              </w:rPr>
              <w:t>注：</w:t>
            </w:r>
            <w:r>
              <w:rPr>
                <w:rFonts w:hint="eastAsia" w:ascii="仿宋" w:hAnsi="仿宋" w:eastAsia="仿宋" w:cs="仿宋"/>
                <w:color w:val="auto"/>
                <w:kern w:val="0"/>
                <w:sz w:val="22"/>
                <w:szCs w:val="22"/>
                <w:highlight w:val="none"/>
                <w:lang w:val="en-US" w:eastAsia="zh-CN" w:bidi="ar"/>
              </w:rPr>
              <w:t>提供特殊身份人员清单+证书/证明材料及所有人员近3个月任意 1个月社保缴纳凭证；依法无需缴纳社保的，提供劳动合同/返聘合同+工资发放流水。）</w:t>
            </w:r>
          </w:p>
          <w:p w14:paraId="373F47BA">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b/>
                <w:bCs/>
                <w:color w:val="auto"/>
                <w:kern w:val="0"/>
                <w:sz w:val="22"/>
                <w:szCs w:val="22"/>
                <w:highlight w:val="none"/>
                <w:lang w:val="en-US" w:eastAsia="zh-CN" w:bidi="ar"/>
              </w:rPr>
              <w:t>注：</w:t>
            </w:r>
            <w:r>
              <w:rPr>
                <w:rFonts w:hint="eastAsia" w:ascii="仿宋" w:hAnsi="仿宋" w:eastAsia="仿宋" w:cs="仿宋"/>
                <w:color w:val="auto"/>
                <w:kern w:val="0"/>
                <w:sz w:val="22"/>
                <w:szCs w:val="22"/>
                <w:highlight w:val="none"/>
                <w:lang w:val="en-US" w:eastAsia="zh-CN" w:bidi="ar"/>
              </w:rPr>
              <w:t>提供以上所有人员有效身份证、相应岗位证书及其在投标单位近3个月内（近三个月是指2026年01月-2026年03月）任意一个月的社保缴纳凭证（如依法无需缴纳社保的，提供劳动合同/返聘合同+工资发放流水），未提供的不得分；特殊身份人员须提供提供特殊身份人员清单+证书/证明材料及所有人员近3个月任意 1个月社保缴纳凭证；依法无需缴纳社保的，提供劳动合同/返聘合同+工资发放流水等证明材料作为评分依据，不提供不得分。</w:t>
            </w:r>
          </w:p>
        </w:tc>
      </w:tr>
      <w:tr w14:paraId="286F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 w:type="dxa"/>
            <w:noWrap w:val="0"/>
            <w:vAlign w:val="center"/>
          </w:tcPr>
          <w:p w14:paraId="3DA142DE">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w:t>
            </w:r>
          </w:p>
        </w:tc>
        <w:tc>
          <w:tcPr>
            <w:tcW w:w="1235" w:type="dxa"/>
            <w:vMerge w:val="continue"/>
            <w:noWrap w:val="0"/>
            <w:vAlign w:val="center"/>
          </w:tcPr>
          <w:p w14:paraId="0345DAA6">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sz w:val="22"/>
                <w:szCs w:val="22"/>
                <w:highlight w:val="none"/>
                <w:lang w:val="en-US" w:eastAsia="zh-CN"/>
              </w:rPr>
            </w:pPr>
          </w:p>
        </w:tc>
        <w:tc>
          <w:tcPr>
            <w:tcW w:w="1270" w:type="dxa"/>
            <w:noWrap w:val="0"/>
            <w:vAlign w:val="center"/>
          </w:tcPr>
          <w:p w14:paraId="48030BF7">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人员健康体检</w:t>
            </w:r>
          </w:p>
          <w:p w14:paraId="63CCAF37">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center"/>
              <w:textAlignment w:val="auto"/>
              <w:rPr>
                <w:rFonts w:hint="default"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（10分）</w:t>
            </w:r>
          </w:p>
        </w:tc>
        <w:tc>
          <w:tcPr>
            <w:tcW w:w="7941" w:type="dxa"/>
            <w:noWrap w:val="0"/>
            <w:vAlign w:val="center"/>
          </w:tcPr>
          <w:p w14:paraId="5720F654">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left"/>
              <w:textAlignment w:val="auto"/>
              <w:rPr>
                <w:rFonts w:hint="default" w:ascii="仿宋" w:hAnsi="仿宋" w:eastAsia="仿宋" w:cs="仿宋"/>
                <w:b w:val="0"/>
                <w:bCs w:val="0"/>
                <w:color w:val="auto"/>
                <w:kern w:val="0"/>
                <w:sz w:val="22"/>
                <w:szCs w:val="22"/>
                <w:highlight w:val="none"/>
                <w:lang w:val="en-US" w:eastAsia="zh-CN" w:bidi="ar"/>
              </w:rPr>
            </w:pPr>
            <w:r>
              <w:rPr>
                <w:rFonts w:hint="eastAsia" w:ascii="仿宋" w:hAnsi="仿宋" w:eastAsia="仿宋" w:cs="仿宋"/>
                <w:b w:val="0"/>
                <w:bCs w:val="0"/>
                <w:color w:val="auto"/>
                <w:kern w:val="0"/>
                <w:sz w:val="22"/>
                <w:szCs w:val="22"/>
                <w:highlight w:val="none"/>
                <w:lang w:val="en-US" w:eastAsia="zh-CN" w:bidi="ar"/>
              </w:rPr>
              <w:t>拟投入的安保人员体检占比达到100%的得10分，占比</w:t>
            </w:r>
            <w:r>
              <w:rPr>
                <w:rFonts w:hint="default" w:ascii="仿宋" w:hAnsi="仿宋" w:eastAsia="仿宋" w:cs="仿宋"/>
                <w:b w:val="0"/>
                <w:bCs w:val="0"/>
                <w:color w:val="auto"/>
                <w:kern w:val="0"/>
                <w:sz w:val="22"/>
                <w:szCs w:val="22"/>
                <w:highlight w:val="none"/>
                <w:lang w:val="en-US" w:eastAsia="zh-CN" w:bidi="ar"/>
              </w:rPr>
              <w:t>≥70%得6分；</w:t>
            </w:r>
            <w:r>
              <w:rPr>
                <w:rFonts w:hint="eastAsia" w:ascii="仿宋" w:hAnsi="仿宋" w:eastAsia="仿宋" w:cs="仿宋"/>
                <w:b w:val="0"/>
                <w:bCs w:val="0"/>
                <w:color w:val="auto"/>
                <w:kern w:val="0"/>
                <w:sz w:val="22"/>
                <w:szCs w:val="22"/>
                <w:highlight w:val="none"/>
                <w:lang w:val="en-US" w:eastAsia="zh-CN" w:bidi="ar"/>
              </w:rPr>
              <w:t>占比</w:t>
            </w:r>
            <w:r>
              <w:rPr>
                <w:rFonts w:hint="default" w:ascii="仿宋" w:hAnsi="仿宋" w:eastAsia="仿宋" w:cs="仿宋"/>
                <w:b w:val="0"/>
                <w:bCs w:val="0"/>
                <w:color w:val="auto"/>
                <w:kern w:val="0"/>
                <w:sz w:val="22"/>
                <w:szCs w:val="22"/>
                <w:highlight w:val="none"/>
                <w:lang w:val="en-US" w:eastAsia="zh-CN" w:bidi="ar"/>
              </w:rPr>
              <w:t>65%-70% 得3分；＜65%不得分。</w:t>
            </w:r>
            <w:r>
              <w:rPr>
                <w:rFonts w:hint="eastAsia" w:ascii="仿宋" w:hAnsi="仿宋" w:eastAsia="仿宋" w:cs="仿宋"/>
                <w:b w:val="0"/>
                <w:bCs w:val="0"/>
                <w:color w:val="auto"/>
                <w:kern w:val="0"/>
                <w:sz w:val="22"/>
                <w:szCs w:val="22"/>
                <w:highlight w:val="none"/>
                <w:lang w:val="en-US" w:eastAsia="zh-CN" w:bidi="ar"/>
              </w:rPr>
              <w:t>（注：须提供人员体检率统计表、体检报告）。</w:t>
            </w:r>
          </w:p>
          <w:p w14:paraId="7CA74AD0">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left"/>
              <w:textAlignment w:val="auto"/>
              <w:rPr>
                <w:rFonts w:hint="default" w:ascii="仿宋" w:hAnsi="仿宋" w:eastAsia="仿宋" w:cs="仿宋"/>
                <w:b w:val="0"/>
                <w:bCs w:val="0"/>
                <w:color w:val="auto"/>
                <w:kern w:val="0"/>
                <w:sz w:val="22"/>
                <w:szCs w:val="22"/>
                <w:highlight w:val="none"/>
                <w:lang w:val="en-US" w:eastAsia="zh-CN" w:bidi="ar"/>
              </w:rPr>
            </w:pPr>
            <w:r>
              <w:rPr>
                <w:rFonts w:hint="eastAsia" w:ascii="仿宋" w:hAnsi="仿宋" w:eastAsia="仿宋" w:cs="仿宋"/>
                <w:b w:val="0"/>
                <w:bCs w:val="0"/>
                <w:color w:val="auto"/>
                <w:kern w:val="0"/>
                <w:sz w:val="22"/>
                <w:szCs w:val="22"/>
                <w:highlight w:val="none"/>
                <w:lang w:val="en-US" w:eastAsia="zh-CN" w:bidi="ar"/>
              </w:rPr>
              <w:t>评审要求：体检报告须为近6个月内（指2025年9月—至今）由县级及以上正规医疗机构出具的合格体检报告，体检项目至少包含艾滋病病毒抗体检测、梅毒血清学检测、肺结核（胸部X光/痰检）筛查、心电图、血压等基础项目，体检报告须支持扫码查验真伪，造假或不合格者或提供不全的一律不予认可。</w:t>
            </w:r>
          </w:p>
        </w:tc>
      </w:tr>
      <w:tr w14:paraId="0FB9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 w:type="dxa"/>
            <w:noWrap w:val="0"/>
            <w:vAlign w:val="center"/>
          </w:tcPr>
          <w:p w14:paraId="0E243447">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235" w:type="dxa"/>
            <w:vMerge w:val="continue"/>
            <w:noWrap w:val="0"/>
            <w:vAlign w:val="center"/>
          </w:tcPr>
          <w:p w14:paraId="5E9E71C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p>
        </w:tc>
        <w:tc>
          <w:tcPr>
            <w:tcW w:w="1270" w:type="dxa"/>
            <w:noWrap w:val="0"/>
            <w:vAlign w:val="center"/>
          </w:tcPr>
          <w:p w14:paraId="55B1598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服务方案与安防落实（8分）</w:t>
            </w:r>
          </w:p>
        </w:tc>
        <w:tc>
          <w:tcPr>
            <w:tcW w:w="7941" w:type="dxa"/>
            <w:noWrap w:val="0"/>
            <w:vAlign w:val="center"/>
          </w:tcPr>
          <w:p w14:paraId="1AF4FF0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（1）地区安防落实（3分）【分级细化、点对点】</w:t>
            </w:r>
          </w:p>
          <w:p w14:paraId="1A1A950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3分：完全贴合和田地区安防政策与医院要求，专项方案完整，明确人防、物防、技防联动机制，有维稳预案、有责任到人、有台账制度。</w:t>
            </w:r>
          </w:p>
          <w:p w14:paraId="4D2A355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2分：基本落实地区安防要求，方案较完整，有基本措施但不够细化。</w:t>
            </w:r>
          </w:p>
          <w:p w14:paraId="3368CB6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1分：仅简单提及安防要求，无具体措施。</w:t>
            </w:r>
          </w:p>
          <w:p w14:paraId="70B559E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0分：未体现或不响应。</w:t>
            </w:r>
          </w:p>
          <w:p w14:paraId="446546C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b/>
                <w:bCs/>
                <w:color w:val="auto"/>
                <w:kern w:val="0"/>
                <w:sz w:val="22"/>
                <w:szCs w:val="22"/>
                <w:highlight w:val="none"/>
                <w:lang w:val="en-US" w:eastAsia="zh-CN" w:bidi="ar"/>
              </w:rPr>
              <w:t>注：</w:t>
            </w:r>
            <w:r>
              <w:rPr>
                <w:rFonts w:hint="eastAsia" w:ascii="仿宋" w:hAnsi="仿宋" w:eastAsia="仿宋" w:cs="仿宋"/>
                <w:color w:val="auto"/>
                <w:kern w:val="0"/>
                <w:sz w:val="22"/>
                <w:szCs w:val="22"/>
                <w:highlight w:val="none"/>
                <w:lang w:val="en-US" w:eastAsia="zh-CN" w:bidi="ar"/>
              </w:rPr>
              <w:t>需提供材料：《和田地区安防落实专项方案》。</w:t>
            </w:r>
          </w:p>
          <w:p w14:paraId="327042C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（2）服从医院管理（2 分）【分级细化、点对点】</w:t>
            </w:r>
          </w:p>
          <w:p w14:paraId="6D129A0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2 分：有完整管理制度，明确服从医院保卫科统一调度、指令执行、考勤考核、奖惩、离岗报备、换班审批、重大事项上报流程，承诺 100% 执行。</w:t>
            </w:r>
          </w:p>
          <w:p w14:paraId="7C69956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1 分：有基本服从承诺，制度不完善。</w:t>
            </w:r>
          </w:p>
          <w:p w14:paraId="3D6581D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0 分：无制度、无承诺。</w:t>
            </w:r>
          </w:p>
          <w:p w14:paraId="3A63A69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b/>
                <w:bCs/>
                <w:color w:val="auto"/>
                <w:kern w:val="0"/>
                <w:sz w:val="22"/>
                <w:szCs w:val="22"/>
                <w:highlight w:val="none"/>
                <w:lang w:val="en-US" w:eastAsia="zh-CN" w:bidi="ar"/>
              </w:rPr>
              <w:t>注：</w:t>
            </w:r>
            <w:r>
              <w:rPr>
                <w:rFonts w:hint="eastAsia" w:ascii="仿宋" w:hAnsi="仿宋" w:eastAsia="仿宋" w:cs="仿宋"/>
                <w:color w:val="auto"/>
                <w:kern w:val="0"/>
                <w:sz w:val="22"/>
                <w:szCs w:val="22"/>
                <w:highlight w:val="none"/>
                <w:lang w:val="en-US" w:eastAsia="zh-CN" w:bidi="ar"/>
              </w:rPr>
              <w:t>需提供材料：《服从医院管理承诺书》、《安保人员管理制度》。</w:t>
            </w:r>
          </w:p>
          <w:p w14:paraId="46CC573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（3）装备配置齐全（3分）【分级细化、点对点】</w:t>
            </w:r>
          </w:p>
          <w:p w14:paraId="13FE304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3 分：按医院要求配齐全部装备，提供详细清单，明确数量、型号、维护、巡检、更换制度。</w:t>
            </w:r>
          </w:p>
          <w:p w14:paraId="24CABB8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2 分：装备基本齐全，清单不完整或无管理制度。</w:t>
            </w:r>
          </w:p>
          <w:p w14:paraId="6BB5FE4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0 分：缺项较多或无清单。</w:t>
            </w:r>
          </w:p>
          <w:p w14:paraId="1AD190D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b/>
                <w:bCs/>
                <w:color w:val="auto"/>
                <w:kern w:val="0"/>
                <w:sz w:val="22"/>
                <w:szCs w:val="22"/>
                <w:highlight w:val="none"/>
                <w:lang w:val="en-US" w:eastAsia="zh-CN" w:bidi="ar"/>
              </w:rPr>
              <w:t>注：</w:t>
            </w:r>
            <w:r>
              <w:rPr>
                <w:rFonts w:hint="eastAsia" w:ascii="仿宋" w:hAnsi="仿宋" w:eastAsia="仿宋" w:cs="仿宋"/>
                <w:color w:val="auto"/>
                <w:kern w:val="0"/>
                <w:sz w:val="22"/>
                <w:szCs w:val="22"/>
                <w:highlight w:val="none"/>
                <w:lang w:val="en-US" w:eastAsia="zh-CN" w:bidi="ar"/>
              </w:rPr>
              <w:t>需提供材料：《安保装备配置清单》、《装备巡检维护制度》。</w:t>
            </w:r>
          </w:p>
        </w:tc>
      </w:tr>
      <w:tr w14:paraId="4C7F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 w:type="dxa"/>
            <w:noWrap w:val="0"/>
            <w:vAlign w:val="center"/>
          </w:tcPr>
          <w:p w14:paraId="70220BD2">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235" w:type="dxa"/>
            <w:vMerge w:val="continue"/>
            <w:noWrap w:val="0"/>
            <w:vAlign w:val="center"/>
          </w:tcPr>
          <w:p w14:paraId="3CF18E6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p>
        </w:tc>
        <w:tc>
          <w:tcPr>
            <w:tcW w:w="1270" w:type="dxa"/>
            <w:noWrap w:val="0"/>
            <w:vAlign w:val="center"/>
          </w:tcPr>
          <w:p w14:paraId="68B17D8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应急处置方案</w:t>
            </w:r>
          </w:p>
          <w:p w14:paraId="38CE05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（14分）</w:t>
            </w:r>
          </w:p>
        </w:tc>
        <w:tc>
          <w:tcPr>
            <w:tcW w:w="7941" w:type="dxa"/>
            <w:noWrap w:val="0"/>
            <w:vAlign w:val="center"/>
          </w:tcPr>
          <w:p w14:paraId="75906E9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（1）基础完整性评分（8分）</w:t>
            </w:r>
          </w:p>
          <w:p w14:paraId="043DEAF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1.治安防控类预案:包含火灾盗窃、寻衅滋事、打架斗殴、暴力伤医等事件处置流程（2分）</w:t>
            </w:r>
          </w:p>
          <w:p w14:paraId="3B5771E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2.医疗纠纷类预案:专门针对医患纠纷、家属聚集、冲击医疗区域等情况的现场管控与报告流程（2分）</w:t>
            </w:r>
          </w:p>
          <w:p w14:paraId="26A1BC4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3.公共卫生与自然灾害类预案:包含突发传染病防控配合、停电停水、地震等自然灾害应急措施（2分）</w:t>
            </w:r>
          </w:p>
          <w:p w14:paraId="64AC7A5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4.重大活动保障预案:包含重要检查、上级视察、大型活动期间的安保加强方案;（2分）</w:t>
            </w:r>
          </w:p>
          <w:p w14:paraId="2A3D334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b/>
                <w:bCs/>
                <w:color w:val="auto"/>
                <w:kern w:val="0"/>
                <w:sz w:val="22"/>
                <w:szCs w:val="22"/>
                <w:highlight w:val="none"/>
                <w:lang w:val="en-US" w:eastAsia="zh-CN" w:bidi="ar"/>
              </w:rPr>
            </w:pPr>
            <w:r>
              <w:rPr>
                <w:rFonts w:hint="eastAsia" w:ascii="仿宋" w:hAnsi="仿宋" w:eastAsia="仿宋" w:cs="仿宋"/>
                <w:b/>
                <w:bCs/>
                <w:color w:val="auto"/>
                <w:kern w:val="0"/>
                <w:sz w:val="22"/>
                <w:szCs w:val="22"/>
                <w:highlight w:val="none"/>
                <w:lang w:val="en-US" w:eastAsia="zh-CN" w:bidi="ar"/>
              </w:rPr>
              <w:t>注：每提供一项得相应分值，每缺少一项扣减对应分值，扣完为止。</w:t>
            </w:r>
          </w:p>
          <w:p w14:paraId="47476FF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（2）医院场景针对性（6分）</w:t>
            </w:r>
          </w:p>
          <w:p w14:paraId="25E816F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在基础方案之上，针对医院特点进行深化设计的可额外加分：</w:t>
            </w:r>
          </w:p>
          <w:p w14:paraId="5D058D2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重点区域差异化处置：方案针对手术室、ICU、急诊科、儿科、传染病区、药房、财务室等关键区域制定了不同的安保响应措施（2分）</w:t>
            </w:r>
          </w:p>
          <w:p w14:paraId="53D6629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医患纠纷"黄金3分钟"响应：明确发生医患冲突时，安保人员"3分钟内形成灭火力量"的具体调度流程（2分）</w:t>
            </w:r>
          </w:p>
          <w:p w14:paraId="1BF2955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结合和田地区实际要求，制定防车辆冲撞的具体应对方案，明确人员隐蔽、报警、先期处置流程（2分）</w:t>
            </w:r>
          </w:p>
          <w:p w14:paraId="2CF035E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b/>
                <w:bCs/>
                <w:color w:val="auto"/>
                <w:kern w:val="0"/>
                <w:sz w:val="22"/>
                <w:szCs w:val="22"/>
                <w:highlight w:val="none"/>
                <w:lang w:val="en-US" w:eastAsia="zh-CN" w:bidi="ar"/>
              </w:rPr>
              <w:t>注：每提供一项得相应分值，每缺少一项扣减对应分值，扣完为止。</w:t>
            </w:r>
          </w:p>
        </w:tc>
      </w:tr>
      <w:tr w14:paraId="35FF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512" w:type="dxa"/>
            <w:noWrap w:val="0"/>
            <w:vAlign w:val="center"/>
          </w:tcPr>
          <w:p w14:paraId="180B559A">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235" w:type="dxa"/>
            <w:vMerge w:val="continue"/>
            <w:noWrap w:val="0"/>
            <w:vAlign w:val="center"/>
          </w:tcPr>
          <w:p w14:paraId="7CEDD2E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p>
        </w:tc>
        <w:tc>
          <w:tcPr>
            <w:tcW w:w="1270" w:type="dxa"/>
            <w:noWrap w:val="0"/>
            <w:vAlign w:val="center"/>
          </w:tcPr>
          <w:p w14:paraId="709194C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现场管理与培训体系（6分）</w:t>
            </w:r>
          </w:p>
          <w:p w14:paraId="68E961D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0"/>
                <w:sz w:val="22"/>
                <w:szCs w:val="22"/>
                <w:highlight w:val="none"/>
                <w:lang w:val="en-US" w:eastAsia="zh-CN" w:bidi="ar"/>
              </w:rPr>
            </w:pPr>
          </w:p>
        </w:tc>
        <w:tc>
          <w:tcPr>
            <w:tcW w:w="7941" w:type="dxa"/>
            <w:noWrap w:val="0"/>
            <w:vAlign w:val="center"/>
          </w:tcPr>
          <w:p w14:paraId="47D858A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（1）日常巡查制度（3分）</w:t>
            </w:r>
          </w:p>
          <w:p w14:paraId="56D64FE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3分：建立24 小时三班巡查，明确门诊、急诊、住院部、药房、财务室、出入口、停车场、重点科室等巡查点位、频次、路线、台账、签到、异常处置、闭环整改。</w:t>
            </w:r>
          </w:p>
          <w:p w14:paraId="4AD3E7B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2分：巡查制度较完整，点位/频次有少量缺失。</w:t>
            </w:r>
          </w:p>
          <w:p w14:paraId="3E691C5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1分：有巡查安排但无台账、无闭环。</w:t>
            </w:r>
          </w:p>
          <w:p w14:paraId="7C3E872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0 分：无制度。</w:t>
            </w:r>
          </w:p>
          <w:p w14:paraId="1F8B6C1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b/>
                <w:bCs/>
                <w:color w:val="auto"/>
                <w:kern w:val="0"/>
                <w:sz w:val="22"/>
                <w:szCs w:val="22"/>
                <w:highlight w:val="none"/>
                <w:lang w:val="en-US" w:eastAsia="zh-CN" w:bidi="ar"/>
              </w:rPr>
              <w:t>注：</w:t>
            </w:r>
            <w:r>
              <w:rPr>
                <w:rFonts w:hint="eastAsia" w:ascii="仿宋" w:hAnsi="仿宋" w:eastAsia="仿宋" w:cs="仿宋"/>
                <w:color w:val="auto"/>
                <w:kern w:val="0"/>
                <w:sz w:val="22"/>
                <w:szCs w:val="22"/>
                <w:highlight w:val="none"/>
                <w:lang w:val="en-US" w:eastAsia="zh-CN" w:bidi="ar"/>
              </w:rPr>
              <w:t>需提供材料：《日常安保巡查方案》、《巡查点位表》、《巡查台账模板》。</w:t>
            </w:r>
          </w:p>
          <w:p w14:paraId="1F2A630C">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（2）岗前在岗培训（3分）</w:t>
            </w:r>
          </w:p>
          <w:p w14:paraId="6D31B27C">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33" w:lineRule="auto"/>
              <w:ind w:left="0" w:leftChars="0" w:right="0" w:rightChars="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3分：培训体系完整，包含国通语强化、安防政策、岗位职责、应急处置、消防技能、装备使用、礼仪规范、医院流程、保密要求、季度复训，有培训计划、考核、签到、归档。</w:t>
            </w:r>
          </w:p>
          <w:p w14:paraId="6BF52A4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2分：培训内容较全，缺少考核或归档。</w:t>
            </w:r>
          </w:p>
          <w:p w14:paraId="0868BD3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1分：仅有简单培训计划。</w:t>
            </w:r>
          </w:p>
          <w:p w14:paraId="35FB4A4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0 分：无培训方案。</w:t>
            </w:r>
          </w:p>
          <w:p w14:paraId="5CE597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b/>
                <w:bCs/>
                <w:color w:val="auto"/>
                <w:kern w:val="0"/>
                <w:sz w:val="22"/>
                <w:szCs w:val="22"/>
                <w:highlight w:val="none"/>
                <w:lang w:val="en-US" w:eastAsia="zh-CN" w:bidi="ar"/>
              </w:rPr>
              <w:t>注：</w:t>
            </w:r>
            <w:r>
              <w:rPr>
                <w:rFonts w:hint="eastAsia" w:ascii="仿宋" w:hAnsi="仿宋" w:eastAsia="仿宋" w:cs="仿宋"/>
                <w:color w:val="auto"/>
                <w:kern w:val="0"/>
                <w:sz w:val="22"/>
                <w:szCs w:val="22"/>
                <w:highlight w:val="none"/>
                <w:lang w:val="en-US" w:eastAsia="zh-CN" w:bidi="ar"/>
              </w:rPr>
              <w:t>需提供材料：《岗前及在岗培训计划》、《培训考核制度》。</w:t>
            </w:r>
          </w:p>
        </w:tc>
      </w:tr>
      <w:tr w14:paraId="1F92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 w:type="dxa"/>
            <w:noWrap w:val="0"/>
            <w:vAlign w:val="center"/>
          </w:tcPr>
          <w:p w14:paraId="7A2356D4">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235" w:type="dxa"/>
            <w:vMerge w:val="continue"/>
            <w:noWrap w:val="0"/>
            <w:vAlign w:val="center"/>
          </w:tcPr>
          <w:p w14:paraId="171DEA98">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p>
        </w:tc>
        <w:tc>
          <w:tcPr>
            <w:tcW w:w="1270" w:type="dxa"/>
            <w:noWrap w:val="0"/>
            <w:vAlign w:val="center"/>
          </w:tcPr>
          <w:p w14:paraId="543E6DF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工资发放</w:t>
            </w:r>
          </w:p>
          <w:p w14:paraId="202A8E1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保障方案</w:t>
            </w:r>
          </w:p>
          <w:p w14:paraId="00C2668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（4分）</w:t>
            </w:r>
          </w:p>
        </w:tc>
        <w:tc>
          <w:tcPr>
            <w:tcW w:w="7941" w:type="dxa"/>
            <w:noWrap w:val="0"/>
            <w:vAlign w:val="center"/>
          </w:tcPr>
          <w:p w14:paraId="6CE10FD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4 分：方案完整，明确按月足额发放、不拖欠、不克扣，有银行代发、工资台账、公示、投诉处理、违约赔偿，并承诺逾期赔付。</w:t>
            </w:r>
          </w:p>
          <w:p w14:paraId="2764D14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2分：有保障措施，无台账或赔付承诺。</w:t>
            </w:r>
          </w:p>
          <w:p w14:paraId="62A2EB7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0 分：无方案。</w:t>
            </w:r>
          </w:p>
          <w:p w14:paraId="2B6E841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b/>
                <w:bCs/>
                <w:color w:val="auto"/>
                <w:kern w:val="0"/>
                <w:sz w:val="22"/>
                <w:szCs w:val="22"/>
                <w:highlight w:val="none"/>
                <w:lang w:val="en-US" w:eastAsia="zh-CN" w:bidi="ar"/>
              </w:rPr>
              <w:t>注：</w:t>
            </w:r>
            <w:r>
              <w:rPr>
                <w:rFonts w:hint="eastAsia" w:ascii="仿宋" w:hAnsi="仿宋" w:eastAsia="仿宋" w:cs="仿宋"/>
                <w:color w:val="auto"/>
                <w:kern w:val="0"/>
                <w:sz w:val="22"/>
                <w:szCs w:val="22"/>
                <w:highlight w:val="none"/>
                <w:lang w:val="en-US" w:eastAsia="zh-CN" w:bidi="ar"/>
              </w:rPr>
              <w:t>需提供材料：《工资发放保障方案》、《工资支付承诺书》。</w:t>
            </w:r>
          </w:p>
        </w:tc>
      </w:tr>
      <w:tr w14:paraId="7BBB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 w:type="dxa"/>
            <w:noWrap w:val="0"/>
            <w:vAlign w:val="center"/>
          </w:tcPr>
          <w:p w14:paraId="737BD8CD">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235" w:type="dxa"/>
            <w:vMerge w:val="continue"/>
            <w:noWrap w:val="0"/>
            <w:vAlign w:val="center"/>
          </w:tcPr>
          <w:p w14:paraId="32B884EC">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270" w:type="dxa"/>
            <w:noWrap w:val="0"/>
            <w:vAlign w:val="center"/>
          </w:tcPr>
          <w:p w14:paraId="7A2D784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月度考核方案（6分）</w:t>
            </w:r>
          </w:p>
          <w:p w14:paraId="5851A31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0"/>
                <w:sz w:val="22"/>
                <w:szCs w:val="22"/>
                <w:highlight w:val="none"/>
                <w:lang w:val="en-US" w:eastAsia="zh-CN" w:bidi="ar"/>
              </w:rPr>
            </w:pPr>
          </w:p>
        </w:tc>
        <w:tc>
          <w:tcPr>
            <w:tcW w:w="7941" w:type="dxa"/>
            <w:noWrap w:val="0"/>
            <w:vAlign w:val="center"/>
          </w:tcPr>
          <w:p w14:paraId="67D12DF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根据投标人提供的各项制度，包括但不限于：</w:t>
            </w:r>
          </w:p>
          <w:p w14:paraId="33569C2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考核体系架构：方案包含日常巡查、周小结、月考核的完整层级，形成闭环管理（2分）</w:t>
            </w:r>
          </w:p>
          <w:p w14:paraId="1DC0063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考核主体明确：明确采购人（医院）为考核主体，接受医院保卫科日常监督与随机抽查（2分）</w:t>
            </w:r>
          </w:p>
          <w:p w14:paraId="1DF503A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考核流程清晰：明确月度考核的时间节点（如次月5日前完成统计）、数据来源、确认程序（2分）</w:t>
            </w:r>
          </w:p>
          <w:p w14:paraId="53270E2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b/>
                <w:bCs/>
                <w:color w:val="auto"/>
                <w:kern w:val="0"/>
                <w:sz w:val="22"/>
                <w:szCs w:val="22"/>
                <w:highlight w:val="none"/>
                <w:lang w:val="en-US" w:eastAsia="zh-CN" w:bidi="ar"/>
              </w:rPr>
              <w:t>注：</w:t>
            </w:r>
            <w:r>
              <w:rPr>
                <w:rFonts w:hint="eastAsia" w:ascii="仿宋" w:hAnsi="仿宋" w:eastAsia="仿宋" w:cs="仿宋"/>
                <w:color w:val="auto"/>
                <w:kern w:val="0"/>
                <w:sz w:val="22"/>
                <w:szCs w:val="22"/>
                <w:highlight w:val="none"/>
                <w:lang w:val="en-US" w:eastAsia="zh-CN" w:bidi="ar"/>
              </w:rPr>
              <w:t>需提供材料：《月度考核方案》。</w:t>
            </w:r>
          </w:p>
        </w:tc>
      </w:tr>
      <w:tr w14:paraId="1EB5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 w:type="dxa"/>
            <w:noWrap w:val="0"/>
            <w:vAlign w:val="center"/>
          </w:tcPr>
          <w:p w14:paraId="05FD2F3B">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w:t>
            </w:r>
          </w:p>
        </w:tc>
        <w:tc>
          <w:tcPr>
            <w:tcW w:w="1235" w:type="dxa"/>
            <w:vMerge w:val="continue"/>
            <w:noWrap w:val="0"/>
            <w:vAlign w:val="center"/>
          </w:tcPr>
          <w:p w14:paraId="5DD69E98">
            <w:pPr>
              <w:keepNext w:val="0"/>
              <w:keepLines w:val="0"/>
              <w:pageBreakBefore w:val="0"/>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270" w:type="dxa"/>
            <w:noWrap w:val="0"/>
            <w:vAlign w:val="center"/>
          </w:tcPr>
          <w:p w14:paraId="4388657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管理制度方案（4分）</w:t>
            </w:r>
          </w:p>
          <w:p w14:paraId="0B7AF39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center"/>
              <w:textAlignment w:val="auto"/>
              <w:rPr>
                <w:rFonts w:hint="eastAsia" w:ascii="仿宋" w:hAnsi="仿宋" w:eastAsia="仿宋" w:cs="仿宋"/>
                <w:color w:val="auto"/>
                <w:kern w:val="0"/>
                <w:sz w:val="22"/>
                <w:szCs w:val="22"/>
                <w:highlight w:val="none"/>
                <w:lang w:val="en-US" w:eastAsia="zh-CN" w:bidi="ar"/>
              </w:rPr>
            </w:pPr>
          </w:p>
        </w:tc>
        <w:tc>
          <w:tcPr>
            <w:tcW w:w="7941" w:type="dxa"/>
            <w:noWrap w:val="0"/>
            <w:vAlign w:val="center"/>
          </w:tcPr>
          <w:p w14:paraId="0AD316B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b w:val="0"/>
                <w:bCs w:val="0"/>
                <w:color w:val="auto"/>
                <w:kern w:val="0"/>
                <w:sz w:val="22"/>
                <w:szCs w:val="22"/>
                <w:highlight w:val="none"/>
                <w:lang w:val="en-US" w:eastAsia="zh-CN" w:bidi="ar"/>
              </w:rPr>
            </w:pPr>
            <w:r>
              <w:rPr>
                <w:rFonts w:hint="eastAsia" w:ascii="仿宋" w:hAnsi="仿宋" w:eastAsia="仿宋" w:cs="仿宋"/>
                <w:b w:val="0"/>
                <w:bCs w:val="0"/>
                <w:color w:val="auto"/>
                <w:kern w:val="0"/>
                <w:sz w:val="22"/>
                <w:szCs w:val="22"/>
                <w:highlight w:val="none"/>
                <w:lang w:val="en-US" w:eastAsia="zh-CN" w:bidi="ar"/>
              </w:rPr>
              <w:t>投标人针对本项目制定的各类管理制度方案，内容包含但不限于：</w:t>
            </w:r>
          </w:p>
          <w:p w14:paraId="14CA62F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b w:val="0"/>
                <w:bCs w:val="0"/>
                <w:color w:val="auto"/>
                <w:kern w:val="0"/>
                <w:sz w:val="22"/>
                <w:szCs w:val="22"/>
                <w:highlight w:val="none"/>
                <w:lang w:val="en-US" w:eastAsia="zh-CN" w:bidi="ar"/>
              </w:rPr>
            </w:pPr>
            <w:r>
              <w:rPr>
                <w:rFonts w:hint="eastAsia" w:ascii="仿宋" w:hAnsi="仿宋" w:eastAsia="仿宋" w:cs="仿宋"/>
                <w:b w:val="0"/>
                <w:bCs w:val="0"/>
                <w:color w:val="auto"/>
                <w:kern w:val="0"/>
                <w:sz w:val="22"/>
                <w:szCs w:val="22"/>
                <w:highlight w:val="none"/>
                <w:lang w:val="en-US" w:eastAsia="zh-CN" w:bidi="ar"/>
              </w:rPr>
              <w:t xml:space="preserve">①人员离职处理、空缺岗位填补、增减岗位程序；②安全防范、环境卫生工作管理制度；③首问责任制制度、投诉处理制度；④各类安保器材、装备、服装及冬季大衣和护具等用品管理制度。 </w:t>
            </w:r>
          </w:p>
          <w:p w14:paraId="00C723A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b w:val="0"/>
                <w:bCs w:val="0"/>
                <w:color w:val="auto"/>
                <w:kern w:val="0"/>
                <w:sz w:val="22"/>
                <w:szCs w:val="22"/>
                <w:highlight w:val="none"/>
                <w:lang w:val="en-US" w:eastAsia="zh-CN" w:bidi="ar"/>
              </w:rPr>
            </w:pPr>
            <w:r>
              <w:rPr>
                <w:rFonts w:hint="eastAsia" w:ascii="仿宋" w:hAnsi="仿宋" w:eastAsia="仿宋" w:cs="仿宋"/>
                <w:b w:val="0"/>
                <w:bCs w:val="0"/>
                <w:color w:val="auto"/>
                <w:kern w:val="0"/>
                <w:sz w:val="22"/>
                <w:szCs w:val="22"/>
                <w:highlight w:val="none"/>
                <w:lang w:val="en-US" w:eastAsia="zh-CN" w:bidi="ar"/>
              </w:rPr>
              <w:t xml:space="preserve">评审标准：专家根据所有投标人提供的方案内容进行综合评定，横向比较，  </w:t>
            </w:r>
          </w:p>
          <w:p w14:paraId="5B8A151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b w:val="0"/>
                <w:bCs w:val="0"/>
                <w:color w:val="auto"/>
                <w:kern w:val="0"/>
                <w:sz w:val="22"/>
                <w:szCs w:val="22"/>
                <w:highlight w:val="none"/>
                <w:lang w:val="en-US" w:eastAsia="zh-CN" w:bidi="ar"/>
              </w:rPr>
            </w:pPr>
            <w:r>
              <w:rPr>
                <w:rFonts w:hint="eastAsia" w:ascii="仿宋" w:hAnsi="仿宋" w:eastAsia="仿宋" w:cs="仿宋"/>
                <w:b w:val="0"/>
                <w:bCs w:val="0"/>
                <w:color w:val="auto"/>
                <w:kern w:val="0"/>
                <w:sz w:val="22"/>
                <w:szCs w:val="22"/>
                <w:highlight w:val="none"/>
                <w:lang w:val="en-US" w:eastAsia="zh-CN" w:bidi="ar"/>
              </w:rPr>
              <w:t>每提供一项得1分，每缺少一项扣减对应分值，提供的方案中每有一处具有缺陷的扣0.5分，扣完为止。</w:t>
            </w:r>
          </w:p>
          <w:p w14:paraId="73A3F6F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33" w:lineRule="auto"/>
              <w:ind w:left="0" w:leftChars="0" w:right="0" w:firstLine="0" w:firstLineChars="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b w:val="0"/>
                <w:bCs w:val="0"/>
                <w:color w:val="auto"/>
                <w:kern w:val="0"/>
                <w:sz w:val="22"/>
                <w:szCs w:val="22"/>
                <w:highlight w:val="none"/>
                <w:lang w:val="en-US" w:eastAsia="zh-CN" w:bidi="ar"/>
              </w:rPr>
              <w:t>（缺陷是指：存在不适用项目实际情况的情形、凭空编造、方案中内容前后不一致、前后逻辑错误、涉及的规范及标准错误、地点区域错误、实操中难以执行、内容缺失、不符合项目实际情况等。）</w:t>
            </w:r>
          </w:p>
        </w:tc>
      </w:tr>
      <w:tr w14:paraId="7250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017" w:type="dxa"/>
            <w:gridSpan w:val="3"/>
            <w:shd w:val="clear" w:color="auto" w:fill="auto"/>
            <w:noWrap w:val="0"/>
            <w:vAlign w:val="center"/>
          </w:tcPr>
          <w:p w14:paraId="5ACE0DC3">
            <w:pPr>
              <w:keepNext w:val="0"/>
              <w:keepLines w:val="0"/>
              <w:pageBreakBefore w:val="0"/>
              <w:kinsoku/>
              <w:wordWrap/>
              <w:overflowPunct/>
              <w:topLinePunct w:val="0"/>
              <w:bidi w:val="0"/>
              <w:adjustRightInd w:val="0"/>
              <w:snapToGrid w:val="0"/>
              <w:spacing w:before="71" w:line="233" w:lineRule="auto"/>
              <w:jc w:val="center"/>
              <w:textAlignment w:val="auto"/>
              <w:rPr>
                <w:rFonts w:hint="eastAsia" w:ascii="仿宋" w:hAnsi="仿宋" w:eastAsia="仿宋" w:cs="仿宋"/>
                <w:color w:val="auto"/>
                <w:spacing w:val="-9"/>
                <w:kern w:val="2"/>
                <w:sz w:val="24"/>
                <w:szCs w:val="24"/>
                <w:highlight w:val="none"/>
                <w:lang w:val="en-US" w:eastAsia="zh-CN" w:bidi="ar-SA"/>
              </w:rPr>
            </w:pPr>
            <w:r>
              <w:rPr>
                <w:rFonts w:hint="eastAsia" w:ascii="仿宋" w:hAnsi="仿宋" w:eastAsia="仿宋" w:cs="仿宋"/>
                <w:color w:val="auto"/>
                <w:spacing w:val="-9"/>
                <w:sz w:val="24"/>
                <w:szCs w:val="24"/>
                <w:highlight w:val="none"/>
                <w:lang w:val="en-US" w:eastAsia="zh-CN"/>
              </w:rPr>
              <w:t>合计得分</w:t>
            </w:r>
          </w:p>
        </w:tc>
        <w:tc>
          <w:tcPr>
            <w:tcW w:w="7941" w:type="dxa"/>
            <w:shd w:val="clear" w:color="auto" w:fill="auto"/>
            <w:noWrap w:val="0"/>
            <w:vAlign w:val="center"/>
          </w:tcPr>
          <w:p w14:paraId="7DEB470D">
            <w:pPr>
              <w:keepNext w:val="0"/>
              <w:keepLines w:val="0"/>
              <w:pageBreakBefore w:val="0"/>
              <w:widowControl w:val="0"/>
              <w:kinsoku/>
              <w:wordWrap/>
              <w:overflowPunct/>
              <w:topLinePunct w:val="0"/>
              <w:autoSpaceDE/>
              <w:autoSpaceDN/>
              <w:bidi w:val="0"/>
              <w:adjustRightInd w:val="0"/>
              <w:snapToGrid w:val="0"/>
              <w:spacing w:line="233" w:lineRule="auto"/>
              <w:ind w:left="105" w:leftChars="0" w:hanging="105"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100分</w:t>
            </w:r>
          </w:p>
        </w:tc>
      </w:tr>
      <w:tr w14:paraId="3437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958" w:type="dxa"/>
            <w:gridSpan w:val="4"/>
            <w:shd w:val="clear" w:color="auto" w:fill="auto"/>
            <w:noWrap w:val="0"/>
            <w:vAlign w:val="center"/>
          </w:tcPr>
          <w:p w14:paraId="1B9F4C47">
            <w:pPr>
              <w:keepNext w:val="0"/>
              <w:keepLines w:val="0"/>
              <w:pageBreakBefore w:val="0"/>
              <w:widowControl w:val="0"/>
              <w:kinsoku/>
              <w:wordWrap/>
              <w:overflowPunct/>
              <w:topLinePunct w:val="0"/>
              <w:autoSpaceDE/>
              <w:autoSpaceDN/>
              <w:bidi w:val="0"/>
              <w:adjustRightInd w:val="0"/>
              <w:snapToGrid w:val="0"/>
              <w:spacing w:line="233" w:lineRule="auto"/>
              <w:ind w:left="105" w:leftChars="0" w:hanging="105"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8"/>
                <w:szCs w:val="28"/>
                <w:highlight w:val="none"/>
                <w:lang w:val="en-US" w:eastAsia="zh-CN"/>
              </w:rPr>
              <w:t>注：评标标准中要求的配置清单、服务方案、承诺书等格式自拟，未提供不得分！</w:t>
            </w:r>
          </w:p>
        </w:tc>
      </w:tr>
    </w:tbl>
    <w:p w14:paraId="6D481292">
      <w:pPr>
        <w:keepNext w:val="0"/>
        <w:keepLines w:val="0"/>
        <w:pageBreakBefore w:val="0"/>
        <w:widowControl w:val="0"/>
        <w:kinsoku/>
        <w:wordWrap/>
        <w:overflowPunct/>
        <w:topLinePunct w:val="0"/>
        <w:autoSpaceDE/>
        <w:autoSpaceDN/>
        <w:bidi w:val="0"/>
        <w:adjustRightInd w:val="0"/>
        <w:snapToGrid w:val="0"/>
        <w:spacing w:line="396" w:lineRule="auto"/>
        <w:ind w:firstLine="241" w:firstLineChars="1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一、人员配置专项占比计算公式</w:t>
      </w:r>
    </w:p>
    <w:p w14:paraId="09CB5ECE">
      <w:pPr>
        <w:keepNext w:val="0"/>
        <w:keepLines w:val="0"/>
        <w:pageBreakBefore w:val="0"/>
        <w:widowControl w:val="0"/>
        <w:kinsoku/>
        <w:wordWrap/>
        <w:overflowPunct/>
        <w:topLinePunct w:val="0"/>
        <w:autoSpaceDE/>
        <w:autoSpaceDN/>
        <w:bidi w:val="0"/>
        <w:adjustRightInd w:val="0"/>
        <w:snapToGrid w:val="0"/>
        <w:spacing w:line="396" w:lineRule="auto"/>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本次评标中人员特殊身份占比、国通语合格人员占比等，均按拟派驻本项目全体安保人员（不少于59人）为计算基数，计算公式统一为：某项人员占比 =（本项目拟派驻符合该条件的安保人员数量 ÷ 本项目拟派驻全体安保人员总数量）×100%</w:t>
      </w:r>
    </w:p>
    <w:p w14:paraId="6DFD2263">
      <w:pPr>
        <w:keepNext w:val="0"/>
        <w:keepLines w:val="0"/>
        <w:pageBreakBefore w:val="0"/>
        <w:widowControl w:val="0"/>
        <w:kinsoku/>
        <w:wordWrap/>
        <w:overflowPunct/>
        <w:topLinePunct w:val="0"/>
        <w:autoSpaceDE/>
        <w:autoSpaceDN/>
        <w:bidi w:val="0"/>
        <w:adjustRightInd w:val="0"/>
        <w:snapToGrid w:val="0"/>
        <w:spacing w:line="396" w:lineRule="auto"/>
        <w:ind w:firstLine="241" w:firstLineChars="1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二、各分项具体计算口径</w:t>
      </w:r>
    </w:p>
    <w:p w14:paraId="6C543227">
      <w:pPr>
        <w:keepNext w:val="0"/>
        <w:keepLines w:val="0"/>
        <w:pageBreakBefore w:val="0"/>
        <w:widowControl w:val="0"/>
        <w:kinsoku/>
        <w:wordWrap/>
        <w:overflowPunct/>
        <w:topLinePunct w:val="0"/>
        <w:autoSpaceDE/>
        <w:autoSpaceDN/>
        <w:bidi w:val="0"/>
        <w:adjustRightInd w:val="0"/>
        <w:snapToGrid w:val="0"/>
        <w:spacing w:line="396" w:lineRule="auto"/>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1.退伍军人占比退伍军人占比 =（拟派驻持退伍军人证的安保人员数量 ÷ 拟派驻全体安保人员总数量）×100%</w:t>
      </w:r>
    </w:p>
    <w:p w14:paraId="04B02690">
      <w:pPr>
        <w:keepNext w:val="0"/>
        <w:keepLines w:val="0"/>
        <w:pageBreakBefore w:val="0"/>
        <w:widowControl w:val="0"/>
        <w:kinsoku/>
        <w:wordWrap/>
        <w:overflowPunct/>
        <w:topLinePunct w:val="0"/>
        <w:autoSpaceDE/>
        <w:autoSpaceDN/>
        <w:bidi w:val="0"/>
        <w:adjustRightInd w:val="0"/>
        <w:snapToGrid w:val="0"/>
        <w:spacing w:line="396" w:lineRule="auto"/>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2.消防员占比消防员占比 =（拟派驻持有效消防员证 / 退役消防员证明的安保人员数量 ÷ 拟派驻全体安保人员总数量）×100%</w:t>
      </w:r>
    </w:p>
    <w:p w14:paraId="14BE92CF">
      <w:pPr>
        <w:keepNext w:val="0"/>
        <w:keepLines w:val="0"/>
        <w:pageBreakBefore w:val="0"/>
        <w:widowControl w:val="0"/>
        <w:kinsoku/>
        <w:wordWrap/>
        <w:overflowPunct/>
        <w:topLinePunct w:val="0"/>
        <w:autoSpaceDE/>
        <w:autoSpaceDN/>
        <w:bidi w:val="0"/>
        <w:adjustRightInd w:val="0"/>
        <w:snapToGrid w:val="0"/>
        <w:spacing w:line="396" w:lineRule="auto"/>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3.国通语合格人员占比国通语合格人员占比 =（拟派驻持村级 / 社区及以上机构国通语合格证明的安保人员数量 ÷ 拟派驻全体安保人员总数量）×100%</w:t>
      </w:r>
    </w:p>
    <w:p w14:paraId="4BB3BC91">
      <w:pPr>
        <w:keepNext w:val="0"/>
        <w:keepLines w:val="0"/>
        <w:pageBreakBefore w:val="0"/>
        <w:widowControl w:val="0"/>
        <w:kinsoku/>
        <w:wordWrap/>
        <w:overflowPunct/>
        <w:topLinePunct w:val="0"/>
        <w:autoSpaceDE/>
        <w:autoSpaceDN/>
        <w:bidi w:val="0"/>
        <w:adjustRightInd w:val="0"/>
        <w:snapToGrid w:val="0"/>
        <w:spacing w:line="396" w:lineRule="auto"/>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4.45 周岁及以上人员占比45 周岁及以上人员占比 =（拟派驻年龄在 45 周岁及以上的安保人员数量 ÷ 拟派驻全体安保人员总数量）×100%</w:t>
      </w:r>
    </w:p>
    <w:p w14:paraId="01E0233D">
      <w:pPr>
        <w:keepNext w:val="0"/>
        <w:keepLines w:val="0"/>
        <w:pageBreakBefore w:val="0"/>
        <w:widowControl w:val="0"/>
        <w:kinsoku/>
        <w:wordWrap/>
        <w:overflowPunct/>
        <w:topLinePunct w:val="0"/>
        <w:autoSpaceDE/>
        <w:autoSpaceDN/>
        <w:bidi w:val="0"/>
        <w:adjustRightInd w:val="0"/>
        <w:snapToGrid w:val="0"/>
        <w:spacing w:line="396" w:lineRule="auto"/>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5.男性人员占比男性人员占比 =（拟派驻男性安保人员数量 ÷ 拟派驻全体安保人员总数量）×100%</w:t>
      </w:r>
    </w:p>
    <w:p w14:paraId="4B03C114">
      <w:pPr>
        <w:keepNext w:val="0"/>
        <w:keepLines w:val="0"/>
        <w:pageBreakBefore w:val="0"/>
        <w:widowControl w:val="0"/>
        <w:kinsoku/>
        <w:wordWrap/>
        <w:overflowPunct/>
        <w:topLinePunct w:val="0"/>
        <w:autoSpaceDE/>
        <w:autoSpaceDN/>
        <w:bidi w:val="0"/>
        <w:adjustRightInd w:val="0"/>
        <w:snapToGrid w:val="0"/>
        <w:spacing w:line="396" w:lineRule="auto"/>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6.持证率安保人员持证率 =（拟派驻持公安机关核发《保安员证》+ 公司上岗证书的安保人员数量 ÷ 拟派驻全体安保人员总数量）×100%</w:t>
      </w:r>
    </w:p>
    <w:p w14:paraId="7A7BE21A">
      <w:pPr>
        <w:keepNext w:val="0"/>
        <w:keepLines w:val="0"/>
        <w:pageBreakBefore w:val="0"/>
        <w:widowControl w:val="0"/>
        <w:kinsoku/>
        <w:wordWrap/>
        <w:overflowPunct/>
        <w:topLinePunct w:val="0"/>
        <w:autoSpaceDE/>
        <w:autoSpaceDN/>
        <w:bidi w:val="0"/>
        <w:adjustRightInd w:val="0"/>
        <w:snapToGrid w:val="0"/>
        <w:spacing w:line="396" w:lineRule="auto"/>
        <w:ind w:firstLine="241" w:firstLineChars="1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三、计算说明</w:t>
      </w:r>
    </w:p>
    <w:p w14:paraId="09872920">
      <w:pPr>
        <w:keepNext w:val="0"/>
        <w:keepLines w:val="0"/>
        <w:pageBreakBefore w:val="0"/>
        <w:widowControl w:val="0"/>
        <w:kinsoku/>
        <w:wordWrap/>
        <w:overflowPunct/>
        <w:topLinePunct w:val="0"/>
        <w:autoSpaceDE/>
        <w:autoSpaceDN/>
        <w:bidi w:val="0"/>
        <w:adjustRightInd w:val="0"/>
        <w:snapToGrid w:val="0"/>
        <w:spacing w:line="396" w:lineRule="auto"/>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1.所有计算结果保留小数点后两位，四舍五入；</w:t>
      </w:r>
    </w:p>
    <w:p w14:paraId="1AEDB6FC">
      <w:pPr>
        <w:keepNext w:val="0"/>
        <w:keepLines w:val="0"/>
        <w:pageBreakBefore w:val="0"/>
        <w:widowControl w:val="0"/>
        <w:kinsoku/>
        <w:wordWrap/>
        <w:overflowPunct/>
        <w:topLinePunct w:val="0"/>
        <w:autoSpaceDE/>
        <w:autoSpaceDN/>
        <w:bidi w:val="0"/>
        <w:adjustRightInd w:val="0"/>
        <w:snapToGrid w:val="0"/>
        <w:spacing w:line="396" w:lineRule="auto"/>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2.拟派驻全体安保人员总数量不得少于59人，否则按否决投标处理，不参与占比计算；</w:t>
      </w:r>
    </w:p>
    <w:p w14:paraId="23E8D429">
      <w:pPr>
        <w:keepNext w:val="0"/>
        <w:keepLines w:val="0"/>
        <w:pageBreakBefore w:val="0"/>
        <w:widowControl w:val="0"/>
        <w:kinsoku/>
        <w:wordWrap/>
        <w:overflowPunct/>
        <w:topLinePunct w:val="0"/>
        <w:autoSpaceDE/>
        <w:autoSpaceDN/>
        <w:bidi w:val="0"/>
        <w:adjustRightInd w:val="0"/>
        <w:snapToGrid w:val="0"/>
        <w:spacing w:line="396" w:lineRule="auto"/>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3.各分项人员数量须与投标文件提供的《拟投入项目组人员表》、《人员花名册》完全一致，佐证材料（证书/证明）不齐全的人员，不计入对应符合条件人员数量。</w:t>
      </w:r>
    </w:p>
    <w:p w14:paraId="2D76CC5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554DCB10">
      <w:pPr>
        <w:numPr>
          <w:ilvl w:val="0"/>
          <w:numId w:val="0"/>
        </w:numPr>
        <w:spacing w:line="240" w:lineRule="auto"/>
        <w:jc w:val="center"/>
        <w:rPr>
          <w:rFonts w:hint="eastAsia" w:ascii="仿宋" w:hAnsi="仿宋" w:eastAsia="仿宋" w:cs="仿宋"/>
          <w:b/>
          <w:bCs/>
          <w:color w:val="auto"/>
          <w:sz w:val="24"/>
          <w:szCs w:val="24"/>
          <w:highlight w:val="none"/>
          <w:lang w:val="en-US" w:eastAsia="zh-CN"/>
        </w:rPr>
      </w:pPr>
    </w:p>
    <w:p w14:paraId="193AE0AE">
      <w:pPr>
        <w:numPr>
          <w:ilvl w:val="0"/>
          <w:numId w:val="0"/>
        </w:numPr>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40"/>
          <w:szCs w:val="40"/>
          <w:highlight w:val="none"/>
          <w:lang w:val="en-US" w:eastAsia="zh-CN"/>
        </w:rPr>
        <w:t>第三章  采购需求</w:t>
      </w:r>
    </w:p>
    <w:p w14:paraId="79591CD0">
      <w:pPr>
        <w:keepNext w:val="0"/>
        <w:keepLines w:val="0"/>
        <w:pageBreakBefore w:val="0"/>
        <w:widowControl w:val="0"/>
        <w:numPr>
          <w:ilvl w:val="0"/>
          <w:numId w:val="0"/>
        </w:numPr>
        <w:kinsoku/>
        <w:wordWrap/>
        <w:overflowPunct/>
        <w:topLinePunct w:val="0"/>
        <w:autoSpaceDE/>
        <w:autoSpaceDN/>
        <w:bidi w:val="0"/>
        <w:adjustRightInd/>
        <w:spacing w:line="348" w:lineRule="auto"/>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一、项目总体要求</w:t>
      </w:r>
    </w:p>
    <w:p w14:paraId="2A863E82">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1.项目名称：</w:t>
      </w:r>
      <w:r>
        <w:rPr>
          <w:rFonts w:hint="eastAsia" w:ascii="仿宋" w:hAnsi="仿宋" w:eastAsia="仿宋" w:cs="仿宋"/>
          <w:color w:val="auto"/>
          <w:kern w:val="2"/>
          <w:sz w:val="24"/>
          <w:szCs w:val="24"/>
          <w:highlight w:val="none"/>
          <w:lang w:val="en-US" w:eastAsia="zh-CN"/>
        </w:rPr>
        <w:t>和田地区人民医院安保服务项目（二次）</w:t>
      </w:r>
    </w:p>
    <w:p w14:paraId="5E622F54">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2.采购单位：和田地区人民医院</w:t>
      </w:r>
    </w:p>
    <w:p w14:paraId="389E6231">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3.服务期限：合同签订之日起 3 年（</w:t>
      </w:r>
      <w:r>
        <w:rPr>
          <w:rFonts w:hint="eastAsia" w:ascii="仿宋" w:hAnsi="仿宋" w:eastAsia="仿宋" w:cs="仿宋"/>
          <w:color w:val="auto"/>
          <w:kern w:val="0"/>
          <w:sz w:val="24"/>
          <w:szCs w:val="24"/>
          <w:highlight w:val="none"/>
          <w:lang w:val="en-US" w:eastAsia="zh-CN" w:bidi="ar"/>
        </w:rPr>
        <w:t>合同一年一签</w:t>
      </w:r>
      <w:r>
        <w:rPr>
          <w:rFonts w:hint="eastAsia" w:ascii="仿宋" w:hAnsi="仿宋" w:eastAsia="仿宋" w:cs="仿宋"/>
          <w:b w:val="0"/>
          <w:bCs w:val="0"/>
          <w:color w:val="auto"/>
          <w:sz w:val="24"/>
          <w:szCs w:val="24"/>
          <w:highlight w:val="none"/>
          <w:lang w:val="en-US" w:eastAsia="zh-CN"/>
        </w:rPr>
        <w:t>）</w:t>
      </w:r>
    </w:p>
    <w:p w14:paraId="5DA6F44D">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4.预算金额：每年共59人预算价220万元（每名保安工资到手不得低于2600元具体按照市场浮动采用联动调整机制）。</w:t>
      </w:r>
      <w:r>
        <w:rPr>
          <w:rFonts w:hint="eastAsia" w:ascii="仿宋" w:hAnsi="仿宋" w:eastAsia="仿宋" w:cs="仿宋"/>
          <w:i w:val="0"/>
          <w:iCs w:val="0"/>
          <w:caps w:val="0"/>
          <w:color w:val="auto"/>
          <w:spacing w:val="0"/>
          <w:sz w:val="24"/>
          <w:szCs w:val="24"/>
          <w:highlight w:val="none"/>
          <w:lang w:val="en-US" w:eastAsia="zh-CN"/>
        </w:rPr>
        <w:t>（供应商应针对此点进行书面承诺，格式自拟，未提供将导致投标被拒绝！） ‌</w:t>
      </w:r>
      <w:r>
        <w:rPr>
          <w:rFonts w:hint="eastAsia" w:ascii="仿宋" w:hAnsi="仿宋" w:eastAsia="仿宋" w:cs="仿宋"/>
          <w:i w:val="0"/>
          <w:iCs w:val="0"/>
          <w:caps w:val="0"/>
          <w:color w:val="auto"/>
          <w:spacing w:val="0"/>
          <w:sz w:val="24"/>
          <w:szCs w:val="24"/>
          <w:highlight w:val="none"/>
        </w:rPr>
        <w:t>‌</w:t>
      </w:r>
    </w:p>
    <w:p w14:paraId="435F8EC1">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对医院</w:t>
      </w:r>
      <w:r>
        <w:rPr>
          <w:rFonts w:hint="eastAsia" w:ascii="仿宋" w:hAnsi="仿宋" w:eastAsia="仿宋" w:cs="仿宋"/>
          <w:color w:val="auto"/>
          <w:kern w:val="2"/>
          <w:sz w:val="24"/>
          <w:szCs w:val="24"/>
          <w:highlight w:val="none"/>
          <w:lang w:val="en-US" w:eastAsia="zh-CN"/>
        </w:rPr>
        <w:t>安保服务</w:t>
      </w:r>
      <w:r>
        <w:rPr>
          <w:rFonts w:hint="eastAsia" w:ascii="仿宋" w:hAnsi="仿宋" w:eastAsia="仿宋" w:cs="仿宋"/>
          <w:color w:val="auto"/>
          <w:sz w:val="24"/>
          <w:szCs w:val="24"/>
          <w:highlight w:val="none"/>
          <w:lang w:val="en-US" w:eastAsia="zh-CN"/>
        </w:rPr>
        <w:t>进行采购</w:t>
      </w:r>
      <w:r>
        <w:rPr>
          <w:rFonts w:hint="eastAsia" w:ascii="仿宋" w:hAnsi="仿宋" w:eastAsia="仿宋" w:cs="仿宋"/>
          <w:b w:val="0"/>
          <w:bCs w:val="0"/>
          <w:color w:val="auto"/>
          <w:sz w:val="24"/>
          <w:szCs w:val="24"/>
          <w:highlight w:val="none"/>
          <w:lang w:val="en-US" w:eastAsia="zh-CN"/>
        </w:rPr>
        <w:t>，安保人员不少于58人+项目负责人1人，人员不足59人按否决投标处理，须提供完整人员花名册、岗位分配表、排班表。</w:t>
      </w:r>
    </w:p>
    <w:p w14:paraId="0E786C8F">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项目负责人要求：供应商因在现场派驻1名专职项目负责人，该负责人专职负责两个院区安保人员的日常辅助管理、工作协调、问题处置、指令传达及执行落地等工作，全程配合甲方对安保服务工作的各项管理要求，接受甲方的统一调度、监督与考核，项目负责人实行全岗驻院工作制，每月在贵院两个院区的现场在岗工作时间不少于24天，在岗期间保持通讯 24 小时畅通，无甲方书面批准不得擅自离岗、脱岗；因特殊情况需请假的，须提前 3 个工作日向甲方保卫科提交书面申请，经批准后方可离岗，且请假期间立即安排具备同等资质的临时负责人接替工作，确保院区安保辅助管理工作无间断。</w:t>
      </w:r>
      <w:r>
        <w:rPr>
          <w:rFonts w:hint="eastAsia" w:ascii="仿宋" w:hAnsi="仿宋" w:eastAsia="仿宋" w:cs="仿宋"/>
          <w:i w:val="0"/>
          <w:iCs w:val="0"/>
          <w:caps w:val="0"/>
          <w:color w:val="auto"/>
          <w:spacing w:val="0"/>
          <w:sz w:val="24"/>
          <w:szCs w:val="24"/>
          <w:highlight w:val="none"/>
          <w:lang w:val="en-US" w:eastAsia="zh-CN"/>
        </w:rPr>
        <w:t>（供应商应针对此点进行书面承诺，格式自拟，未提供将导致投标被拒绝！） ‌</w:t>
      </w:r>
      <w:r>
        <w:rPr>
          <w:rFonts w:hint="eastAsia" w:ascii="仿宋" w:hAnsi="仿宋" w:eastAsia="仿宋" w:cs="仿宋"/>
          <w:i w:val="0"/>
          <w:iCs w:val="0"/>
          <w:caps w:val="0"/>
          <w:color w:val="auto"/>
          <w:spacing w:val="0"/>
          <w:sz w:val="24"/>
          <w:szCs w:val="24"/>
          <w:highlight w:val="none"/>
        </w:rPr>
        <w:t>‌</w:t>
      </w:r>
    </w:p>
    <w:p w14:paraId="766CC065">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7.服务范围：覆盖两院区，提供24小时治安防控、交通疏导、出入管控、应急处理、医疗纠纷秩序维护、值守等全方位的安保服务。</w:t>
      </w:r>
    </w:p>
    <w:p w14:paraId="3FD39603">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5.服务标准：符合国家、行业及和田地区安防政策要求，满足医院日常管理、应急处置、维稳安保等全部需求，通过采购人定期考核与年度验收。</w:t>
      </w:r>
    </w:p>
    <w:p w14:paraId="1AE27C87">
      <w:pPr>
        <w:keepNext w:val="0"/>
        <w:keepLines w:val="0"/>
        <w:pageBreakBefore w:val="0"/>
        <w:widowControl w:val="0"/>
        <w:numPr>
          <w:ilvl w:val="0"/>
          <w:numId w:val="0"/>
        </w:numPr>
        <w:kinsoku/>
        <w:wordWrap/>
        <w:overflowPunct/>
        <w:topLinePunct w:val="0"/>
        <w:autoSpaceDE/>
        <w:autoSpaceDN/>
        <w:bidi w:val="0"/>
        <w:adjustRightInd/>
        <w:spacing w:line="348" w:lineRule="auto"/>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二、人员管理强制要求（不满足按否决投标处理）</w:t>
      </w:r>
    </w:p>
    <w:p w14:paraId="373E1713">
      <w:pPr>
        <w:keepNext w:val="0"/>
        <w:keepLines w:val="0"/>
        <w:pageBreakBefore w:val="0"/>
        <w:widowControl w:val="0"/>
        <w:kinsoku/>
        <w:wordWrap/>
        <w:overflowPunct/>
        <w:topLinePunct w:val="0"/>
        <w:autoSpaceDE/>
        <w:autoSpaceDN/>
        <w:bidi w:val="0"/>
        <w:adjustRightInd/>
        <w:snapToGrid w:val="0"/>
        <w:spacing w:line="348" w:lineRule="auto"/>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（一）持证上岗要求</w:t>
      </w:r>
    </w:p>
    <w:p w14:paraId="683F8685">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所有派驻安保人员100% 持有公安机关考核合格颁发的有效《保安员证》，并经保安服务公司核验颁发上岗证，无有效证件一律不得上岗。</w:t>
      </w:r>
    </w:p>
    <w:p w14:paraId="15A216B8">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投标文件须附全体安保人员《保安员证》、身份证，并承诺在岗期间证件持续有效（承诺书格式自拟），采购人有权随机核查，发现无证上岗立即终止合同并追究违约责任。</w:t>
      </w:r>
    </w:p>
    <w:p w14:paraId="2EE21D12">
      <w:pPr>
        <w:keepNext w:val="0"/>
        <w:keepLines w:val="0"/>
        <w:pageBreakBefore w:val="0"/>
        <w:widowControl w:val="0"/>
        <w:kinsoku/>
        <w:wordWrap/>
        <w:overflowPunct/>
        <w:topLinePunct w:val="0"/>
        <w:autoSpaceDE/>
        <w:autoSpaceDN/>
        <w:bidi w:val="0"/>
        <w:adjustRightInd/>
        <w:snapToGrid w:val="0"/>
        <w:spacing w:line="348" w:lineRule="auto"/>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（二）保险保障要求</w:t>
      </w:r>
    </w:p>
    <w:p w14:paraId="7766807D">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中标人须为全体派驻安保人员足额购买保险，险种至少包含：工伤保险、人身意外伤害保险（保额不低于80万元/人），保险期限须覆盖服务全周期，人员变动及时办理保险变更，确保在岗期间全员参保无遗漏。</w:t>
      </w:r>
    </w:p>
    <w:p w14:paraId="48558A87">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投标文件须附保险投保方案、保单复印件、人员保险清单，并承诺保险真实有效，接受采购人核查。</w:t>
      </w:r>
    </w:p>
    <w:p w14:paraId="66C7537F">
      <w:pPr>
        <w:keepNext w:val="0"/>
        <w:keepLines w:val="0"/>
        <w:pageBreakBefore w:val="0"/>
        <w:widowControl w:val="0"/>
        <w:kinsoku/>
        <w:wordWrap/>
        <w:overflowPunct/>
        <w:topLinePunct w:val="0"/>
        <w:autoSpaceDE/>
        <w:autoSpaceDN/>
        <w:bidi w:val="0"/>
        <w:adjustRightInd/>
        <w:snapToGrid w:val="0"/>
        <w:spacing w:line="348" w:lineRule="auto"/>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（三）无违法犯罪记录</w:t>
      </w:r>
    </w:p>
    <w:p w14:paraId="1964BD86">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投标文件内须附拟投入的所有安保人员无犯罪记录承诺，服从医院统一管理，遵守医院规章制度及安保工作纪律，采购人有权随机核查，发现无证上岗立即终止合同并追究违约责任。</w:t>
      </w:r>
      <w:r>
        <w:rPr>
          <w:rFonts w:hint="eastAsia" w:ascii="仿宋" w:hAnsi="仿宋" w:eastAsia="仿宋" w:cs="仿宋"/>
          <w:i w:val="0"/>
          <w:iCs w:val="0"/>
          <w:caps w:val="0"/>
          <w:color w:val="auto"/>
          <w:spacing w:val="0"/>
          <w:sz w:val="24"/>
          <w:szCs w:val="24"/>
          <w:highlight w:val="none"/>
          <w:lang w:val="en-US" w:eastAsia="zh-CN"/>
        </w:rPr>
        <w:t>（供应商应针对此点进行书面承诺，格式自拟，未提供将导致投标被拒绝！） ‌</w:t>
      </w:r>
      <w:r>
        <w:rPr>
          <w:rFonts w:hint="eastAsia" w:ascii="仿宋" w:hAnsi="仿宋" w:eastAsia="仿宋" w:cs="仿宋"/>
          <w:i w:val="0"/>
          <w:iCs w:val="0"/>
          <w:caps w:val="0"/>
          <w:color w:val="auto"/>
          <w:spacing w:val="0"/>
          <w:sz w:val="24"/>
          <w:szCs w:val="24"/>
          <w:highlight w:val="none"/>
        </w:rPr>
        <w:t>‌</w:t>
      </w:r>
    </w:p>
    <w:p w14:paraId="2AEA4887">
      <w:pPr>
        <w:keepNext w:val="0"/>
        <w:keepLines w:val="0"/>
        <w:pageBreakBefore w:val="0"/>
        <w:widowControl w:val="0"/>
        <w:kinsoku/>
        <w:wordWrap/>
        <w:overflowPunct/>
        <w:topLinePunct w:val="0"/>
        <w:autoSpaceDE/>
        <w:autoSpaceDN/>
        <w:bidi w:val="0"/>
        <w:adjustRightInd/>
        <w:snapToGrid w:val="0"/>
        <w:spacing w:line="348" w:lineRule="auto"/>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三、安保装备与物资配置要求（必须全部落实，提供证明材料）</w:t>
      </w:r>
    </w:p>
    <w:p w14:paraId="46FCAFF1">
      <w:pPr>
        <w:keepNext w:val="0"/>
        <w:keepLines w:val="0"/>
        <w:pageBreakBefore w:val="0"/>
        <w:widowControl w:val="0"/>
        <w:kinsoku/>
        <w:wordWrap/>
        <w:overflowPunct/>
        <w:topLinePunct w:val="0"/>
        <w:autoSpaceDE/>
        <w:autoSpaceDN/>
        <w:bidi w:val="0"/>
        <w:adjustRightInd/>
        <w:snapToGrid w:val="0"/>
        <w:spacing w:line="348" w:lineRule="auto"/>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（一）人员服装配置（按在岗人数配齐）</w:t>
      </w:r>
    </w:p>
    <w:p w14:paraId="43FBA1D7">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每名安保人员配备：冬季安保制服 2 套、夏季安保制服 2 套、反光执勤服 1 套、制式帽子、肩章、工牌、腰带等配套标识，服装须统一款式、统一标识，保持整洁完好，定期更换。</w:t>
      </w:r>
      <w:r>
        <w:rPr>
          <w:rFonts w:hint="eastAsia" w:ascii="仿宋" w:hAnsi="仿宋" w:eastAsia="仿宋" w:cs="仿宋"/>
          <w:color w:val="auto"/>
          <w:kern w:val="0"/>
          <w:sz w:val="24"/>
          <w:szCs w:val="24"/>
          <w:highlight w:val="none"/>
          <w:lang w:val="en-US" w:eastAsia="zh-CN" w:bidi="ar"/>
        </w:rPr>
        <w:t>以上</w:t>
      </w:r>
      <w:r>
        <w:rPr>
          <w:rFonts w:hint="eastAsia" w:ascii="仿宋" w:hAnsi="仿宋" w:eastAsia="仿宋" w:cs="仿宋"/>
          <w:b w:val="0"/>
          <w:bCs w:val="0"/>
          <w:color w:val="auto"/>
          <w:sz w:val="24"/>
          <w:szCs w:val="24"/>
          <w:highlight w:val="none"/>
          <w:lang w:val="en-US" w:eastAsia="zh-CN"/>
        </w:rPr>
        <w:t>投标文件须附</w:t>
      </w:r>
      <w:r>
        <w:rPr>
          <w:rFonts w:hint="eastAsia" w:ascii="仿宋" w:hAnsi="仿宋" w:eastAsia="仿宋" w:cs="仿宋"/>
          <w:color w:val="auto"/>
          <w:kern w:val="0"/>
          <w:sz w:val="24"/>
          <w:szCs w:val="24"/>
          <w:highlight w:val="none"/>
          <w:lang w:val="en-US" w:eastAsia="zh-CN" w:bidi="ar"/>
        </w:rPr>
        <w:t>着装装备清单、近一年内（近一年指2025年3月—至今）购置发票、装备</w:t>
      </w:r>
      <w:r>
        <w:rPr>
          <w:rFonts w:hint="eastAsia" w:ascii="仿宋" w:hAnsi="仿宋" w:eastAsia="仿宋" w:cs="仿宋"/>
          <w:i w:val="0"/>
          <w:color w:val="auto"/>
          <w:kern w:val="0"/>
          <w:sz w:val="24"/>
          <w:szCs w:val="24"/>
          <w:highlight w:val="none"/>
          <w:u w:val="none"/>
          <w:lang w:val="en-US" w:eastAsia="zh-CN" w:bidi="ar"/>
        </w:rPr>
        <w:t>投入承诺函（格式自拟，承诺购置的所有装备均于本项目中。）</w:t>
      </w:r>
      <w:r>
        <w:rPr>
          <w:rFonts w:hint="eastAsia" w:ascii="仿宋" w:hAnsi="仿宋" w:eastAsia="仿宋" w:cs="仿宋"/>
          <w:color w:val="auto"/>
          <w:kern w:val="0"/>
          <w:sz w:val="24"/>
          <w:szCs w:val="24"/>
          <w:highlight w:val="none"/>
          <w:lang w:val="en-US" w:eastAsia="zh-CN" w:bidi="ar"/>
        </w:rPr>
        <w:t>（以上材料缺一不可）</w:t>
      </w:r>
    </w:p>
    <w:p w14:paraId="0C802A91">
      <w:pPr>
        <w:keepNext w:val="0"/>
        <w:keepLines w:val="0"/>
        <w:pageBreakBefore w:val="0"/>
        <w:widowControl w:val="0"/>
        <w:kinsoku/>
        <w:wordWrap/>
        <w:overflowPunct/>
        <w:topLinePunct w:val="0"/>
        <w:autoSpaceDE/>
        <w:autoSpaceDN/>
        <w:bidi w:val="0"/>
        <w:adjustRightInd/>
        <w:snapToGrid w:val="0"/>
        <w:spacing w:line="348" w:lineRule="auto"/>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（二）交通与执勤工具</w:t>
      </w:r>
    </w:p>
    <w:p w14:paraId="5DC78106">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挪车神器（移车器）：2个，用于院区车辆违停挪移、交通疏导。</w:t>
      </w:r>
    </w:p>
    <w:p w14:paraId="7CCD3013">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电动巡逻电动车：3辆，要求车况良好、续航满足院区巡逻需求，配备警示灯、车载通讯设备。</w:t>
      </w:r>
    </w:p>
    <w:p w14:paraId="3435896E">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投标人须在投标文件中提供《安保装备配置详细清单》载明：装备名称、规格型号、数量、权属、购置渠道、维护制度、责任人，并附购置发票、照片、合格证、</w:t>
      </w:r>
      <w:r>
        <w:rPr>
          <w:rFonts w:hint="eastAsia" w:ascii="仿宋" w:hAnsi="仿宋" w:eastAsia="仿宋" w:cs="仿宋"/>
          <w:color w:val="auto"/>
          <w:kern w:val="0"/>
          <w:sz w:val="24"/>
          <w:szCs w:val="24"/>
          <w:highlight w:val="none"/>
          <w:lang w:val="en-US" w:eastAsia="zh-CN" w:bidi="ar"/>
        </w:rPr>
        <w:t>装备</w:t>
      </w:r>
      <w:r>
        <w:rPr>
          <w:rFonts w:hint="eastAsia" w:ascii="仿宋" w:hAnsi="仿宋" w:eastAsia="仿宋" w:cs="仿宋"/>
          <w:i w:val="0"/>
          <w:color w:val="auto"/>
          <w:kern w:val="0"/>
          <w:sz w:val="24"/>
          <w:szCs w:val="24"/>
          <w:highlight w:val="none"/>
          <w:u w:val="none"/>
          <w:lang w:val="en-US" w:eastAsia="zh-CN" w:bidi="ar"/>
        </w:rPr>
        <w:t>投入承诺函（格式自拟，承诺购置的所有装备均于本项目中）</w:t>
      </w:r>
      <w:r>
        <w:rPr>
          <w:rFonts w:hint="eastAsia" w:ascii="仿宋" w:hAnsi="仿宋" w:eastAsia="仿宋" w:cs="仿宋"/>
          <w:b w:val="0"/>
          <w:bCs w:val="0"/>
          <w:color w:val="auto"/>
          <w:sz w:val="24"/>
          <w:szCs w:val="24"/>
          <w:highlight w:val="none"/>
          <w:lang w:val="en-US" w:eastAsia="zh-CN"/>
        </w:rPr>
        <w:t>等证明材料，未提供或不齐全视为不响应。</w:t>
      </w:r>
    </w:p>
    <w:p w14:paraId="11D1B308">
      <w:pPr>
        <w:keepNext w:val="0"/>
        <w:keepLines w:val="0"/>
        <w:pageBreakBefore w:val="0"/>
        <w:widowControl w:val="0"/>
        <w:kinsoku/>
        <w:wordWrap/>
        <w:overflowPunct/>
        <w:topLinePunct w:val="0"/>
        <w:autoSpaceDE/>
        <w:autoSpaceDN/>
        <w:bidi w:val="0"/>
        <w:adjustRightInd/>
        <w:snapToGrid w:val="0"/>
        <w:spacing w:line="348" w:lineRule="auto"/>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（三）基础安保装备（全员配齐、定点存放）</w:t>
      </w:r>
    </w:p>
    <w:p w14:paraId="54B54819">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防暴棍、防暴盾牌、钢叉、约束装备、执法记录仪、对讲机、强光手电、急救包、防护器材等，装备须定期巡检、维护、更新，确保完好可用。</w:t>
      </w:r>
    </w:p>
    <w:p w14:paraId="21DA6DC5">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投标人须在投标文件中提供《安保装备配置详细清单》载明：装备名称、规格型号、数量、权属、购置渠道、维护制度、责任人，并附购置发票、照片、合格证、</w:t>
      </w:r>
      <w:r>
        <w:rPr>
          <w:rFonts w:hint="eastAsia" w:ascii="仿宋" w:hAnsi="仿宋" w:eastAsia="仿宋" w:cs="仿宋"/>
          <w:color w:val="auto"/>
          <w:kern w:val="0"/>
          <w:sz w:val="24"/>
          <w:szCs w:val="24"/>
          <w:highlight w:val="none"/>
          <w:lang w:val="en-US" w:eastAsia="zh-CN" w:bidi="ar"/>
        </w:rPr>
        <w:t>装备</w:t>
      </w:r>
      <w:r>
        <w:rPr>
          <w:rFonts w:hint="eastAsia" w:ascii="仿宋" w:hAnsi="仿宋" w:eastAsia="仿宋" w:cs="仿宋"/>
          <w:i w:val="0"/>
          <w:color w:val="auto"/>
          <w:kern w:val="0"/>
          <w:sz w:val="24"/>
          <w:szCs w:val="24"/>
          <w:highlight w:val="none"/>
          <w:u w:val="none"/>
          <w:lang w:val="en-US" w:eastAsia="zh-CN" w:bidi="ar"/>
        </w:rPr>
        <w:t>投入承诺函（格式自拟，承诺购置的所有装备均于本项目中）</w:t>
      </w:r>
      <w:r>
        <w:rPr>
          <w:rFonts w:hint="eastAsia" w:ascii="仿宋" w:hAnsi="仿宋" w:eastAsia="仿宋" w:cs="仿宋"/>
          <w:b w:val="0"/>
          <w:bCs w:val="0"/>
          <w:color w:val="auto"/>
          <w:sz w:val="24"/>
          <w:szCs w:val="24"/>
          <w:highlight w:val="none"/>
          <w:lang w:val="en-US" w:eastAsia="zh-CN"/>
        </w:rPr>
        <w:t>等证明材料，未提供或不齐全视为不响应。</w:t>
      </w:r>
    </w:p>
    <w:p w14:paraId="4E420212">
      <w:pPr>
        <w:keepNext w:val="0"/>
        <w:keepLines w:val="0"/>
        <w:pageBreakBefore w:val="0"/>
        <w:widowControl w:val="0"/>
        <w:kinsoku/>
        <w:wordWrap/>
        <w:overflowPunct/>
        <w:topLinePunct w:val="0"/>
        <w:autoSpaceDE/>
        <w:autoSpaceDN/>
        <w:bidi w:val="0"/>
        <w:adjustRightInd/>
        <w:snapToGrid w:val="0"/>
        <w:spacing w:line="348" w:lineRule="auto"/>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四、服务管理与考核要求</w:t>
      </w:r>
    </w:p>
    <w:p w14:paraId="29F76333">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建立完善人员管理制度、巡查制度、应急处置制度、培训制度、装备管理制度、工资发放保障制度、月度考核制度等。严格落实安防政策、警医联动、应急演练、医患纠纷快速处置等要求。采购人按月考核，考核结果与服务费支付挂钩，不达标按合同约定扣减费用。中标人须对人员、装备、保险、体检等情况动态管理，人员/装备变动3个工作日内书面报备采购人。</w:t>
      </w:r>
      <w:r>
        <w:rPr>
          <w:rFonts w:hint="eastAsia" w:ascii="仿宋" w:hAnsi="仿宋" w:eastAsia="仿宋" w:cs="仿宋"/>
          <w:i w:val="0"/>
          <w:iCs w:val="0"/>
          <w:caps w:val="0"/>
          <w:color w:val="auto"/>
          <w:spacing w:val="0"/>
          <w:sz w:val="24"/>
          <w:szCs w:val="24"/>
          <w:highlight w:val="none"/>
          <w:lang w:val="en-US" w:eastAsia="zh-CN"/>
        </w:rPr>
        <w:t>（供应商应针对此点进行书面承诺，格式自拟，未提供将导致投标被拒绝！） ‌</w:t>
      </w:r>
      <w:r>
        <w:rPr>
          <w:rFonts w:hint="eastAsia" w:ascii="仿宋" w:hAnsi="仿宋" w:eastAsia="仿宋" w:cs="仿宋"/>
          <w:i w:val="0"/>
          <w:iCs w:val="0"/>
          <w:caps w:val="0"/>
          <w:color w:val="auto"/>
          <w:spacing w:val="0"/>
          <w:sz w:val="24"/>
          <w:szCs w:val="24"/>
          <w:highlight w:val="none"/>
        </w:rPr>
        <w:t>‌</w:t>
      </w:r>
    </w:p>
    <w:p w14:paraId="2E00174E">
      <w:pPr>
        <w:keepNext w:val="0"/>
        <w:keepLines w:val="0"/>
        <w:pageBreakBefore w:val="0"/>
        <w:widowControl w:val="0"/>
        <w:kinsoku/>
        <w:wordWrap/>
        <w:overflowPunct/>
        <w:topLinePunct w:val="0"/>
        <w:autoSpaceDE/>
        <w:autoSpaceDN/>
        <w:bidi w:val="0"/>
        <w:adjustRightInd/>
        <w:snapToGrid w:val="0"/>
        <w:spacing w:line="348" w:lineRule="auto"/>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五、违约责任</w:t>
      </w:r>
    </w:p>
    <w:p w14:paraId="1455F19B">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满足持证上岗100%、强制体检、全员保险、装备配置任一要求，均按否决投标处理，合同履行中发现造假、缺配、无证上岗、未参保、体检不合格上岗等情况，采购人有权立即解除合同、扣除履约保证金、追究损失。</w:t>
      </w:r>
      <w:r>
        <w:rPr>
          <w:rFonts w:hint="eastAsia" w:ascii="仿宋" w:hAnsi="仿宋" w:eastAsia="仿宋" w:cs="仿宋"/>
          <w:i w:val="0"/>
          <w:iCs w:val="0"/>
          <w:caps w:val="0"/>
          <w:color w:val="auto"/>
          <w:spacing w:val="0"/>
          <w:sz w:val="24"/>
          <w:szCs w:val="24"/>
          <w:highlight w:val="none"/>
          <w:lang w:val="en-US" w:eastAsia="zh-CN"/>
        </w:rPr>
        <w:t>（供应商应针对此点进行书面承诺，格式自拟，未提供将导致投标被拒绝！） ‌</w:t>
      </w:r>
      <w:r>
        <w:rPr>
          <w:rFonts w:hint="eastAsia" w:ascii="仿宋" w:hAnsi="仿宋" w:eastAsia="仿宋" w:cs="仿宋"/>
          <w:i w:val="0"/>
          <w:iCs w:val="0"/>
          <w:caps w:val="0"/>
          <w:color w:val="auto"/>
          <w:spacing w:val="0"/>
          <w:sz w:val="24"/>
          <w:szCs w:val="24"/>
          <w:highlight w:val="none"/>
        </w:rPr>
        <w:t>‌</w:t>
      </w:r>
    </w:p>
    <w:p w14:paraId="34F03681">
      <w:pPr>
        <w:keepNext w:val="0"/>
        <w:keepLines w:val="0"/>
        <w:pageBreakBefore w:val="0"/>
        <w:widowControl w:val="0"/>
        <w:kinsoku/>
        <w:wordWrap/>
        <w:overflowPunct/>
        <w:topLinePunct w:val="0"/>
        <w:autoSpaceDE/>
        <w:autoSpaceDN/>
        <w:bidi w:val="0"/>
        <w:adjustRightInd/>
        <w:snapToGrid w:val="0"/>
        <w:spacing w:line="348" w:lineRule="auto"/>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六、劳动用工与合规管理要求（服从劳动执法检查）</w:t>
      </w:r>
    </w:p>
    <w:p w14:paraId="089846B2">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须严格遵守国家、自治区及和田地区劳动保障法律法规，全面服从和田地区劳动保障监察执法大队监督管理，主动配合日常检查、专项督查、案件调查、整改落实等各项执法工作，不得以任何理由拒绝、阻挠、拖延。</w:t>
      </w:r>
    </w:p>
    <w:p w14:paraId="727360EA">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具体落实措施</w:t>
      </w:r>
    </w:p>
    <w:p w14:paraId="50824FED">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（1）建立劳动用工合规管理制度，明确专人对接劳动监察部门，确保信息畅通、响应及时。</w:t>
      </w:r>
    </w:p>
    <w:p w14:paraId="3616B82A">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（2）依法与所有安保人员签订劳动合同，明确工资标准、工作时间、休息休假、社会保险等条款，不拖欠、不克扣工资。</w:t>
      </w:r>
    </w:p>
    <w:p w14:paraId="10B6C927">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（3）按规定为员工缴纳本项目要求的商业保险，建立完整用工台账、工资台账。</w:t>
      </w:r>
    </w:p>
    <w:p w14:paraId="50AC9289">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（4）接到劳动监察部门整改通知书后，须在规定时限内完成整改，并将整改结果书面报送劳动监察部门及采购人备案。</w:t>
      </w:r>
    </w:p>
    <w:p w14:paraId="4BA08BA9">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（5）主动开展劳动保障自查，每季度至少自查一次，发现问题立即整改，杜绝用工违法违规行为。</w:t>
      </w:r>
    </w:p>
    <w:p w14:paraId="3DAD75C1">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（6）因用工违规被劳动监察部门处罚、通报，或引发劳资纠纷、投诉、上访等事件，由中标人承担全部责任，并赔偿采购人因此造成的一切损失。</w:t>
      </w:r>
    </w:p>
    <w:p w14:paraId="5E0BAF16">
      <w:pPr>
        <w:keepNext w:val="0"/>
        <w:keepLines w:val="0"/>
        <w:pageBreakBefore w:val="0"/>
        <w:widowControl w:val="0"/>
        <w:kinsoku/>
        <w:wordWrap/>
        <w:overflowPunct/>
        <w:topLinePunct w:val="0"/>
        <w:autoSpaceDE/>
        <w:autoSpaceDN/>
        <w:bidi w:val="0"/>
        <w:adjustRightInd/>
        <w:snapToGrid w:val="0"/>
        <w:spacing w:line="348" w:lineRule="auto"/>
        <w:jc w:val="both"/>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供应商应针对上述（1）—（6）项要求进行书面承诺，格式自拟，未提供将导致投标被拒绝！ </w:t>
      </w:r>
    </w:p>
    <w:p w14:paraId="27A471BB">
      <w:pPr>
        <w:keepNext w:val="0"/>
        <w:keepLines w:val="0"/>
        <w:pageBreakBefore w:val="0"/>
        <w:widowControl w:val="0"/>
        <w:kinsoku/>
        <w:wordWrap/>
        <w:overflowPunct/>
        <w:topLinePunct w:val="0"/>
        <w:autoSpaceDE/>
        <w:autoSpaceDN/>
        <w:bidi w:val="0"/>
        <w:adjustRightInd/>
        <w:snapToGrid w:val="0"/>
        <w:spacing w:line="348" w:lineRule="auto"/>
        <w:jc w:val="both"/>
        <w:textAlignment w:val="auto"/>
        <w:rPr>
          <w:rFonts w:hint="eastAsia" w:ascii="仿宋" w:hAnsi="仿宋" w:eastAsia="仿宋" w:cs="仿宋"/>
          <w:i w:val="0"/>
          <w:iCs w:val="0"/>
          <w:caps w:val="0"/>
          <w:color w:val="auto"/>
          <w:spacing w:val="0"/>
          <w:sz w:val="24"/>
          <w:szCs w:val="24"/>
          <w:highlight w:val="none"/>
          <w:lang w:val="en-US" w:eastAsia="zh-CN"/>
        </w:rPr>
      </w:pPr>
    </w:p>
    <w:p w14:paraId="2E7D69F8">
      <w:pPr>
        <w:keepNext w:val="0"/>
        <w:keepLines w:val="0"/>
        <w:pageBreakBefore w:val="0"/>
        <w:widowControl w:val="0"/>
        <w:kinsoku/>
        <w:wordWrap/>
        <w:overflowPunct/>
        <w:topLinePunct w:val="0"/>
        <w:autoSpaceDE/>
        <w:autoSpaceDN/>
        <w:bidi w:val="0"/>
        <w:adjustRightInd/>
        <w:snapToGrid w:val="0"/>
        <w:spacing w:line="348" w:lineRule="auto"/>
        <w:jc w:val="both"/>
        <w:textAlignment w:val="auto"/>
        <w:rPr>
          <w:rFonts w:hint="eastAsia" w:ascii="仿宋" w:hAnsi="仿宋" w:eastAsia="仿宋" w:cs="仿宋"/>
          <w:i w:val="0"/>
          <w:iCs w:val="0"/>
          <w:caps w:val="0"/>
          <w:color w:val="auto"/>
          <w:spacing w:val="0"/>
          <w:sz w:val="24"/>
          <w:szCs w:val="24"/>
          <w:highlight w:val="none"/>
          <w:lang w:val="en-US" w:eastAsia="zh-CN"/>
        </w:rPr>
      </w:pPr>
    </w:p>
    <w:p w14:paraId="3C4E9449">
      <w:pPr>
        <w:keepNext w:val="0"/>
        <w:keepLines w:val="0"/>
        <w:pageBreakBefore w:val="0"/>
        <w:widowControl w:val="0"/>
        <w:kinsoku/>
        <w:wordWrap/>
        <w:overflowPunct/>
        <w:topLinePunct w:val="0"/>
        <w:autoSpaceDE/>
        <w:autoSpaceDN/>
        <w:bidi w:val="0"/>
        <w:adjustRightInd/>
        <w:snapToGrid w:val="0"/>
        <w:spacing w:line="348"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w:t>
      </w:r>
      <w:r>
        <w:rPr>
          <w:rFonts w:hint="eastAsia" w:ascii="仿宋" w:hAnsi="仿宋" w:eastAsia="仿宋" w:cs="仿宋"/>
          <w:i w:val="0"/>
          <w:iCs w:val="0"/>
          <w:caps w:val="0"/>
          <w:color w:val="auto"/>
          <w:spacing w:val="0"/>
          <w:sz w:val="24"/>
          <w:szCs w:val="24"/>
          <w:highlight w:val="none"/>
        </w:rPr>
        <w:t>‌</w:t>
      </w:r>
    </w:p>
    <w:p w14:paraId="223BDB89">
      <w:pPr>
        <w:wordWrap/>
        <w:spacing w:line="240" w:lineRule="auto"/>
        <w:ind w:firstLine="482" w:firstLineChars="200"/>
        <w:jc w:val="both"/>
        <w:textAlignment w:val="auto"/>
        <w:rPr>
          <w:rFonts w:hint="eastAsia" w:ascii="仿宋" w:hAnsi="仿宋" w:eastAsia="仿宋" w:cs="仿宋"/>
          <w:b/>
          <w:bCs/>
          <w:color w:val="auto"/>
          <w:sz w:val="24"/>
          <w:szCs w:val="24"/>
          <w:highlight w:val="none"/>
          <w:lang w:val="en-US" w:eastAsia="zh-CN"/>
        </w:rPr>
      </w:pPr>
    </w:p>
    <w:bookmarkEnd w:id="67"/>
    <w:bookmarkEnd w:id="68"/>
    <w:bookmarkEnd w:id="69"/>
    <w:bookmarkEnd w:id="70"/>
    <w:bookmarkEnd w:id="71"/>
    <w:bookmarkEnd w:id="72"/>
    <w:bookmarkEnd w:id="73"/>
    <w:bookmarkEnd w:id="74"/>
    <w:bookmarkEnd w:id="75"/>
    <w:bookmarkEnd w:id="76"/>
    <w:bookmarkEnd w:id="77"/>
    <w:bookmarkEnd w:id="78"/>
    <w:bookmarkEnd w:id="79"/>
    <w:p w14:paraId="3E249F39">
      <w:pPr>
        <w:pStyle w:val="2"/>
        <w:keepNext/>
        <w:keepLines w:val="0"/>
        <w:pageBreakBefore w:val="0"/>
        <w:widowControl w:val="0"/>
        <w:numPr>
          <w:ilvl w:val="0"/>
          <w:numId w:val="0"/>
        </w:numPr>
        <w:kinsoku/>
        <w:wordWrap/>
        <w:overflowPunct/>
        <w:topLinePunct w:val="0"/>
        <w:autoSpaceDE/>
        <w:autoSpaceDN/>
        <w:bidi w:val="0"/>
        <w:adjustRightInd w:val="0"/>
        <w:snapToGrid w:val="0"/>
        <w:spacing w:before="0" w:beforeLines="100" w:line="240" w:lineRule="auto"/>
        <w:ind w:leftChars="0"/>
        <w:jc w:val="center"/>
        <w:textAlignment w:val="auto"/>
        <w:rPr>
          <w:rFonts w:hint="eastAsia" w:ascii="仿宋" w:hAnsi="仿宋" w:eastAsia="仿宋" w:cs="仿宋"/>
          <w:b/>
          <w:bCs/>
          <w:color w:val="auto"/>
          <w:kern w:val="2"/>
          <w:sz w:val="40"/>
          <w:szCs w:val="40"/>
          <w:highlight w:val="none"/>
          <w:lang w:val="en-US" w:eastAsia="zh-CN" w:bidi="ar-SA"/>
        </w:rPr>
      </w:pPr>
      <w:bookmarkStart w:id="113" w:name="_Toc17546"/>
      <w:bookmarkStart w:id="114" w:name="_Toc25217"/>
      <w:bookmarkStart w:id="115" w:name="_Toc29040"/>
      <w:bookmarkStart w:id="116" w:name="_Toc381970843"/>
    </w:p>
    <w:p w14:paraId="404E4FC5">
      <w:pPr>
        <w:pStyle w:val="2"/>
        <w:keepNext/>
        <w:keepLines w:val="0"/>
        <w:pageBreakBefore w:val="0"/>
        <w:widowControl w:val="0"/>
        <w:numPr>
          <w:ilvl w:val="0"/>
          <w:numId w:val="0"/>
        </w:numPr>
        <w:kinsoku/>
        <w:wordWrap/>
        <w:overflowPunct/>
        <w:topLinePunct w:val="0"/>
        <w:autoSpaceDE/>
        <w:autoSpaceDN/>
        <w:bidi w:val="0"/>
        <w:adjustRightInd w:val="0"/>
        <w:snapToGrid w:val="0"/>
        <w:spacing w:before="0" w:beforeLines="100" w:line="240" w:lineRule="auto"/>
        <w:ind w:leftChars="0"/>
        <w:jc w:val="center"/>
        <w:textAlignment w:val="auto"/>
        <w:rPr>
          <w:rFonts w:hint="eastAsia" w:ascii="仿宋" w:hAnsi="仿宋" w:eastAsia="仿宋" w:cs="仿宋"/>
          <w:b/>
          <w:bCs w:val="0"/>
          <w:color w:val="auto"/>
          <w:sz w:val="36"/>
          <w:szCs w:val="36"/>
          <w:highlight w:val="none"/>
          <w:lang w:eastAsia="zh-CN"/>
        </w:rPr>
      </w:pPr>
      <w:r>
        <w:rPr>
          <w:rFonts w:hint="eastAsia" w:ascii="仿宋" w:hAnsi="仿宋" w:eastAsia="仿宋" w:cs="仿宋"/>
          <w:b/>
          <w:bCs/>
          <w:color w:val="auto"/>
          <w:kern w:val="2"/>
          <w:sz w:val="40"/>
          <w:szCs w:val="40"/>
          <w:highlight w:val="none"/>
          <w:lang w:val="en-US" w:eastAsia="zh-CN" w:bidi="ar-SA"/>
        </w:rPr>
        <w:t xml:space="preserve">第四章  </w:t>
      </w:r>
      <w:r>
        <w:rPr>
          <w:rFonts w:hint="eastAsia" w:ascii="仿宋" w:hAnsi="仿宋" w:eastAsia="仿宋" w:cs="仿宋"/>
          <w:b/>
          <w:bCs w:val="0"/>
          <w:color w:val="auto"/>
          <w:sz w:val="36"/>
          <w:szCs w:val="36"/>
          <w:highlight w:val="none"/>
          <w:lang w:val="en-US" w:eastAsia="zh-CN"/>
        </w:rPr>
        <w:t>合同条款及格式</w:t>
      </w:r>
      <w:r>
        <w:rPr>
          <w:rFonts w:hint="eastAsia" w:ascii="仿宋" w:hAnsi="仿宋" w:eastAsia="仿宋" w:cs="仿宋"/>
          <w:b/>
          <w:bCs w:val="0"/>
          <w:color w:val="auto"/>
          <w:sz w:val="36"/>
          <w:szCs w:val="36"/>
          <w:highlight w:val="none"/>
          <w:lang w:eastAsia="zh-CN"/>
        </w:rPr>
        <w:t>（</w:t>
      </w:r>
      <w:r>
        <w:rPr>
          <w:rFonts w:hint="eastAsia" w:ascii="仿宋" w:hAnsi="仿宋" w:eastAsia="仿宋" w:cs="仿宋"/>
          <w:b/>
          <w:bCs/>
          <w:color w:val="auto"/>
          <w:spacing w:val="9"/>
          <w:sz w:val="36"/>
          <w:szCs w:val="36"/>
          <w:highlight w:val="none"/>
          <w:lang w:val="en-US" w:eastAsia="zh-CN"/>
        </w:rPr>
        <w:t>参考范本</w:t>
      </w:r>
      <w:r>
        <w:rPr>
          <w:rFonts w:hint="eastAsia" w:ascii="仿宋" w:hAnsi="仿宋" w:eastAsia="仿宋" w:cs="仿宋"/>
          <w:b/>
          <w:bCs w:val="0"/>
          <w:color w:val="auto"/>
          <w:sz w:val="36"/>
          <w:szCs w:val="36"/>
          <w:highlight w:val="none"/>
          <w:lang w:eastAsia="zh-CN"/>
        </w:rPr>
        <w:t>）</w:t>
      </w:r>
    </w:p>
    <w:p w14:paraId="402F07A0">
      <w:pPr>
        <w:spacing w:before="218" w:line="480" w:lineRule="auto"/>
        <w:jc w:val="left"/>
        <w:rPr>
          <w:rFonts w:hint="eastAsia" w:ascii="仿宋" w:hAnsi="仿宋" w:eastAsia="仿宋" w:cs="仿宋"/>
          <w:color w:val="auto"/>
          <w:sz w:val="24"/>
          <w:highlight w:val="none"/>
        </w:rPr>
      </w:pPr>
    </w:p>
    <w:p w14:paraId="20601B02">
      <w:pPr>
        <w:spacing w:before="218" w:line="360" w:lineRule="auto"/>
        <w:ind w:firstLine="480" w:firstLineChars="200"/>
        <w:jc w:val="left"/>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lang w:val="en-US" w:eastAsia="zh-CN"/>
        </w:rPr>
        <w:t xml:space="preserve">                     </w:t>
      </w:r>
    </w:p>
    <w:p w14:paraId="2C8A47CB">
      <w:pPr>
        <w:keepNext w:val="0"/>
        <w:keepLines w:val="0"/>
        <w:pageBreakBefore w:val="0"/>
        <w:widowControl w:val="0"/>
        <w:kinsoku/>
        <w:wordWrap/>
        <w:overflowPunct/>
        <w:topLinePunct w:val="0"/>
        <w:autoSpaceDE/>
        <w:autoSpaceDN/>
        <w:bidi w:val="0"/>
        <w:adjustRightInd/>
        <w:snapToGrid/>
        <w:spacing w:before="291" w:line="300" w:lineRule="auto"/>
        <w:ind w:left="6030"/>
        <w:textAlignment w:val="auto"/>
        <w:rPr>
          <w:rFonts w:hint="eastAsia" w:ascii="仿宋" w:hAnsi="仿宋" w:eastAsia="仿宋" w:cs="仿宋"/>
          <w:color w:val="auto"/>
          <w:spacing w:val="-4"/>
          <w:sz w:val="24"/>
          <w:szCs w:val="24"/>
          <w:highlight w:val="none"/>
        </w:rPr>
      </w:pPr>
    </w:p>
    <w:p w14:paraId="64CD6381">
      <w:pPr>
        <w:pStyle w:val="14"/>
        <w:spacing w:before="150" w:line="187" w:lineRule="auto"/>
        <w:jc w:val="both"/>
        <w:outlineLvl w:val="0"/>
        <w:rPr>
          <w:rFonts w:hint="eastAsia" w:ascii="仿宋" w:hAnsi="仿宋" w:eastAsia="仿宋" w:cs="仿宋"/>
          <w:b/>
          <w:bCs/>
          <w:color w:val="auto"/>
          <w:spacing w:val="9"/>
          <w:sz w:val="32"/>
          <w:szCs w:val="32"/>
          <w:highlight w:val="none"/>
        </w:rPr>
      </w:pPr>
    </w:p>
    <w:p w14:paraId="4F7D6100">
      <w:pPr>
        <w:pStyle w:val="14"/>
        <w:spacing w:before="150" w:line="187" w:lineRule="auto"/>
        <w:jc w:val="center"/>
        <w:outlineLvl w:val="0"/>
        <w:rPr>
          <w:rFonts w:hint="eastAsia" w:ascii="仿宋" w:hAnsi="仿宋" w:eastAsia="仿宋" w:cs="仿宋"/>
          <w:b/>
          <w:bCs/>
          <w:color w:val="auto"/>
          <w:spacing w:val="9"/>
          <w:sz w:val="32"/>
          <w:szCs w:val="32"/>
          <w:highlight w:val="none"/>
        </w:rPr>
      </w:pPr>
    </w:p>
    <w:p w14:paraId="405EFE01">
      <w:pPr>
        <w:pStyle w:val="14"/>
        <w:spacing w:before="150" w:line="187" w:lineRule="auto"/>
        <w:jc w:val="center"/>
        <w:outlineLvl w:val="0"/>
        <w:rPr>
          <w:rFonts w:hint="eastAsia" w:ascii="仿宋" w:hAnsi="仿宋" w:eastAsia="仿宋" w:cs="仿宋"/>
          <w:color w:val="auto"/>
          <w:sz w:val="32"/>
          <w:szCs w:val="32"/>
          <w:highlight w:val="none"/>
        </w:rPr>
      </w:pPr>
      <w:r>
        <w:rPr>
          <w:rFonts w:hint="eastAsia" w:ascii="仿宋" w:hAnsi="仿宋" w:eastAsia="仿宋" w:cs="仿宋"/>
          <w:b/>
          <w:bCs/>
          <w:color w:val="auto"/>
          <w:spacing w:val="9"/>
          <w:sz w:val="32"/>
          <w:szCs w:val="32"/>
          <w:highlight w:val="none"/>
        </w:rPr>
        <w:t>政府采购合同</w:t>
      </w:r>
    </w:p>
    <w:p w14:paraId="34D48003">
      <w:pPr>
        <w:pStyle w:val="14"/>
        <w:spacing w:before="234" w:line="225" w:lineRule="auto"/>
        <w:jc w:val="center"/>
        <w:rPr>
          <w:rFonts w:hint="eastAsia" w:ascii="仿宋" w:hAnsi="仿宋" w:eastAsia="仿宋" w:cs="仿宋"/>
          <w:color w:val="auto"/>
          <w:sz w:val="24"/>
          <w:szCs w:val="24"/>
          <w:highlight w:val="none"/>
        </w:rPr>
      </w:pPr>
    </w:p>
    <w:p w14:paraId="403E0D1F">
      <w:pPr>
        <w:spacing w:line="289" w:lineRule="auto"/>
        <w:rPr>
          <w:rFonts w:hint="eastAsia" w:ascii="仿宋" w:hAnsi="仿宋" w:eastAsia="仿宋" w:cs="仿宋"/>
          <w:color w:val="auto"/>
          <w:sz w:val="21"/>
          <w:highlight w:val="none"/>
        </w:rPr>
      </w:pPr>
    </w:p>
    <w:p w14:paraId="0DBE0D3C">
      <w:pPr>
        <w:spacing w:line="290" w:lineRule="auto"/>
        <w:rPr>
          <w:rFonts w:hint="eastAsia" w:ascii="仿宋" w:hAnsi="仿宋" w:eastAsia="仿宋" w:cs="仿宋"/>
          <w:color w:val="auto"/>
          <w:sz w:val="21"/>
          <w:highlight w:val="none"/>
        </w:rPr>
      </w:pPr>
    </w:p>
    <w:p w14:paraId="666F10AA">
      <w:pPr>
        <w:spacing w:line="290" w:lineRule="auto"/>
        <w:rPr>
          <w:rFonts w:hint="eastAsia" w:ascii="仿宋" w:hAnsi="仿宋" w:eastAsia="仿宋" w:cs="仿宋"/>
          <w:color w:val="auto"/>
          <w:sz w:val="21"/>
          <w:highlight w:val="none"/>
        </w:rPr>
      </w:pPr>
    </w:p>
    <w:p w14:paraId="4A0F1FDF">
      <w:pPr>
        <w:spacing w:line="290" w:lineRule="auto"/>
        <w:rPr>
          <w:rFonts w:hint="eastAsia" w:ascii="仿宋" w:hAnsi="仿宋" w:eastAsia="仿宋" w:cs="仿宋"/>
          <w:color w:val="auto"/>
          <w:sz w:val="21"/>
          <w:highlight w:val="none"/>
        </w:rPr>
      </w:pPr>
    </w:p>
    <w:p w14:paraId="01F92782">
      <w:pPr>
        <w:spacing w:line="243" w:lineRule="auto"/>
        <w:rPr>
          <w:rFonts w:hint="eastAsia" w:ascii="仿宋" w:hAnsi="仿宋" w:eastAsia="仿宋" w:cs="仿宋"/>
          <w:color w:val="auto"/>
          <w:sz w:val="21"/>
          <w:highlight w:val="none"/>
        </w:rPr>
      </w:pPr>
    </w:p>
    <w:p w14:paraId="681899A9">
      <w:pPr>
        <w:spacing w:line="244" w:lineRule="auto"/>
        <w:rPr>
          <w:rFonts w:hint="eastAsia" w:ascii="仿宋" w:hAnsi="仿宋" w:eastAsia="仿宋" w:cs="仿宋"/>
          <w:color w:val="auto"/>
          <w:sz w:val="21"/>
          <w:highlight w:val="none"/>
        </w:rPr>
      </w:pPr>
    </w:p>
    <w:p w14:paraId="3FA2B386">
      <w:pPr>
        <w:spacing w:line="244" w:lineRule="auto"/>
        <w:rPr>
          <w:rFonts w:hint="eastAsia" w:ascii="仿宋" w:hAnsi="仿宋" w:eastAsia="仿宋" w:cs="仿宋"/>
          <w:color w:val="auto"/>
          <w:sz w:val="21"/>
          <w:highlight w:val="none"/>
        </w:rPr>
      </w:pPr>
    </w:p>
    <w:p w14:paraId="2B77EB66">
      <w:pPr>
        <w:spacing w:line="244" w:lineRule="auto"/>
        <w:rPr>
          <w:rFonts w:hint="eastAsia" w:ascii="仿宋" w:hAnsi="仿宋" w:eastAsia="仿宋" w:cs="仿宋"/>
          <w:color w:val="auto"/>
          <w:sz w:val="21"/>
          <w:highlight w:val="none"/>
        </w:rPr>
      </w:pPr>
    </w:p>
    <w:p w14:paraId="7B65EF31">
      <w:pPr>
        <w:spacing w:line="244" w:lineRule="auto"/>
        <w:rPr>
          <w:rFonts w:hint="eastAsia" w:ascii="仿宋" w:hAnsi="仿宋" w:eastAsia="仿宋" w:cs="仿宋"/>
          <w:color w:val="auto"/>
          <w:sz w:val="21"/>
          <w:highlight w:val="none"/>
        </w:rPr>
      </w:pPr>
    </w:p>
    <w:p w14:paraId="3E55344D">
      <w:pPr>
        <w:keepNext w:val="0"/>
        <w:keepLines w:val="0"/>
        <w:pageBreakBefore w:val="0"/>
        <w:widowControl w:val="0"/>
        <w:kinsoku/>
        <w:wordWrap/>
        <w:overflowPunct/>
        <w:topLinePunct w:val="0"/>
        <w:autoSpaceDE/>
        <w:autoSpaceDN/>
        <w:bidi w:val="0"/>
        <w:adjustRightInd/>
        <w:snapToGrid/>
        <w:spacing w:before="120" w:line="552" w:lineRule="auto"/>
        <w:ind w:left="96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7421EA6">
      <w:pPr>
        <w:keepNext w:val="0"/>
        <w:keepLines w:val="0"/>
        <w:pageBreakBefore w:val="0"/>
        <w:widowControl w:val="0"/>
        <w:kinsoku/>
        <w:wordWrap/>
        <w:overflowPunct/>
        <w:topLinePunct w:val="0"/>
        <w:autoSpaceDE/>
        <w:autoSpaceDN/>
        <w:bidi w:val="0"/>
        <w:adjustRightInd/>
        <w:snapToGrid/>
        <w:spacing w:before="120" w:line="552" w:lineRule="auto"/>
        <w:ind w:left="96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方：</w:t>
      </w:r>
      <w:r>
        <w:rPr>
          <w:rFonts w:hint="eastAsia" w:ascii="仿宋" w:hAnsi="仿宋" w:eastAsia="仿宋" w:cs="仿宋"/>
          <w:color w:val="auto"/>
          <w:sz w:val="24"/>
          <w:highlight w:val="none"/>
          <w:u w:val="single"/>
        </w:rPr>
        <w:t xml:space="preserve">                                       </w:t>
      </w:r>
    </w:p>
    <w:p w14:paraId="56743E23">
      <w:pPr>
        <w:keepNext w:val="0"/>
        <w:keepLines w:val="0"/>
        <w:pageBreakBefore w:val="0"/>
        <w:widowControl w:val="0"/>
        <w:kinsoku/>
        <w:wordWrap/>
        <w:overflowPunct/>
        <w:topLinePunct w:val="0"/>
        <w:autoSpaceDE/>
        <w:autoSpaceDN/>
        <w:bidi w:val="0"/>
        <w:adjustRightInd/>
        <w:snapToGrid/>
        <w:spacing w:before="120" w:line="552" w:lineRule="auto"/>
        <w:ind w:left="96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方：</w:t>
      </w:r>
      <w:r>
        <w:rPr>
          <w:rFonts w:hint="eastAsia" w:ascii="仿宋" w:hAnsi="仿宋" w:eastAsia="仿宋" w:cs="仿宋"/>
          <w:color w:val="auto"/>
          <w:sz w:val="24"/>
          <w:highlight w:val="none"/>
          <w:u w:val="single"/>
        </w:rPr>
        <w:t xml:space="preserve">                                       </w:t>
      </w:r>
    </w:p>
    <w:p w14:paraId="246C82A8">
      <w:pPr>
        <w:keepNext w:val="0"/>
        <w:keepLines w:val="0"/>
        <w:pageBreakBefore w:val="0"/>
        <w:widowControl w:val="0"/>
        <w:kinsoku/>
        <w:wordWrap/>
        <w:overflowPunct/>
        <w:topLinePunct w:val="0"/>
        <w:autoSpaceDE/>
        <w:autoSpaceDN/>
        <w:bidi w:val="0"/>
        <w:adjustRightInd/>
        <w:snapToGrid/>
        <w:spacing w:before="120" w:line="552" w:lineRule="auto"/>
        <w:ind w:firstLine="960" w:firstLineChars="4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签</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订</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F091588">
      <w:pPr>
        <w:keepNext w:val="0"/>
        <w:keepLines w:val="0"/>
        <w:pageBreakBefore w:val="0"/>
        <w:widowControl w:val="0"/>
        <w:kinsoku/>
        <w:wordWrap/>
        <w:overflowPunct/>
        <w:topLinePunct w:val="0"/>
        <w:autoSpaceDE/>
        <w:autoSpaceDN/>
        <w:bidi w:val="0"/>
        <w:adjustRightInd/>
        <w:snapToGrid/>
        <w:spacing w:line="552" w:lineRule="auto"/>
        <w:ind w:firstLine="960" w:firstLineChars="400"/>
        <w:jc w:val="left"/>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 xml:space="preserve"> </w:t>
      </w:r>
    </w:p>
    <w:p w14:paraId="1A2C81E8">
      <w:pPr>
        <w:jc w:val="center"/>
        <w:rPr>
          <w:rFonts w:hint="eastAsia" w:ascii="仿宋" w:hAnsi="仿宋" w:eastAsia="仿宋" w:cs="仿宋"/>
          <w:b/>
          <w:bCs/>
          <w:color w:val="auto"/>
          <w:sz w:val="24"/>
          <w:szCs w:val="24"/>
          <w:highlight w:val="none"/>
          <w:lang w:eastAsia="zh-CN"/>
        </w:rPr>
      </w:pPr>
    </w:p>
    <w:bookmarkEnd w:id="113"/>
    <w:bookmarkEnd w:id="114"/>
    <w:bookmarkEnd w:id="115"/>
    <w:bookmarkEnd w:id="116"/>
    <w:p w14:paraId="02E0AC08">
      <w:pPr>
        <w:spacing w:before="169" w:line="600" w:lineRule="auto"/>
        <w:jc w:val="center"/>
        <w:rPr>
          <w:rFonts w:hint="eastAsia" w:ascii="仿宋" w:hAnsi="仿宋" w:eastAsia="仿宋" w:cs="仿宋"/>
          <w:color w:val="auto"/>
          <w:sz w:val="30"/>
          <w:szCs w:val="30"/>
          <w:highlight w:val="none"/>
        </w:rPr>
      </w:pPr>
      <w:r>
        <w:rPr>
          <w:rFonts w:hint="eastAsia" w:ascii="仿宋" w:hAnsi="仿宋" w:eastAsia="仿宋" w:cs="仿宋"/>
          <w:b/>
          <w:bCs/>
          <w:color w:val="auto"/>
          <w:spacing w:val="-9"/>
          <w:sz w:val="30"/>
          <w:szCs w:val="30"/>
          <w:highlight w:val="none"/>
        </w:rPr>
        <w:t>安保服务合同书</w:t>
      </w:r>
    </w:p>
    <w:p w14:paraId="72E5A7F2">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jc w:val="center"/>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8"/>
          <w:szCs w:val="28"/>
          <w:highlight w:val="none"/>
        </w:rPr>
        <w:t>第一章</w:t>
      </w:r>
      <w:r>
        <w:rPr>
          <w:rFonts w:hint="eastAsia" w:ascii="仿宋" w:hAnsi="仿宋" w:eastAsia="仿宋" w:cs="仿宋"/>
          <w:color w:val="auto"/>
          <w:spacing w:val="9"/>
          <w:sz w:val="28"/>
          <w:szCs w:val="28"/>
          <w:highlight w:val="none"/>
        </w:rPr>
        <w:t xml:space="preserve">  </w:t>
      </w:r>
      <w:r>
        <w:rPr>
          <w:rFonts w:hint="eastAsia" w:ascii="仿宋" w:hAnsi="仿宋" w:eastAsia="仿宋" w:cs="仿宋"/>
          <w:b/>
          <w:bCs/>
          <w:color w:val="auto"/>
          <w:spacing w:val="-8"/>
          <w:sz w:val="28"/>
          <w:szCs w:val="28"/>
          <w:highlight w:val="none"/>
        </w:rPr>
        <w:t>总则</w:t>
      </w:r>
    </w:p>
    <w:p w14:paraId="01C7A511">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第一条 合同双方</w:t>
      </w:r>
    </w:p>
    <w:p w14:paraId="00DEACA1">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0" w:firstLineChars="100"/>
        <w:textAlignment w:val="baseline"/>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pacing w:val="-5"/>
          <w:sz w:val="24"/>
          <w:szCs w:val="24"/>
          <w:highlight w:val="none"/>
        </w:rPr>
        <w:t>甲方：</w:t>
      </w:r>
      <w:r>
        <w:rPr>
          <w:rFonts w:hint="eastAsia" w:ascii="仿宋" w:hAnsi="仿宋" w:eastAsia="仿宋" w:cs="仿宋"/>
          <w:color w:val="auto"/>
          <w:spacing w:val="-5"/>
          <w:sz w:val="24"/>
          <w:szCs w:val="24"/>
          <w:highlight w:val="none"/>
          <w:u w:val="single"/>
          <w:lang w:val="en-US" w:eastAsia="zh-CN"/>
        </w:rPr>
        <w:t xml:space="preserve">                              </w:t>
      </w:r>
    </w:p>
    <w:p w14:paraId="361F7417">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2" w:firstLineChars="1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rPr>
        <w:t>地址：</w:t>
      </w:r>
      <w:r>
        <w:rPr>
          <w:rFonts w:hint="eastAsia" w:ascii="仿宋" w:hAnsi="仿宋" w:eastAsia="仿宋" w:cs="仿宋"/>
          <w:color w:val="auto"/>
          <w:spacing w:val="-5"/>
          <w:sz w:val="24"/>
          <w:szCs w:val="24"/>
          <w:highlight w:val="none"/>
          <w:u w:val="single"/>
          <w:lang w:val="en-US" w:eastAsia="zh-CN"/>
        </w:rPr>
        <w:t xml:space="preserve">                              </w:t>
      </w:r>
      <w:r>
        <w:rPr>
          <w:rFonts w:hint="eastAsia" w:ascii="仿宋" w:hAnsi="仿宋" w:eastAsia="仿宋" w:cs="仿宋"/>
          <w:color w:val="auto"/>
          <w:spacing w:val="-4"/>
          <w:sz w:val="24"/>
          <w:szCs w:val="24"/>
          <w:highlight w:val="none"/>
          <w:lang w:val="en-US" w:eastAsia="zh-CN"/>
        </w:rPr>
        <w:t xml:space="preserve"> </w:t>
      </w:r>
    </w:p>
    <w:p w14:paraId="2AF68232">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4" w:firstLineChars="1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电话：</w:t>
      </w:r>
      <w:r>
        <w:rPr>
          <w:rFonts w:hint="eastAsia" w:ascii="仿宋" w:hAnsi="仿宋" w:eastAsia="仿宋" w:cs="仿宋"/>
          <w:color w:val="auto"/>
          <w:spacing w:val="-5"/>
          <w:sz w:val="24"/>
          <w:szCs w:val="24"/>
          <w:highlight w:val="none"/>
          <w:u w:val="single"/>
          <w:lang w:val="en-US" w:eastAsia="zh-CN"/>
        </w:rPr>
        <w:t xml:space="preserve">                              </w:t>
      </w:r>
      <w:r>
        <w:rPr>
          <w:rFonts w:hint="eastAsia" w:ascii="仿宋" w:hAnsi="仿宋" w:eastAsia="仿宋" w:cs="仿宋"/>
          <w:color w:val="auto"/>
          <w:spacing w:val="-3"/>
          <w:sz w:val="24"/>
          <w:szCs w:val="24"/>
          <w:highlight w:val="none"/>
          <w:lang w:val="en-US" w:eastAsia="zh-CN"/>
        </w:rPr>
        <w:t xml:space="preserve"> </w:t>
      </w:r>
    </w:p>
    <w:p w14:paraId="3A80C2CE">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14"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3"/>
          <w:sz w:val="24"/>
          <w:szCs w:val="24"/>
          <w:highlight w:val="none"/>
        </w:rPr>
        <w:t>乙方：</w:t>
      </w:r>
      <w:r>
        <w:rPr>
          <w:rFonts w:hint="eastAsia" w:ascii="仿宋" w:hAnsi="仿宋" w:eastAsia="仿宋" w:cs="仿宋"/>
          <w:color w:val="auto"/>
          <w:spacing w:val="-5"/>
          <w:sz w:val="24"/>
          <w:szCs w:val="24"/>
          <w:highlight w:val="none"/>
          <w:u w:val="single"/>
          <w:lang w:val="en-US" w:eastAsia="zh-CN"/>
        </w:rPr>
        <w:t xml:space="preserve">                               </w:t>
      </w:r>
    </w:p>
    <w:p w14:paraId="11A9C9A7">
      <w:pPr>
        <w:keepNext w:val="0"/>
        <w:keepLines w:val="0"/>
        <w:pageBreakBefore w:val="0"/>
        <w:widowControl/>
        <w:kinsoku w:val="0"/>
        <w:wordWrap/>
        <w:overflowPunct/>
        <w:topLinePunct w:val="0"/>
        <w:autoSpaceDE w:val="0"/>
        <w:autoSpaceDN w:val="0"/>
        <w:bidi w:val="0"/>
        <w:adjustRightInd w:val="0"/>
        <w:snapToGrid w:val="0"/>
        <w:spacing w:line="300" w:lineRule="auto"/>
        <w:ind w:left="457" w:leftChars="107" w:right="0" w:hanging="232" w:hangingChars="1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4"/>
          <w:sz w:val="24"/>
          <w:szCs w:val="24"/>
          <w:highlight w:val="none"/>
        </w:rPr>
        <w:t>地址：</w:t>
      </w:r>
      <w:r>
        <w:rPr>
          <w:rFonts w:hint="eastAsia" w:ascii="仿宋" w:hAnsi="仿宋" w:eastAsia="仿宋" w:cs="仿宋"/>
          <w:color w:val="auto"/>
          <w:spacing w:val="-5"/>
          <w:sz w:val="24"/>
          <w:szCs w:val="24"/>
          <w:highlight w:val="none"/>
          <w:u w:val="single"/>
          <w:lang w:val="en-US" w:eastAsia="zh-CN"/>
        </w:rPr>
        <w:t xml:space="preserve">                              </w:t>
      </w:r>
    </w:p>
    <w:p w14:paraId="16BDC6C0">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10" w:firstLineChars="1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15"/>
          <w:sz w:val="24"/>
          <w:szCs w:val="24"/>
          <w:highlight w:val="none"/>
        </w:rPr>
        <w:t>电话：</w:t>
      </w:r>
      <w:r>
        <w:rPr>
          <w:rFonts w:hint="eastAsia" w:ascii="仿宋" w:hAnsi="仿宋" w:eastAsia="仿宋" w:cs="仿宋"/>
          <w:color w:val="auto"/>
          <w:spacing w:val="-5"/>
          <w:sz w:val="24"/>
          <w:szCs w:val="24"/>
          <w:highlight w:val="none"/>
          <w:u w:val="single"/>
          <w:lang w:val="en-US" w:eastAsia="zh-CN"/>
        </w:rPr>
        <w:t xml:space="preserve">                               </w:t>
      </w:r>
    </w:p>
    <w:p w14:paraId="306E3EEF">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center"/>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8"/>
          <w:szCs w:val="28"/>
          <w:highlight w:val="none"/>
        </w:rPr>
        <w:t>第二章</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合同范围、期限</w:t>
      </w:r>
    </w:p>
    <w:p w14:paraId="61FD9BB4">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第二条 合同签订</w:t>
      </w:r>
    </w:p>
    <w:p w14:paraId="1380B9E8">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0" w:firstLineChars="1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甲方为保安服务需求方，乙方为持有新疆维吾尔自治区公安厅核</w:t>
      </w:r>
      <w:r>
        <w:rPr>
          <w:rFonts w:hint="eastAsia" w:ascii="仿宋" w:hAnsi="仿宋" w:eastAsia="仿宋" w:cs="仿宋"/>
          <w:color w:val="auto"/>
          <w:spacing w:val="-4"/>
          <w:sz w:val="24"/>
          <w:szCs w:val="24"/>
          <w:highlight w:val="none"/>
        </w:rPr>
        <w:t>发的《保安服务许可证》的保安企业，根据《中华人民共和国</w:t>
      </w:r>
      <w:r>
        <w:rPr>
          <w:rFonts w:hint="eastAsia" w:ascii="仿宋" w:hAnsi="仿宋" w:eastAsia="仿宋" w:cs="仿宋"/>
          <w:color w:val="auto"/>
          <w:spacing w:val="-3"/>
          <w:sz w:val="24"/>
          <w:szCs w:val="24"/>
          <w:highlight w:val="none"/>
        </w:rPr>
        <w:t>民法典》、《中华人民共和国劳动法》、《</w:t>
      </w:r>
      <w:r>
        <w:rPr>
          <w:rFonts w:hint="eastAsia" w:ascii="仿宋" w:hAnsi="仿宋" w:eastAsia="仿宋" w:cs="仿宋"/>
          <w:color w:val="auto"/>
          <w:spacing w:val="-4"/>
          <w:sz w:val="24"/>
          <w:szCs w:val="24"/>
          <w:highlight w:val="none"/>
        </w:rPr>
        <w:t>保安服务管理条例》和国</w:t>
      </w:r>
      <w:r>
        <w:rPr>
          <w:rFonts w:hint="eastAsia" w:ascii="仿宋" w:hAnsi="仿宋" w:eastAsia="仿宋" w:cs="仿宋"/>
          <w:color w:val="auto"/>
          <w:spacing w:val="-1"/>
          <w:sz w:val="24"/>
          <w:szCs w:val="24"/>
          <w:highlight w:val="none"/>
        </w:rPr>
        <w:t>家有关法律、法规，经平等协商，签订本合同。</w:t>
      </w:r>
    </w:p>
    <w:p w14:paraId="78DF8E6A">
      <w:pPr>
        <w:keepNext w:val="0"/>
        <w:keepLines w:val="0"/>
        <w:pageBreakBefore w:val="0"/>
        <w:widowControl/>
        <w:numPr>
          <w:ilvl w:val="0"/>
          <w:numId w:val="7"/>
        </w:numPr>
        <w:kinsoku w:val="0"/>
        <w:wordWrap/>
        <w:overflowPunct/>
        <w:topLinePunct w:val="0"/>
        <w:autoSpaceDE w:val="0"/>
        <w:autoSpaceDN w:val="0"/>
        <w:bidi w:val="0"/>
        <w:adjustRightInd w:val="0"/>
        <w:snapToGrid w:val="0"/>
        <w:spacing w:line="300" w:lineRule="auto"/>
        <w:ind w:left="0" w:leftChars="0" w:right="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4"/>
          <w:sz w:val="24"/>
          <w:szCs w:val="24"/>
          <w:highlight w:val="none"/>
        </w:rPr>
        <w:t>合同范围</w:t>
      </w:r>
    </w:p>
    <w:p w14:paraId="168AC9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auto"/>
        <w:ind w:left="0" w:leftChars="0" w:right="0" w:firstLine="236"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（一）、保安服务内容</w:t>
      </w:r>
    </w:p>
    <w:p w14:paraId="1E9CA413">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476"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1、甲方聘请乙方提供保安服务，乙方派驻保安员</w:t>
      </w:r>
      <w:r>
        <w:rPr>
          <w:rFonts w:hint="eastAsia" w:ascii="仿宋" w:hAnsi="仿宋" w:eastAsia="仿宋" w:cs="仿宋"/>
          <w:color w:val="auto"/>
          <w:spacing w:val="-2"/>
          <w:sz w:val="24"/>
          <w:szCs w:val="24"/>
          <w:highlight w:val="none"/>
        </w:rPr>
        <w:t>对双方确认的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目标、区域做好防火、防盗、防破坏等保卫工作，维护甲方</w:t>
      </w:r>
      <w:r>
        <w:rPr>
          <w:rFonts w:hint="eastAsia" w:ascii="仿宋" w:hAnsi="仿宋" w:eastAsia="仿宋" w:cs="仿宋"/>
          <w:color w:val="auto"/>
          <w:spacing w:val="-5"/>
          <w:sz w:val="24"/>
          <w:szCs w:val="24"/>
          <w:highlight w:val="none"/>
        </w:rPr>
        <w:t>经营场所</w:t>
      </w:r>
      <w:r>
        <w:rPr>
          <w:rFonts w:hint="eastAsia" w:ascii="仿宋" w:hAnsi="仿宋" w:eastAsia="仿宋" w:cs="仿宋"/>
          <w:color w:val="auto"/>
          <w:spacing w:val="-2"/>
          <w:sz w:val="24"/>
          <w:szCs w:val="24"/>
          <w:highlight w:val="none"/>
        </w:rPr>
        <w:t>的安全秩序和代替甲方收取相关费用并及时上交给甲方。</w:t>
      </w:r>
    </w:p>
    <w:p w14:paraId="38721E74">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46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2、乙方保安员的具体执勤岗位、职责范围和勤务安排，由甲乙双</w:t>
      </w:r>
      <w:r>
        <w:rPr>
          <w:rFonts w:hint="eastAsia" w:ascii="仿宋" w:hAnsi="仿宋" w:eastAsia="仿宋" w:cs="仿宋"/>
          <w:color w:val="auto"/>
          <w:spacing w:val="-1"/>
          <w:sz w:val="24"/>
          <w:szCs w:val="24"/>
          <w:highlight w:val="none"/>
        </w:rPr>
        <w:t>方在法律法规允许的范围内协商确定。</w:t>
      </w:r>
    </w:p>
    <w:p w14:paraId="45E49B15">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3、乙方为甲方制定的服务场所提供</w:t>
      </w:r>
      <w:r>
        <w:rPr>
          <w:rFonts w:hint="eastAsia" w:ascii="仿宋" w:hAnsi="仿宋" w:eastAsia="仿宋" w:cs="仿宋"/>
          <w:b w:val="0"/>
          <w:bCs w:val="0"/>
          <w:color w:val="auto"/>
          <w:sz w:val="24"/>
          <w:szCs w:val="24"/>
          <w:highlight w:val="none"/>
          <w:lang w:val="en-US" w:eastAsia="zh-CN"/>
        </w:rPr>
        <w:t>电动巡逻电动车</w:t>
      </w:r>
      <w:r>
        <w:rPr>
          <w:rFonts w:hint="eastAsia" w:ascii="仿宋" w:hAnsi="仿宋" w:eastAsia="仿宋" w:cs="仿宋"/>
          <w:color w:val="auto"/>
          <w:spacing w:val="-1"/>
          <w:sz w:val="24"/>
          <w:szCs w:val="24"/>
          <w:highlight w:val="none"/>
          <w:lang w:val="en-US" w:eastAsia="zh-CN"/>
        </w:rPr>
        <w:t>三</w:t>
      </w:r>
      <w:r>
        <w:rPr>
          <w:rFonts w:hint="eastAsia" w:ascii="仿宋" w:hAnsi="仿宋" w:eastAsia="仿宋" w:cs="仿宋"/>
          <w:color w:val="auto"/>
          <w:spacing w:val="-1"/>
          <w:sz w:val="24"/>
          <w:szCs w:val="24"/>
          <w:highlight w:val="none"/>
        </w:rPr>
        <w:t>辆，每个岗位提供对讲机一台，提供所有保安必须的服装和必备的防卫性设备。</w:t>
      </w:r>
    </w:p>
    <w:p w14:paraId="457223C9">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8"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（二）、派驻保安员数量、服务期限和服务地点</w:t>
      </w:r>
    </w:p>
    <w:p w14:paraId="54408A26">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46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lang w:val="en-US" w:eastAsia="zh-CN"/>
        </w:rPr>
        <w:t>1、</w:t>
      </w:r>
      <w:r>
        <w:rPr>
          <w:rFonts w:hint="eastAsia" w:ascii="仿宋" w:hAnsi="仿宋" w:eastAsia="仿宋" w:cs="仿宋"/>
          <w:color w:val="auto"/>
          <w:spacing w:val="-4"/>
          <w:sz w:val="24"/>
          <w:szCs w:val="24"/>
          <w:highlight w:val="none"/>
        </w:rPr>
        <w:t>乙方向甲方派驻保安员共</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lang w:val="en-US" w:eastAsia="zh-CN"/>
        </w:rPr>
        <w:t xml:space="preserve">   </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124"/>
          <w:sz w:val="24"/>
          <w:szCs w:val="24"/>
          <w:highlight w:val="none"/>
        </w:rPr>
        <w:t xml:space="preserve"> </w:t>
      </w:r>
      <w:r>
        <w:rPr>
          <w:rFonts w:hint="eastAsia" w:ascii="仿宋" w:hAnsi="仿宋" w:eastAsia="仿宋" w:cs="仿宋"/>
          <w:color w:val="auto"/>
          <w:spacing w:val="-4"/>
          <w:sz w:val="24"/>
          <w:szCs w:val="24"/>
          <w:highlight w:val="none"/>
        </w:rPr>
        <w:t>名。</w:t>
      </w:r>
    </w:p>
    <w:p w14:paraId="7EAD3454">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436" w:firstLineChars="200"/>
        <w:textAlignment w:val="baseline"/>
        <w:rPr>
          <w:rFonts w:hint="eastAsia" w:ascii="仿宋" w:hAnsi="仿宋" w:eastAsia="仿宋" w:cs="仿宋"/>
          <w:color w:val="auto"/>
          <w:spacing w:val="-20"/>
          <w:sz w:val="24"/>
          <w:szCs w:val="24"/>
          <w:highlight w:val="none"/>
        </w:rPr>
      </w:pPr>
      <w:r>
        <w:rPr>
          <w:rFonts w:hint="eastAsia" w:ascii="仿宋" w:hAnsi="仿宋" w:eastAsia="仿宋" w:cs="仿宋"/>
          <w:color w:val="auto"/>
          <w:spacing w:val="-11"/>
          <w:sz w:val="24"/>
          <w:szCs w:val="24"/>
          <w:highlight w:val="none"/>
          <w:lang w:val="en-US" w:eastAsia="zh-CN"/>
        </w:rPr>
        <w:t>2、</w:t>
      </w:r>
      <w:r>
        <w:rPr>
          <w:rFonts w:hint="eastAsia" w:ascii="仿宋" w:hAnsi="仿宋" w:eastAsia="仿宋" w:cs="仿宋"/>
          <w:color w:val="auto"/>
          <w:spacing w:val="-11"/>
          <w:sz w:val="24"/>
          <w:szCs w:val="24"/>
          <w:highlight w:val="none"/>
        </w:rPr>
        <w:t>服务期限暂定</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11"/>
          <w:sz w:val="24"/>
          <w:szCs w:val="24"/>
          <w:highlight w:val="none"/>
          <w:u w:val="single" w:color="auto"/>
          <w:lang w:val="en-US" w:eastAsia="zh-CN"/>
        </w:rPr>
        <w:t xml:space="preserve">    </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122"/>
          <w:sz w:val="24"/>
          <w:szCs w:val="24"/>
          <w:highlight w:val="none"/>
        </w:rPr>
        <w:t xml:space="preserve"> </w:t>
      </w:r>
      <w:r>
        <w:rPr>
          <w:rFonts w:hint="eastAsia" w:ascii="仿宋" w:hAnsi="仿宋" w:eastAsia="仿宋" w:cs="仿宋"/>
          <w:color w:val="auto"/>
          <w:spacing w:val="-11"/>
          <w:sz w:val="24"/>
          <w:szCs w:val="24"/>
          <w:highlight w:val="none"/>
        </w:rPr>
        <w:t>月，自</w:t>
      </w:r>
      <w:r>
        <w:rPr>
          <w:rFonts w:hint="eastAsia" w:ascii="仿宋" w:hAnsi="仿宋" w:eastAsia="仿宋" w:cs="仿宋"/>
          <w:color w:val="auto"/>
          <w:spacing w:val="46"/>
          <w:sz w:val="24"/>
          <w:szCs w:val="24"/>
          <w:highlight w:val="none"/>
          <w:u w:val="single" w:color="auto"/>
        </w:rPr>
        <w:t xml:space="preserve"> </w:t>
      </w:r>
      <w:r>
        <w:rPr>
          <w:rFonts w:hint="eastAsia" w:ascii="仿宋" w:hAnsi="仿宋" w:eastAsia="仿宋" w:cs="仿宋"/>
          <w:color w:val="auto"/>
          <w:spacing w:val="46"/>
          <w:sz w:val="24"/>
          <w:szCs w:val="24"/>
          <w:highlight w:val="none"/>
          <w:u w:val="single" w:color="auto"/>
          <w:lang w:val="en-US" w:eastAsia="zh-CN"/>
        </w:rPr>
        <w:t xml:space="preserve"> </w:t>
      </w:r>
      <w:r>
        <w:rPr>
          <w:rFonts w:hint="eastAsia" w:ascii="仿宋" w:hAnsi="仿宋" w:eastAsia="仿宋" w:cs="仿宋"/>
          <w:color w:val="auto"/>
          <w:spacing w:val="46"/>
          <w:sz w:val="24"/>
          <w:szCs w:val="24"/>
          <w:highlight w:val="none"/>
          <w:u w:val="single" w:color="auto"/>
        </w:rPr>
        <w:t xml:space="preserve"> </w:t>
      </w:r>
      <w:r>
        <w:rPr>
          <w:rFonts w:hint="eastAsia" w:ascii="仿宋" w:hAnsi="仿宋" w:eastAsia="仿宋" w:cs="仿宋"/>
          <w:color w:val="auto"/>
          <w:spacing w:val="-127"/>
          <w:sz w:val="24"/>
          <w:szCs w:val="24"/>
          <w:highlight w:val="none"/>
        </w:rPr>
        <w:t xml:space="preserve"> </w:t>
      </w:r>
      <w:r>
        <w:rPr>
          <w:rFonts w:hint="eastAsia" w:ascii="仿宋" w:hAnsi="仿宋" w:eastAsia="仿宋" w:cs="仿宋"/>
          <w:color w:val="auto"/>
          <w:spacing w:val="-11"/>
          <w:sz w:val="24"/>
          <w:szCs w:val="24"/>
          <w:highlight w:val="none"/>
        </w:rPr>
        <w:t>年</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11"/>
          <w:sz w:val="24"/>
          <w:szCs w:val="24"/>
          <w:highlight w:val="none"/>
          <w:u w:val="single" w:color="auto"/>
          <w:lang w:val="en-US" w:eastAsia="zh-CN"/>
        </w:rPr>
        <w:t xml:space="preserve"> </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122"/>
          <w:sz w:val="24"/>
          <w:szCs w:val="24"/>
          <w:highlight w:val="none"/>
        </w:rPr>
        <w:t xml:space="preserve"> </w:t>
      </w:r>
      <w:r>
        <w:rPr>
          <w:rFonts w:hint="eastAsia" w:ascii="仿宋" w:hAnsi="仿宋" w:eastAsia="仿宋" w:cs="仿宋"/>
          <w:color w:val="auto"/>
          <w:spacing w:val="-11"/>
          <w:sz w:val="24"/>
          <w:szCs w:val="24"/>
          <w:highlight w:val="none"/>
        </w:rPr>
        <w:t>月</w:t>
      </w:r>
      <w:r>
        <w:rPr>
          <w:rFonts w:hint="eastAsia" w:ascii="仿宋" w:hAnsi="仿宋" w:eastAsia="仿宋" w:cs="仿宋"/>
          <w:color w:val="auto"/>
          <w:spacing w:val="138"/>
          <w:sz w:val="24"/>
          <w:szCs w:val="24"/>
          <w:highlight w:val="none"/>
          <w:u w:val="single" w:color="auto"/>
        </w:rPr>
        <w:t xml:space="preserve"> </w:t>
      </w:r>
      <w:r>
        <w:rPr>
          <w:rFonts w:hint="eastAsia" w:ascii="仿宋" w:hAnsi="仿宋" w:eastAsia="仿宋" w:cs="仿宋"/>
          <w:color w:val="auto"/>
          <w:spacing w:val="-80"/>
          <w:sz w:val="24"/>
          <w:szCs w:val="24"/>
          <w:highlight w:val="none"/>
        </w:rPr>
        <w:t xml:space="preserve"> </w:t>
      </w:r>
      <w:r>
        <w:rPr>
          <w:rFonts w:hint="eastAsia" w:ascii="仿宋" w:hAnsi="仿宋" w:eastAsia="仿宋" w:cs="仿宋"/>
          <w:color w:val="auto"/>
          <w:spacing w:val="-11"/>
          <w:sz w:val="24"/>
          <w:szCs w:val="24"/>
          <w:highlight w:val="none"/>
        </w:rPr>
        <w:t>日至</w:t>
      </w:r>
      <w:r>
        <w:rPr>
          <w:rFonts w:hint="eastAsia" w:ascii="仿宋" w:hAnsi="仿宋" w:eastAsia="仿宋" w:cs="仿宋"/>
          <w:color w:val="auto"/>
          <w:spacing w:val="46"/>
          <w:sz w:val="24"/>
          <w:szCs w:val="24"/>
          <w:highlight w:val="none"/>
          <w:u w:val="single" w:color="auto"/>
        </w:rPr>
        <w:t xml:space="preserve"> </w:t>
      </w:r>
      <w:r>
        <w:rPr>
          <w:rFonts w:hint="eastAsia" w:ascii="仿宋" w:hAnsi="仿宋" w:eastAsia="仿宋" w:cs="仿宋"/>
          <w:color w:val="auto"/>
          <w:spacing w:val="46"/>
          <w:sz w:val="24"/>
          <w:szCs w:val="24"/>
          <w:highlight w:val="none"/>
          <w:u w:val="single" w:color="auto"/>
          <w:lang w:val="en-US" w:eastAsia="zh-CN"/>
        </w:rPr>
        <w:t xml:space="preserve"> </w:t>
      </w:r>
      <w:r>
        <w:rPr>
          <w:rFonts w:hint="eastAsia" w:ascii="仿宋" w:hAnsi="仿宋" w:eastAsia="仿宋" w:cs="仿宋"/>
          <w:color w:val="auto"/>
          <w:spacing w:val="46"/>
          <w:sz w:val="24"/>
          <w:szCs w:val="24"/>
          <w:highlight w:val="none"/>
          <w:u w:val="single" w:color="auto"/>
        </w:rPr>
        <w:t xml:space="preserve"> </w:t>
      </w:r>
      <w:r>
        <w:rPr>
          <w:rFonts w:hint="eastAsia" w:ascii="仿宋" w:hAnsi="仿宋" w:eastAsia="仿宋" w:cs="仿宋"/>
          <w:color w:val="auto"/>
          <w:spacing w:val="-127"/>
          <w:sz w:val="24"/>
          <w:szCs w:val="24"/>
          <w:highlight w:val="none"/>
        </w:rPr>
        <w:t xml:space="preserve"> </w:t>
      </w:r>
      <w:r>
        <w:rPr>
          <w:rFonts w:hint="eastAsia" w:ascii="仿宋" w:hAnsi="仿宋" w:eastAsia="仿宋" w:cs="仿宋"/>
          <w:color w:val="auto"/>
          <w:spacing w:val="-12"/>
          <w:sz w:val="24"/>
          <w:szCs w:val="24"/>
          <w:highlight w:val="none"/>
        </w:rPr>
        <w:t>年</w:t>
      </w:r>
      <w:r>
        <w:rPr>
          <w:rFonts w:hint="eastAsia" w:ascii="仿宋" w:hAnsi="仿宋" w:eastAsia="仿宋" w:cs="仿宋"/>
          <w:color w:val="auto"/>
          <w:spacing w:val="138"/>
          <w:sz w:val="24"/>
          <w:szCs w:val="24"/>
          <w:highlight w:val="none"/>
          <w:u w:val="single" w:color="auto"/>
        </w:rPr>
        <w:t xml:space="preserve"> </w:t>
      </w:r>
      <w:r>
        <w:rPr>
          <w:rFonts w:hint="eastAsia" w:ascii="仿宋" w:hAnsi="仿宋" w:eastAsia="仿宋" w:cs="仿宋"/>
          <w:color w:val="auto"/>
          <w:spacing w:val="-122"/>
          <w:sz w:val="24"/>
          <w:szCs w:val="24"/>
          <w:highlight w:val="none"/>
        </w:rPr>
        <w:t xml:space="preserve"> </w:t>
      </w:r>
      <w:r>
        <w:rPr>
          <w:rFonts w:hint="eastAsia" w:ascii="仿宋" w:hAnsi="仿宋" w:eastAsia="仿宋" w:cs="仿宋"/>
          <w:color w:val="auto"/>
          <w:spacing w:val="-12"/>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pacing w:val="-20"/>
          <w:sz w:val="24"/>
          <w:szCs w:val="24"/>
          <w:highlight w:val="none"/>
        </w:rPr>
        <w:t>日</w:t>
      </w:r>
    </w:p>
    <w:p w14:paraId="5D255D94">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40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lang w:val="en-US" w:eastAsia="zh-CN"/>
        </w:rPr>
        <w:t>3、</w:t>
      </w:r>
      <w:r>
        <w:rPr>
          <w:rFonts w:hint="eastAsia" w:ascii="仿宋" w:hAnsi="仿宋" w:eastAsia="仿宋" w:cs="仿宋"/>
          <w:color w:val="auto"/>
          <w:spacing w:val="-5"/>
          <w:sz w:val="24"/>
          <w:szCs w:val="24"/>
          <w:highlight w:val="none"/>
        </w:rPr>
        <w:t>服务地点：</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02B407BE">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第三章</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双方的权利、责任、义务</w:t>
      </w:r>
    </w:p>
    <w:p w14:paraId="79BC25C9">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第四条</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6"/>
          <w:sz w:val="24"/>
          <w:szCs w:val="24"/>
          <w:highlight w:val="none"/>
        </w:rPr>
        <w:t>甲方的权利和义务</w:t>
      </w:r>
    </w:p>
    <w:p w14:paraId="02A096E9">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1、甲方有权面试乙方派驻甲方的所有保安人员</w:t>
      </w:r>
      <w:r>
        <w:rPr>
          <w:rFonts w:hint="eastAsia" w:ascii="仿宋" w:hAnsi="仿宋" w:eastAsia="仿宋" w:cs="仿宋"/>
          <w:color w:val="auto"/>
          <w:sz w:val="24"/>
          <w:szCs w:val="24"/>
          <w:highlight w:val="none"/>
        </w:rPr>
        <w:t>，保安员素质、</w:t>
      </w:r>
      <w:r>
        <w:rPr>
          <w:rFonts w:hint="eastAsia" w:ascii="仿宋" w:hAnsi="仿宋" w:eastAsia="仿宋" w:cs="仿宋"/>
          <w:color w:val="auto"/>
          <w:spacing w:val="-3"/>
          <w:sz w:val="24"/>
          <w:szCs w:val="24"/>
          <w:highlight w:val="none"/>
        </w:rPr>
        <w:t>形象、仪表需满足甲方要求，若有达不到要</w:t>
      </w:r>
      <w:r>
        <w:rPr>
          <w:rFonts w:hint="eastAsia" w:ascii="仿宋" w:hAnsi="仿宋" w:eastAsia="仿宋" w:cs="仿宋"/>
          <w:color w:val="auto"/>
          <w:spacing w:val="-4"/>
          <w:sz w:val="24"/>
          <w:szCs w:val="24"/>
          <w:highlight w:val="none"/>
        </w:rPr>
        <w:t>求者，随时（在甲方提出</w:t>
      </w:r>
      <w:r>
        <w:rPr>
          <w:rFonts w:hint="eastAsia" w:ascii="仿宋" w:hAnsi="仿宋" w:eastAsia="仿宋" w:cs="仿宋"/>
          <w:color w:val="auto"/>
          <w:spacing w:val="-3"/>
          <w:sz w:val="24"/>
          <w:szCs w:val="24"/>
          <w:highlight w:val="none"/>
        </w:rPr>
        <w:t>后</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3"/>
          <w:sz w:val="24"/>
          <w:szCs w:val="24"/>
          <w:highlight w:val="none"/>
        </w:rPr>
        <w:t>72</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3"/>
          <w:sz w:val="24"/>
          <w:szCs w:val="24"/>
          <w:highlight w:val="none"/>
        </w:rPr>
        <w:t>小时内）根据甲方的意见对其进行调换。</w:t>
      </w:r>
    </w:p>
    <w:p w14:paraId="7F13013A">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8"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2、甲方有权对保安员的工作进行监督、检查和具体指导，于每</w:t>
      </w:r>
      <w:r>
        <w:rPr>
          <w:rFonts w:hint="eastAsia" w:ascii="仿宋" w:hAnsi="仿宋" w:eastAsia="仿宋" w:cs="仿宋"/>
          <w:color w:val="auto"/>
          <w:spacing w:val="-4"/>
          <w:sz w:val="24"/>
          <w:szCs w:val="24"/>
          <w:highlight w:val="none"/>
        </w:rPr>
        <w:t>月底对乙方当月保安服务质量进行综合考评，考评内容包括乙方的出勤情况、人员流动情况、服务质量、员工技能、工作纪律等，有权要</w:t>
      </w:r>
      <w:r>
        <w:rPr>
          <w:rFonts w:hint="eastAsia" w:ascii="仿宋" w:hAnsi="仿宋" w:eastAsia="仿宋" w:cs="仿宋"/>
          <w:color w:val="auto"/>
          <w:spacing w:val="-1"/>
          <w:sz w:val="24"/>
          <w:szCs w:val="24"/>
          <w:highlight w:val="none"/>
        </w:rPr>
        <w:t>求乙方调换工作中不负责或不适合在甲方工作的保安员。</w:t>
      </w:r>
    </w:p>
    <w:p w14:paraId="4327CD53">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3、保安员行为规范按照甲方的岗位标准执行。如有违反规定，</w:t>
      </w:r>
      <w:r>
        <w:rPr>
          <w:rFonts w:hint="eastAsia" w:ascii="仿宋" w:hAnsi="仿宋" w:eastAsia="仿宋" w:cs="仿宋"/>
          <w:color w:val="auto"/>
          <w:spacing w:val="-4"/>
          <w:sz w:val="24"/>
          <w:szCs w:val="24"/>
          <w:highlight w:val="none"/>
        </w:rPr>
        <w:t>甲方将以书面形式提出，乙方需对其进行教育和处罚，同时根据违反</w:t>
      </w:r>
      <w:r>
        <w:rPr>
          <w:rFonts w:hint="eastAsia" w:ascii="仿宋" w:hAnsi="仿宋" w:eastAsia="仿宋" w:cs="仿宋"/>
          <w:color w:val="auto"/>
          <w:spacing w:val="-1"/>
          <w:sz w:val="24"/>
          <w:szCs w:val="24"/>
          <w:highlight w:val="none"/>
        </w:rPr>
        <w:t>规定的情节轻重，甲方保留扣除保安服务费的权利。</w:t>
      </w:r>
    </w:p>
    <w:p w14:paraId="5525A793">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4、甲方应尊重保安员的工作，对保安员履行职责的行为予以支</w:t>
      </w:r>
      <w:r>
        <w:rPr>
          <w:rFonts w:hint="eastAsia" w:ascii="仿宋" w:hAnsi="仿宋" w:eastAsia="仿宋" w:cs="仿宋"/>
          <w:color w:val="auto"/>
          <w:spacing w:val="-3"/>
          <w:sz w:val="24"/>
          <w:szCs w:val="24"/>
          <w:highlight w:val="none"/>
        </w:rPr>
        <w:t>持、配合。</w:t>
      </w:r>
    </w:p>
    <w:p w14:paraId="3BC63CB4">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5、甲方对乙方保安员提出责任安保专业操作工作标准及服务要</w:t>
      </w:r>
      <w:r>
        <w:rPr>
          <w:rFonts w:hint="eastAsia" w:ascii="仿宋" w:hAnsi="仿宋" w:eastAsia="仿宋" w:cs="仿宋"/>
          <w:color w:val="auto"/>
          <w:spacing w:val="-9"/>
          <w:sz w:val="24"/>
          <w:szCs w:val="24"/>
          <w:highlight w:val="none"/>
        </w:rPr>
        <w:t>求，乙方应保证保安员能够按甲方之要求达到正确、熟练的上岗操作。</w:t>
      </w:r>
      <w:r>
        <w:rPr>
          <w:rFonts w:hint="eastAsia" w:ascii="仿宋" w:hAnsi="仿宋" w:eastAsia="仿宋" w:cs="仿宋"/>
          <w:color w:val="auto"/>
          <w:spacing w:val="-1"/>
          <w:sz w:val="24"/>
          <w:szCs w:val="24"/>
          <w:highlight w:val="none"/>
        </w:rPr>
        <w:t>对此甲方予以协助并考核确认。</w:t>
      </w:r>
    </w:p>
    <w:p w14:paraId="47FCA22F">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1"/>
          <w:sz w:val="24"/>
          <w:szCs w:val="24"/>
          <w:highlight w:val="none"/>
        </w:rPr>
        <w:t>6、甲方就保安管</w:t>
      </w:r>
      <w:r>
        <w:rPr>
          <w:rFonts w:hint="eastAsia" w:ascii="仿宋" w:hAnsi="仿宋" w:eastAsia="仿宋" w:cs="仿宋"/>
          <w:color w:val="auto"/>
          <w:spacing w:val="-2"/>
          <w:sz w:val="24"/>
          <w:szCs w:val="24"/>
          <w:highlight w:val="none"/>
          <w:lang w:val="en-US" w:eastAsia="zh-CN"/>
        </w:rPr>
        <w:t>理区域内现有设备设施的数量和单位现有状况向乙方保安法人进行交接。</w:t>
      </w:r>
    </w:p>
    <w:p w14:paraId="6256C502">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6" w:firstLineChars="10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7、甲方有义务接受乙方对责任管理区域及管理服务工作提出合理化意见和建议。</w:t>
      </w:r>
    </w:p>
    <w:p w14:paraId="31692A80">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6" w:firstLineChars="10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8、与乙方保持联系，根据工作需要，随时调整保安员管理服务工作。</w:t>
      </w:r>
    </w:p>
    <w:p w14:paraId="50E23C2E">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第五条 乙方的权利和义务</w:t>
      </w:r>
    </w:p>
    <w:p w14:paraId="4EC4F2B9">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6"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val="en-US" w:eastAsia="zh-CN"/>
        </w:rPr>
        <w:t>1、根据有关规定，所有乙方人员必须由乙方进行政治身份审查并持有效证件《保安员</w:t>
      </w:r>
      <w:r>
        <w:rPr>
          <w:rFonts w:hint="eastAsia" w:ascii="仿宋" w:hAnsi="仿宋" w:eastAsia="仿宋" w:cs="仿宋"/>
          <w:color w:val="auto"/>
          <w:spacing w:val="-4"/>
          <w:sz w:val="24"/>
          <w:szCs w:val="24"/>
          <w:highlight w:val="none"/>
        </w:rPr>
        <w:t>证》上岗，相关证件的办理及费用均由乙方承担。因证件不全、无证件或身份问题被有关部门发现、查处所造成的</w:t>
      </w:r>
      <w:r>
        <w:rPr>
          <w:rFonts w:hint="eastAsia" w:ascii="仿宋" w:hAnsi="仿宋" w:eastAsia="仿宋" w:cs="仿宋"/>
          <w:color w:val="auto"/>
          <w:spacing w:val="-2"/>
          <w:sz w:val="24"/>
          <w:szCs w:val="24"/>
          <w:highlight w:val="none"/>
        </w:rPr>
        <w:t>一切后果应由乙方负责。</w:t>
      </w:r>
    </w:p>
    <w:p w14:paraId="4C111A7B">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0" w:firstLineChars="1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2、乙方必须提供公司法人、法人及公司的征信报告交甲方备案。</w:t>
      </w:r>
    </w:p>
    <w:p w14:paraId="3E9DEFFE">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3、乙方应将全部保安员的身份证、保安员上岗证、政审表复印</w:t>
      </w:r>
      <w:r>
        <w:rPr>
          <w:rFonts w:hint="eastAsia" w:ascii="仿宋" w:hAnsi="仿宋" w:eastAsia="仿宋" w:cs="仿宋"/>
          <w:color w:val="auto"/>
          <w:spacing w:val="-2"/>
          <w:sz w:val="24"/>
          <w:szCs w:val="24"/>
          <w:highlight w:val="none"/>
        </w:rPr>
        <w:t>件交甲方一份备案。</w:t>
      </w:r>
    </w:p>
    <w:p w14:paraId="35F1B048">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4、乙方负责向甲方输出具有保安管理经验的保安员，并指定一</w:t>
      </w:r>
      <w:r>
        <w:rPr>
          <w:rFonts w:hint="eastAsia" w:ascii="仿宋" w:hAnsi="仿宋" w:eastAsia="仿宋" w:cs="仿宋"/>
          <w:color w:val="auto"/>
          <w:spacing w:val="-3"/>
          <w:sz w:val="24"/>
          <w:szCs w:val="24"/>
          <w:highlight w:val="none"/>
        </w:rPr>
        <w:t>名保安员队伍法人（驻场队长</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3"/>
          <w:sz w:val="24"/>
          <w:szCs w:val="24"/>
          <w:highlight w:val="none"/>
        </w:rPr>
        <w:t>经甲方面试合格后上岗，协助甲方</w:t>
      </w:r>
      <w:r>
        <w:rPr>
          <w:rFonts w:hint="eastAsia" w:ascii="仿宋" w:hAnsi="仿宋" w:eastAsia="仿宋" w:cs="仿宋"/>
          <w:color w:val="auto"/>
          <w:spacing w:val="-2"/>
          <w:sz w:val="24"/>
          <w:szCs w:val="24"/>
          <w:highlight w:val="none"/>
        </w:rPr>
        <w:t>保安法人工作。</w:t>
      </w:r>
    </w:p>
    <w:p w14:paraId="51C7E82D">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8"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5、乙方负责对保安员的岗前培训及上岗后的业务培训、</w:t>
      </w:r>
      <w:r>
        <w:rPr>
          <w:rFonts w:hint="eastAsia" w:ascii="仿宋" w:hAnsi="仿宋" w:eastAsia="仿宋" w:cs="仿宋"/>
          <w:color w:val="auto"/>
          <w:spacing w:val="-78"/>
          <w:sz w:val="24"/>
          <w:szCs w:val="24"/>
          <w:highlight w:val="none"/>
        </w:rPr>
        <w:t xml:space="preserve"> </w:t>
      </w:r>
      <w:r>
        <w:rPr>
          <w:rFonts w:hint="eastAsia" w:ascii="仿宋" w:hAnsi="仿宋" w:eastAsia="仿宋" w:cs="仿宋"/>
          <w:color w:val="auto"/>
          <w:spacing w:val="-1"/>
          <w:sz w:val="24"/>
          <w:szCs w:val="24"/>
          <w:highlight w:val="none"/>
        </w:rPr>
        <w:t>日常行</w:t>
      </w:r>
      <w:r>
        <w:rPr>
          <w:rFonts w:hint="eastAsia" w:ascii="仿宋" w:hAnsi="仿宋" w:eastAsia="仿宋" w:cs="仿宋"/>
          <w:color w:val="auto"/>
          <w:spacing w:val="-3"/>
          <w:sz w:val="24"/>
          <w:szCs w:val="24"/>
          <w:highlight w:val="none"/>
        </w:rPr>
        <w:t>政管理工作和违法、违纪问题的处理，对素质较差不称职的保安员，乙方应主动更换，对保安员在工作中发生的违</w:t>
      </w:r>
      <w:r>
        <w:rPr>
          <w:rFonts w:hint="eastAsia" w:ascii="仿宋" w:hAnsi="仿宋" w:eastAsia="仿宋" w:cs="仿宋"/>
          <w:color w:val="auto"/>
          <w:spacing w:val="-4"/>
          <w:sz w:val="24"/>
          <w:szCs w:val="24"/>
          <w:highlight w:val="none"/>
        </w:rPr>
        <w:t>法乱纪行为，由乙方负</w:t>
      </w:r>
      <w:r>
        <w:rPr>
          <w:rFonts w:hint="eastAsia" w:ascii="仿宋" w:hAnsi="仿宋" w:eastAsia="仿宋" w:cs="仿宋"/>
          <w:color w:val="auto"/>
          <w:spacing w:val="-3"/>
          <w:sz w:val="24"/>
          <w:szCs w:val="24"/>
          <w:highlight w:val="none"/>
        </w:rPr>
        <w:t>责查处，有犯罪嫌疑的应及时报警处理。乙方按照</w:t>
      </w:r>
      <w:r>
        <w:rPr>
          <w:rFonts w:hint="eastAsia" w:ascii="仿宋" w:hAnsi="仿宋" w:eastAsia="仿宋" w:cs="仿宋"/>
          <w:color w:val="auto"/>
          <w:spacing w:val="-4"/>
          <w:sz w:val="24"/>
          <w:szCs w:val="24"/>
          <w:highlight w:val="none"/>
        </w:rPr>
        <w:t>甲方的规定统一着</w:t>
      </w:r>
      <w:r>
        <w:rPr>
          <w:rFonts w:hint="eastAsia" w:ascii="仿宋" w:hAnsi="仿宋" w:eastAsia="仿宋" w:cs="仿宋"/>
          <w:color w:val="auto"/>
          <w:spacing w:val="-3"/>
          <w:sz w:val="24"/>
          <w:szCs w:val="24"/>
          <w:highlight w:val="none"/>
        </w:rPr>
        <w:t>装上岗，保证制服、帽子、鞋子、手套的崭新</w:t>
      </w:r>
      <w:r>
        <w:rPr>
          <w:rFonts w:hint="eastAsia" w:ascii="仿宋" w:hAnsi="仿宋" w:eastAsia="仿宋" w:cs="仿宋"/>
          <w:color w:val="auto"/>
          <w:spacing w:val="-4"/>
          <w:sz w:val="24"/>
          <w:szCs w:val="24"/>
          <w:highlight w:val="none"/>
        </w:rPr>
        <w:t>度及保持合体，上岗时</w:t>
      </w:r>
      <w:r>
        <w:rPr>
          <w:rFonts w:hint="eastAsia" w:ascii="仿宋" w:hAnsi="仿宋" w:eastAsia="仿宋" w:cs="仿宋"/>
          <w:color w:val="auto"/>
          <w:spacing w:val="-2"/>
          <w:sz w:val="24"/>
          <w:szCs w:val="24"/>
          <w:highlight w:val="none"/>
        </w:rPr>
        <w:t>必须配戴上岗证件。</w:t>
      </w:r>
    </w:p>
    <w:p w14:paraId="273A26D6">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6、满足甲方对乙方保安员人数及数量的要求，对不合格的保安</w:t>
      </w:r>
      <w:r>
        <w:rPr>
          <w:rFonts w:hint="eastAsia" w:ascii="仿宋" w:hAnsi="仿宋" w:eastAsia="仿宋" w:cs="仿宋"/>
          <w:color w:val="auto"/>
          <w:spacing w:val="-2"/>
          <w:sz w:val="24"/>
          <w:szCs w:val="24"/>
          <w:highlight w:val="none"/>
        </w:rPr>
        <w:t>员根据甲方要求及时进行调换。</w:t>
      </w:r>
    </w:p>
    <w:p w14:paraId="212C92A5">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7、乙方提出更换驻场队长，提前一周书面通知甲方，并征得甲</w:t>
      </w:r>
      <w:r>
        <w:rPr>
          <w:rFonts w:hint="eastAsia" w:ascii="仿宋" w:hAnsi="仿宋" w:eastAsia="仿宋" w:cs="仿宋"/>
          <w:color w:val="auto"/>
          <w:spacing w:val="-3"/>
          <w:sz w:val="24"/>
          <w:szCs w:val="24"/>
          <w:highlight w:val="none"/>
        </w:rPr>
        <w:t>方书面同意后方能更换，如需调整，新调整来的</w:t>
      </w:r>
      <w:r>
        <w:rPr>
          <w:rFonts w:hint="eastAsia" w:ascii="仿宋" w:hAnsi="仿宋" w:eastAsia="仿宋" w:cs="仿宋"/>
          <w:color w:val="auto"/>
          <w:spacing w:val="-4"/>
          <w:sz w:val="24"/>
          <w:szCs w:val="24"/>
          <w:highlight w:val="none"/>
        </w:rPr>
        <w:t>保安员在通过甲方确</w:t>
      </w:r>
      <w:r>
        <w:rPr>
          <w:rFonts w:hint="eastAsia" w:ascii="仿宋" w:hAnsi="仿宋" w:eastAsia="仿宋" w:cs="仿宋"/>
          <w:color w:val="auto"/>
          <w:spacing w:val="-2"/>
          <w:sz w:val="24"/>
          <w:szCs w:val="24"/>
          <w:highlight w:val="none"/>
        </w:rPr>
        <w:t>认后方可上岗。</w:t>
      </w:r>
    </w:p>
    <w:p w14:paraId="4E8FFBA0">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8、在本合同有效期限间，乙方应爱护责任区域内及岗上执勤的</w:t>
      </w:r>
      <w:r>
        <w:rPr>
          <w:rFonts w:hint="eastAsia" w:ascii="仿宋" w:hAnsi="仿宋" w:eastAsia="仿宋" w:cs="仿宋"/>
          <w:color w:val="auto"/>
          <w:spacing w:val="-3"/>
          <w:sz w:val="24"/>
          <w:szCs w:val="24"/>
          <w:highlight w:val="none"/>
        </w:rPr>
        <w:t>各种设备设施，如乙方保安员非正常使用甲方提供</w:t>
      </w:r>
      <w:r>
        <w:rPr>
          <w:rFonts w:hint="eastAsia" w:ascii="仿宋" w:hAnsi="仿宋" w:eastAsia="仿宋" w:cs="仿宋"/>
          <w:color w:val="auto"/>
          <w:spacing w:val="-4"/>
          <w:sz w:val="24"/>
          <w:szCs w:val="24"/>
          <w:highlight w:val="none"/>
        </w:rPr>
        <w:t>的各种设备设施并</w:t>
      </w:r>
      <w:r>
        <w:rPr>
          <w:rFonts w:hint="eastAsia" w:ascii="仿宋" w:hAnsi="仿宋" w:eastAsia="仿宋" w:cs="仿宋"/>
          <w:color w:val="auto"/>
          <w:spacing w:val="-1"/>
          <w:sz w:val="24"/>
          <w:szCs w:val="24"/>
          <w:highlight w:val="none"/>
        </w:rPr>
        <w:t>造成损失，乙方应当予以修复，不能修复的应由乙方重新购置。</w:t>
      </w:r>
    </w:p>
    <w:p w14:paraId="1E35F580">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9、乙方必须为保安员的人身安全负责，为其购买相关保险。保</w:t>
      </w:r>
      <w:r>
        <w:rPr>
          <w:rFonts w:hint="eastAsia" w:ascii="仿宋" w:hAnsi="仿宋" w:eastAsia="仿宋" w:cs="仿宋"/>
          <w:color w:val="auto"/>
          <w:spacing w:val="-1"/>
          <w:sz w:val="24"/>
          <w:szCs w:val="24"/>
          <w:highlight w:val="none"/>
        </w:rPr>
        <w:t>安员因自身原因发生的人身伤害事故，由乙方自行负责处理解决。</w:t>
      </w:r>
    </w:p>
    <w:p w14:paraId="1DF60EDF">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5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10、乙方保安人员在工作过程中因失职或</w:t>
      </w:r>
      <w:r>
        <w:rPr>
          <w:rFonts w:hint="eastAsia" w:ascii="仿宋" w:hAnsi="仿宋" w:eastAsia="仿宋" w:cs="仿宋"/>
          <w:color w:val="auto"/>
          <w:spacing w:val="5"/>
          <w:sz w:val="24"/>
          <w:szCs w:val="24"/>
          <w:highlight w:val="none"/>
        </w:rPr>
        <w:t>疏忽大意对甲方或第</w:t>
      </w:r>
      <w:r>
        <w:rPr>
          <w:rFonts w:hint="eastAsia" w:ascii="仿宋" w:hAnsi="仿宋" w:eastAsia="仿宋" w:cs="仿宋"/>
          <w:color w:val="auto"/>
          <w:spacing w:val="-1"/>
          <w:sz w:val="24"/>
          <w:szCs w:val="24"/>
          <w:highlight w:val="none"/>
        </w:rPr>
        <w:t>三方造成人身或财产损失的，甲方有权向乙方追偿。</w:t>
      </w:r>
    </w:p>
    <w:p w14:paraId="47EC9F8D">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11、乙方保安员要遵守合同附件《责任保安员管理服务内</w:t>
      </w:r>
      <w:r>
        <w:rPr>
          <w:rFonts w:hint="eastAsia" w:ascii="仿宋" w:hAnsi="仿宋" w:eastAsia="仿宋" w:cs="仿宋"/>
          <w:color w:val="auto"/>
          <w:spacing w:val="-5"/>
          <w:sz w:val="24"/>
          <w:szCs w:val="24"/>
          <w:highlight w:val="none"/>
        </w:rPr>
        <w:t>容与要</w:t>
      </w:r>
      <w:r>
        <w:rPr>
          <w:rFonts w:hint="eastAsia" w:ascii="仿宋" w:hAnsi="仿宋" w:eastAsia="仿宋" w:cs="仿宋"/>
          <w:color w:val="auto"/>
          <w:spacing w:val="-10"/>
          <w:sz w:val="24"/>
          <w:szCs w:val="24"/>
          <w:highlight w:val="none"/>
        </w:rPr>
        <w:t>求》，甲方的各项规章制度有作业中的相关要求，严格履行岗位职责，</w:t>
      </w:r>
      <w:r>
        <w:rPr>
          <w:rFonts w:hint="eastAsia" w:ascii="仿宋" w:hAnsi="仿宋" w:eastAsia="仿宋" w:cs="仿宋"/>
          <w:color w:val="auto"/>
          <w:spacing w:val="-1"/>
          <w:sz w:val="24"/>
          <w:szCs w:val="24"/>
          <w:highlight w:val="none"/>
        </w:rPr>
        <w:t>做好责任区域内安全管理及车辆交通疏导。</w:t>
      </w:r>
    </w:p>
    <w:p w14:paraId="71DF4D15">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12、乙方保安员如发现任何设备故障、消防、治安、跑水</w:t>
      </w:r>
      <w:r>
        <w:rPr>
          <w:rFonts w:hint="eastAsia" w:ascii="仿宋" w:hAnsi="仿宋" w:eastAsia="仿宋" w:cs="仿宋"/>
          <w:color w:val="auto"/>
          <w:spacing w:val="-5"/>
          <w:sz w:val="24"/>
          <w:szCs w:val="24"/>
          <w:highlight w:val="none"/>
        </w:rPr>
        <w:t>等问题</w:t>
      </w:r>
      <w:r>
        <w:rPr>
          <w:rFonts w:hint="eastAsia" w:ascii="仿宋" w:hAnsi="仿宋" w:eastAsia="仿宋" w:cs="仿宋"/>
          <w:color w:val="auto"/>
          <w:spacing w:val="-2"/>
          <w:sz w:val="24"/>
          <w:szCs w:val="24"/>
          <w:highlight w:val="none"/>
        </w:rPr>
        <w:t>时，需及时通知甲方，并协助排除。</w:t>
      </w:r>
    </w:p>
    <w:p w14:paraId="679EC54A">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18"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13、乙方保安员不得在甲方院区内打闹、酗酒、赌博或行为不检，</w:t>
      </w:r>
      <w:r>
        <w:rPr>
          <w:rFonts w:hint="eastAsia" w:ascii="仿宋" w:hAnsi="仿宋" w:eastAsia="仿宋" w:cs="仿宋"/>
          <w:color w:val="auto"/>
          <w:spacing w:val="-4"/>
          <w:sz w:val="24"/>
          <w:szCs w:val="24"/>
          <w:highlight w:val="none"/>
        </w:rPr>
        <w:t>如若发现，甲方或甲方授权人可勒令其该保安员离开；如若给甲方造成损失，乙方必须承担责任并赔偿损失。乙方保安员若有不当行为而</w:t>
      </w:r>
      <w:r>
        <w:rPr>
          <w:rFonts w:hint="eastAsia" w:ascii="仿宋" w:hAnsi="仿宋" w:eastAsia="仿宋" w:cs="仿宋"/>
          <w:color w:val="auto"/>
          <w:spacing w:val="-1"/>
          <w:sz w:val="24"/>
          <w:szCs w:val="24"/>
          <w:highlight w:val="none"/>
        </w:rPr>
        <w:t>导致甲方名誉或物资损失，乙方应承担责任并赔偿损失。</w:t>
      </w:r>
    </w:p>
    <w:p w14:paraId="6AA4EEC6">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14、保安员如在甲方院区内与工作人员发生纠纷问题</w:t>
      </w:r>
      <w:r>
        <w:rPr>
          <w:rFonts w:hint="eastAsia" w:ascii="仿宋" w:hAnsi="仿宋" w:eastAsia="仿宋" w:cs="仿宋"/>
          <w:color w:val="auto"/>
          <w:spacing w:val="-5"/>
          <w:sz w:val="24"/>
          <w:szCs w:val="24"/>
          <w:highlight w:val="none"/>
        </w:rPr>
        <w:t>，乙方应妥</w:t>
      </w:r>
      <w:r>
        <w:rPr>
          <w:rFonts w:hint="eastAsia" w:ascii="仿宋" w:hAnsi="仿宋" w:eastAsia="仿宋" w:cs="仿宋"/>
          <w:color w:val="auto"/>
          <w:spacing w:val="-1"/>
          <w:sz w:val="24"/>
          <w:szCs w:val="24"/>
          <w:highlight w:val="none"/>
        </w:rPr>
        <w:t>善处理，必要时应通知甲方配合处理。</w:t>
      </w:r>
    </w:p>
    <w:p w14:paraId="4573C957">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4"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15、与甲方责任保安管理部门保持经常性联系</w:t>
      </w:r>
      <w:r>
        <w:rPr>
          <w:rFonts w:hint="eastAsia" w:ascii="仿宋" w:hAnsi="仿宋" w:eastAsia="仿宋" w:cs="仿宋"/>
          <w:color w:val="auto"/>
          <w:spacing w:val="-4"/>
          <w:sz w:val="24"/>
          <w:szCs w:val="24"/>
          <w:highlight w:val="none"/>
        </w:rPr>
        <w:t>，随时沟通情况，</w:t>
      </w:r>
      <w:r>
        <w:rPr>
          <w:rFonts w:hint="eastAsia" w:ascii="仿宋" w:hAnsi="仿宋" w:eastAsia="仿宋" w:cs="仿宋"/>
          <w:color w:val="auto"/>
          <w:spacing w:val="-1"/>
          <w:sz w:val="24"/>
          <w:szCs w:val="24"/>
          <w:highlight w:val="none"/>
        </w:rPr>
        <w:t>在限定期限内及时解决工作及管理中存在的问题。</w:t>
      </w:r>
    </w:p>
    <w:p w14:paraId="3ADB427E">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16、派驻人员要求：</w:t>
      </w:r>
    </w:p>
    <w:p w14:paraId="4CEF6EFC">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（1）具有基础国语能力的保安员应占</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2"/>
          <w:sz w:val="24"/>
          <w:szCs w:val="24"/>
          <w:highlight w:val="none"/>
          <w:lang w:val="en-US" w:eastAsia="zh-CN"/>
        </w:rPr>
        <w:t>100</w:t>
      </w:r>
      <w:r>
        <w:rPr>
          <w:rFonts w:hint="eastAsia" w:ascii="仿宋" w:hAnsi="仿宋" w:eastAsia="仿宋" w:cs="仿宋"/>
          <w:color w:val="auto"/>
          <w:spacing w:val="-2"/>
          <w:sz w:val="24"/>
          <w:szCs w:val="24"/>
          <w:highlight w:val="none"/>
        </w:rPr>
        <w:t>%。</w:t>
      </w:r>
    </w:p>
    <w:p w14:paraId="48DCED68">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（2）持证上岗、政审合格、身体健康，五官端正。</w:t>
      </w:r>
    </w:p>
    <w:p w14:paraId="318CB14C">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464" w:firstLineChars="200"/>
        <w:textAlignment w:val="baseline"/>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（3）派驻保安人员必须经过基本的培训（基本军事素质、消防技能、礼仪等）。</w:t>
      </w:r>
    </w:p>
    <w:p w14:paraId="7C5A2119">
      <w:pPr>
        <w:keepNext w:val="0"/>
        <w:keepLines w:val="0"/>
        <w:pageBreakBefore w:val="0"/>
        <w:widowControl/>
        <w:kinsoku w:val="0"/>
        <w:wordWrap/>
        <w:overflowPunct/>
        <w:topLinePunct w:val="0"/>
        <w:autoSpaceDE w:val="0"/>
        <w:autoSpaceDN w:val="0"/>
        <w:bidi w:val="0"/>
        <w:adjustRightInd w:val="0"/>
        <w:snapToGrid w:val="0"/>
        <w:spacing w:line="300" w:lineRule="auto"/>
        <w:ind w:left="239" w:leftChars="114" w:right="0" w:firstLine="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val="en-US" w:eastAsia="zh-CN"/>
        </w:rPr>
        <w:t>17、试用期满乙方提供的</w:t>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lang w:val="en-US" w:eastAsia="zh-CN"/>
        </w:rPr>
        <w:t>名安保服务人员无法达到投标文件要求的：①降低安保人员服务费至</w:t>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lang w:val="en-US" w:eastAsia="zh-CN"/>
        </w:rPr>
        <w:t>元/月/人；②重新对安保服务项目招标。</w:t>
      </w:r>
    </w:p>
    <w:p w14:paraId="17A53C49">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6"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w:t>
      </w:r>
      <w:r>
        <w:rPr>
          <w:rFonts w:hint="eastAsia" w:ascii="仿宋" w:hAnsi="仿宋" w:eastAsia="仿宋" w:cs="仿宋"/>
          <w:color w:val="auto"/>
          <w:spacing w:val="-2"/>
          <w:sz w:val="24"/>
          <w:szCs w:val="24"/>
          <w:highlight w:val="none"/>
          <w:lang w:val="en-US" w:eastAsia="zh-CN"/>
        </w:rPr>
        <w:t>8</w:t>
      </w:r>
      <w:r>
        <w:rPr>
          <w:rFonts w:hint="eastAsia" w:ascii="仿宋" w:hAnsi="仿宋" w:eastAsia="仿宋" w:cs="仿宋"/>
          <w:color w:val="auto"/>
          <w:spacing w:val="-2"/>
          <w:sz w:val="24"/>
          <w:szCs w:val="24"/>
          <w:highlight w:val="none"/>
        </w:rPr>
        <w:t>、乙方</w:t>
      </w:r>
      <w:r>
        <w:rPr>
          <w:rFonts w:hint="eastAsia" w:ascii="仿宋" w:hAnsi="仿宋" w:eastAsia="仿宋" w:cs="仿宋"/>
          <w:color w:val="auto"/>
          <w:spacing w:val="-2"/>
          <w:sz w:val="24"/>
          <w:szCs w:val="24"/>
          <w:highlight w:val="none"/>
          <w:lang w:eastAsia="zh-CN"/>
        </w:rPr>
        <w:t>每月</w:t>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lang w:val="en-US" w:eastAsia="zh-CN"/>
        </w:rPr>
        <w:t>日前</w:t>
      </w:r>
      <w:r>
        <w:rPr>
          <w:rFonts w:hint="eastAsia" w:ascii="仿宋" w:hAnsi="仿宋" w:eastAsia="仿宋" w:cs="仿宋"/>
          <w:color w:val="auto"/>
          <w:spacing w:val="-2"/>
          <w:sz w:val="24"/>
          <w:szCs w:val="24"/>
          <w:highlight w:val="none"/>
          <w:lang w:eastAsia="zh-CN"/>
        </w:rPr>
        <w:t>需完成</w:t>
      </w:r>
      <w:r>
        <w:rPr>
          <w:rFonts w:hint="eastAsia" w:ascii="仿宋" w:hAnsi="仿宋" w:eastAsia="仿宋" w:cs="仿宋"/>
          <w:color w:val="auto"/>
          <w:spacing w:val="-2"/>
          <w:sz w:val="24"/>
          <w:szCs w:val="24"/>
          <w:highlight w:val="none"/>
        </w:rPr>
        <w:t>保安员工资费用支付</w:t>
      </w:r>
      <w:r>
        <w:rPr>
          <w:rFonts w:hint="eastAsia" w:ascii="仿宋" w:hAnsi="仿宋" w:eastAsia="仿宋" w:cs="仿宋"/>
          <w:color w:val="auto"/>
          <w:spacing w:val="-2"/>
          <w:sz w:val="24"/>
          <w:szCs w:val="24"/>
          <w:highlight w:val="none"/>
          <w:lang w:eastAsia="zh-CN"/>
        </w:rPr>
        <w:t>工作，不得拖欠工人工资</w:t>
      </w:r>
      <w:r>
        <w:rPr>
          <w:rFonts w:hint="eastAsia" w:ascii="仿宋" w:hAnsi="仿宋" w:eastAsia="仿宋" w:cs="仿宋"/>
          <w:color w:val="auto"/>
          <w:spacing w:val="-2"/>
          <w:sz w:val="24"/>
          <w:szCs w:val="24"/>
          <w:highlight w:val="none"/>
        </w:rPr>
        <w:t>。</w:t>
      </w:r>
    </w:p>
    <w:p w14:paraId="01D65935">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0"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、乙方不得挂靠其他保安公司的分公司资质，不得以任何形式</w:t>
      </w:r>
      <w:r>
        <w:rPr>
          <w:rFonts w:hint="eastAsia" w:ascii="仿宋" w:hAnsi="仿宋" w:eastAsia="仿宋" w:cs="仿宋"/>
          <w:color w:val="auto"/>
          <w:spacing w:val="-1"/>
          <w:sz w:val="24"/>
          <w:szCs w:val="24"/>
          <w:highlight w:val="none"/>
        </w:rPr>
        <w:t>将本合同确立的服务工作全部或部分转包或分包第三方。</w:t>
      </w:r>
    </w:p>
    <w:p w14:paraId="2ECA9917">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val="en-US" w:eastAsia="zh-CN"/>
        </w:rPr>
        <w:t>20</w:t>
      </w:r>
      <w:r>
        <w:rPr>
          <w:rFonts w:hint="eastAsia" w:ascii="仿宋" w:hAnsi="仿宋" w:eastAsia="仿宋" w:cs="仿宋"/>
          <w:color w:val="auto"/>
          <w:spacing w:val="1"/>
          <w:sz w:val="24"/>
          <w:szCs w:val="24"/>
          <w:highlight w:val="none"/>
        </w:rPr>
        <w:t>、在本合同终止或期满时，乙方应留下有关安全管理的档案，</w:t>
      </w:r>
      <w:r>
        <w:rPr>
          <w:rFonts w:hint="eastAsia" w:ascii="仿宋" w:hAnsi="仿宋" w:eastAsia="仿宋" w:cs="仿宋"/>
          <w:color w:val="auto"/>
          <w:spacing w:val="-3"/>
          <w:sz w:val="24"/>
          <w:szCs w:val="24"/>
          <w:highlight w:val="none"/>
        </w:rPr>
        <w:t>并与接管单位办理交接工作。交接手续有保安公司双方签字、盖章，</w:t>
      </w:r>
      <w:r>
        <w:rPr>
          <w:rFonts w:hint="eastAsia" w:ascii="仿宋" w:hAnsi="仿宋" w:eastAsia="仿宋" w:cs="仿宋"/>
          <w:color w:val="auto"/>
          <w:spacing w:val="-2"/>
          <w:sz w:val="24"/>
          <w:szCs w:val="24"/>
          <w:highlight w:val="none"/>
        </w:rPr>
        <w:t>并交付甲方一份备案。</w:t>
      </w:r>
    </w:p>
    <w:p w14:paraId="5E38EC97">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pacing w:val="-3"/>
          <w:sz w:val="24"/>
          <w:szCs w:val="24"/>
          <w:highlight w:val="none"/>
        </w:rPr>
      </w:pPr>
      <w:r>
        <w:rPr>
          <w:rFonts w:hint="eastAsia" w:ascii="仿宋" w:hAnsi="仿宋" w:eastAsia="仿宋" w:cs="仿宋"/>
          <w:color w:val="auto"/>
          <w:spacing w:val="1"/>
          <w:sz w:val="24"/>
          <w:szCs w:val="24"/>
          <w:highlight w:val="none"/>
        </w:rPr>
        <w:t>2</w:t>
      </w:r>
      <w:r>
        <w:rPr>
          <w:rFonts w:hint="eastAsia" w:ascii="仿宋" w:hAnsi="仿宋" w:eastAsia="仿宋" w:cs="仿宋"/>
          <w:color w:val="auto"/>
          <w:spacing w:val="1"/>
          <w:sz w:val="24"/>
          <w:szCs w:val="24"/>
          <w:highlight w:val="none"/>
          <w:lang w:val="en-US" w:eastAsia="zh-CN"/>
        </w:rPr>
        <w:t>1</w:t>
      </w:r>
      <w:r>
        <w:rPr>
          <w:rFonts w:hint="eastAsia" w:ascii="仿宋" w:hAnsi="仿宋" w:eastAsia="仿宋" w:cs="仿宋"/>
          <w:color w:val="auto"/>
          <w:spacing w:val="1"/>
          <w:sz w:val="24"/>
          <w:szCs w:val="24"/>
          <w:highlight w:val="none"/>
        </w:rPr>
        <w:t>、如乙方保安人员因工作失误或其他原因造成甲方名誉、经济</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1"/>
          <w:sz w:val="24"/>
          <w:szCs w:val="24"/>
          <w:highlight w:val="none"/>
        </w:rPr>
        <w:t>损失或其他损失的，乙方需承担全部责任</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包括但不限于医疗费用、财产损失、诉讼费用及甲方声誉损失</w:t>
      </w:r>
      <w:r>
        <w:rPr>
          <w:rFonts w:hint="eastAsia" w:ascii="仿宋" w:hAnsi="仿宋" w:eastAsia="仿宋" w:cs="仿宋"/>
          <w:color w:val="auto"/>
          <w:spacing w:val="-3"/>
          <w:sz w:val="24"/>
          <w:szCs w:val="24"/>
          <w:highlight w:val="none"/>
          <w:lang w:val="en-US" w:eastAsia="zh-CN"/>
        </w:rPr>
        <w:t>等</w:t>
      </w:r>
      <w:r>
        <w:rPr>
          <w:rFonts w:hint="eastAsia" w:ascii="仿宋" w:hAnsi="仿宋" w:eastAsia="仿宋" w:cs="仿宋"/>
          <w:color w:val="auto"/>
          <w:spacing w:val="-3"/>
          <w:sz w:val="24"/>
          <w:szCs w:val="24"/>
          <w:highlight w:val="none"/>
        </w:rPr>
        <w:t>。</w:t>
      </w:r>
    </w:p>
    <w:p w14:paraId="74F4339E">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0" w:firstLineChars="1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w:t>
      </w:r>
      <w:r>
        <w:rPr>
          <w:rFonts w:hint="eastAsia" w:ascii="仿宋" w:hAnsi="仿宋" w:eastAsia="仿宋" w:cs="仿宋"/>
          <w:color w:val="auto"/>
          <w:spacing w:val="-5"/>
          <w:sz w:val="24"/>
          <w:szCs w:val="24"/>
          <w:highlight w:val="none"/>
          <w:lang w:val="en-US" w:eastAsia="zh-CN"/>
        </w:rPr>
        <w:t>2</w:t>
      </w:r>
      <w:r>
        <w:rPr>
          <w:rFonts w:hint="eastAsia" w:ascii="仿宋" w:hAnsi="仿宋" w:eastAsia="仿宋" w:cs="仿宋"/>
          <w:color w:val="auto"/>
          <w:spacing w:val="-5"/>
          <w:sz w:val="24"/>
          <w:szCs w:val="24"/>
          <w:highlight w:val="none"/>
        </w:rPr>
        <w:t>、甲乙双方商定，乙方配合甲方落实各项人员增减政策和措施。</w:t>
      </w:r>
    </w:p>
    <w:p w14:paraId="7F0534EF">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第四章</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服务费用及结算方式</w:t>
      </w:r>
    </w:p>
    <w:p w14:paraId="6F80760A">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第六条   安保服务费</w:t>
      </w:r>
    </w:p>
    <w:p w14:paraId="74DA28AF">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0" w:firstLineChars="1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5"/>
          <w:sz w:val="24"/>
          <w:szCs w:val="24"/>
          <w:highlight w:val="none"/>
          <w:lang w:val="en-US" w:eastAsia="zh-CN"/>
        </w:rPr>
        <w:t>1、</w:t>
      </w:r>
      <w:r>
        <w:rPr>
          <w:rFonts w:hint="eastAsia" w:ascii="仿宋" w:hAnsi="仿宋" w:eastAsia="仿宋" w:cs="仿宋"/>
          <w:color w:val="auto"/>
          <w:sz w:val="24"/>
          <w:szCs w:val="24"/>
          <w:highlight w:val="none"/>
          <w:lang w:val="en-US" w:eastAsia="zh-CN"/>
        </w:rPr>
        <w:t>安保人员符合投标文件要求的</w:t>
      </w:r>
      <w:r>
        <w:rPr>
          <w:rFonts w:hint="eastAsia" w:ascii="仿宋" w:hAnsi="仿宋" w:eastAsia="仿宋" w:cs="仿宋"/>
          <w:color w:val="auto"/>
          <w:spacing w:val="-5"/>
          <w:sz w:val="24"/>
          <w:szCs w:val="24"/>
          <w:highlight w:val="none"/>
        </w:rPr>
        <w:t>甲方向乙方支付</w:t>
      </w:r>
      <w:r>
        <w:rPr>
          <w:rFonts w:hint="eastAsia" w:ascii="仿宋" w:hAnsi="仿宋" w:eastAsia="仿宋" w:cs="仿宋"/>
          <w:color w:val="auto"/>
          <w:sz w:val="24"/>
          <w:szCs w:val="24"/>
          <w:highlight w:val="none"/>
          <w:lang w:val="en-US" w:eastAsia="zh-CN"/>
        </w:rPr>
        <w:t>每月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元/月/人支付安保费用，未达到投标文件要求的人员以</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元/月/人支付安保服务费，</w:t>
      </w:r>
      <w:r>
        <w:rPr>
          <w:rFonts w:hint="eastAsia" w:ascii="仿宋" w:hAnsi="仿宋" w:eastAsia="仿宋" w:cs="仿宋"/>
          <w:color w:val="auto"/>
          <w:spacing w:val="-5"/>
          <w:sz w:val="24"/>
          <w:szCs w:val="24"/>
          <w:highlight w:val="none"/>
        </w:rPr>
        <w:t>按</w:t>
      </w:r>
      <w:r>
        <w:rPr>
          <w:rFonts w:hint="eastAsia" w:ascii="仿宋" w:hAnsi="仿宋" w:eastAsia="仿宋" w:cs="仿宋"/>
          <w:color w:val="auto"/>
          <w:spacing w:val="-5"/>
          <w:sz w:val="24"/>
          <w:szCs w:val="24"/>
          <w:highlight w:val="none"/>
          <w:lang w:eastAsia="zh-CN"/>
        </w:rPr>
        <w:t>季度</w:t>
      </w:r>
      <w:r>
        <w:rPr>
          <w:rFonts w:hint="eastAsia" w:ascii="仿宋" w:hAnsi="仿宋" w:eastAsia="仿宋" w:cs="仿宋"/>
          <w:color w:val="auto"/>
          <w:spacing w:val="-5"/>
          <w:sz w:val="24"/>
          <w:szCs w:val="24"/>
          <w:highlight w:val="none"/>
        </w:rPr>
        <w:t>支付</w:t>
      </w:r>
      <w:r>
        <w:rPr>
          <w:rFonts w:hint="eastAsia" w:ascii="仿宋" w:hAnsi="仿宋" w:eastAsia="仿宋" w:cs="仿宋"/>
          <w:color w:val="auto"/>
          <w:spacing w:val="-5"/>
          <w:sz w:val="24"/>
          <w:szCs w:val="24"/>
          <w:highlight w:val="none"/>
          <w:lang w:eastAsia="zh-CN"/>
        </w:rPr>
        <w:t>，</w:t>
      </w:r>
      <w:r>
        <w:rPr>
          <w:rFonts w:hint="eastAsia" w:ascii="仿宋" w:hAnsi="仿宋" w:eastAsia="仿宋" w:cs="仿宋"/>
          <w:color w:val="auto"/>
          <w:sz w:val="24"/>
          <w:szCs w:val="24"/>
          <w:highlight w:val="none"/>
          <w:lang w:val="en-US" w:eastAsia="zh-CN"/>
        </w:rPr>
        <w:t>试用期1个月。</w:t>
      </w:r>
    </w:p>
    <w:p w14:paraId="1B9811C7">
      <w:pPr>
        <w:pStyle w:val="23"/>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auto"/>
        <w:ind w:left="0" w:leftChars="0" w:right="0" w:firstLine="240" w:firstLineChars="1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2、1个月试用期满后乙方若</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人均达到投标文件要求的按照</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元/月/人继续履行合同，且安保人员到手月薪不得少于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元/月/人。</w:t>
      </w:r>
    </w:p>
    <w:p w14:paraId="215508B8">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第七条</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4"/>
          <w:sz w:val="24"/>
          <w:szCs w:val="24"/>
          <w:highlight w:val="none"/>
        </w:rPr>
        <w:t>结算方式</w:t>
      </w:r>
    </w:p>
    <w:p w14:paraId="165B0E8E">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1、甲方根据乙方提供发票额并按照考核结</w:t>
      </w:r>
      <w:r>
        <w:rPr>
          <w:rFonts w:hint="eastAsia" w:ascii="仿宋" w:hAnsi="仿宋" w:eastAsia="仿宋" w:cs="仿宋"/>
          <w:color w:val="auto"/>
          <w:sz w:val="24"/>
          <w:szCs w:val="24"/>
          <w:highlight w:val="none"/>
        </w:rPr>
        <w:t>果向乙方支付保安服</w:t>
      </w:r>
      <w:r>
        <w:rPr>
          <w:rFonts w:hint="eastAsia" w:ascii="仿宋" w:hAnsi="仿宋" w:eastAsia="仿宋" w:cs="仿宋"/>
          <w:color w:val="auto"/>
          <w:spacing w:val="-4"/>
          <w:sz w:val="24"/>
          <w:szCs w:val="24"/>
          <w:highlight w:val="none"/>
        </w:rPr>
        <w:t>务费。</w:t>
      </w:r>
    </w:p>
    <w:p w14:paraId="120BA662">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2、保安服务费</w:t>
      </w:r>
      <w:r>
        <w:rPr>
          <w:rFonts w:hint="eastAsia" w:ascii="仿宋" w:hAnsi="仿宋" w:eastAsia="仿宋" w:cs="仿宋"/>
          <w:color w:val="auto"/>
          <w:spacing w:val="-4"/>
          <w:sz w:val="24"/>
          <w:szCs w:val="24"/>
          <w:highlight w:val="none"/>
          <w:lang w:val="en-US" w:eastAsia="zh-CN"/>
        </w:rPr>
        <w:t>按季度支付</w:t>
      </w:r>
      <w:r>
        <w:rPr>
          <w:rFonts w:hint="eastAsia" w:ascii="仿宋" w:hAnsi="仿宋" w:eastAsia="仿宋" w:cs="仿宋"/>
          <w:color w:val="auto"/>
          <w:spacing w:val="-4"/>
          <w:sz w:val="24"/>
          <w:szCs w:val="24"/>
          <w:highlight w:val="none"/>
        </w:rPr>
        <w:t>，以支票或转账</w:t>
      </w:r>
      <w:r>
        <w:rPr>
          <w:rFonts w:hint="eastAsia" w:ascii="仿宋" w:hAnsi="仿宋" w:eastAsia="仿宋" w:cs="仿宋"/>
          <w:color w:val="auto"/>
          <w:spacing w:val="-4"/>
          <w:sz w:val="24"/>
          <w:szCs w:val="24"/>
          <w:highlight w:val="none"/>
          <w:lang w:eastAsia="zh-CN"/>
        </w:rPr>
        <w:t>等</w:t>
      </w:r>
      <w:r>
        <w:rPr>
          <w:rFonts w:hint="eastAsia" w:ascii="仿宋" w:hAnsi="仿宋" w:eastAsia="仿宋" w:cs="仿宋"/>
          <w:color w:val="auto"/>
          <w:spacing w:val="-4"/>
          <w:sz w:val="24"/>
          <w:szCs w:val="24"/>
          <w:highlight w:val="none"/>
        </w:rPr>
        <w:t>方式支付给乙方。甲方</w:t>
      </w:r>
      <w:r>
        <w:rPr>
          <w:rFonts w:hint="eastAsia" w:ascii="仿宋" w:hAnsi="仿宋" w:eastAsia="仿宋" w:cs="仿宋"/>
          <w:color w:val="auto"/>
          <w:spacing w:val="6"/>
          <w:sz w:val="24"/>
          <w:szCs w:val="24"/>
          <w:highlight w:val="none"/>
        </w:rPr>
        <w:t>在收到乙方提供的发票之日起按照</w:t>
      </w:r>
      <w:r>
        <w:rPr>
          <w:rFonts w:hint="eastAsia" w:ascii="仿宋" w:hAnsi="仿宋" w:eastAsia="仿宋" w:cs="仿宋"/>
          <w:color w:val="auto"/>
          <w:spacing w:val="6"/>
          <w:sz w:val="24"/>
          <w:szCs w:val="24"/>
          <w:highlight w:val="none"/>
          <w:lang w:val="en-US" w:eastAsia="zh-CN"/>
        </w:rPr>
        <w:t>甲方</w:t>
      </w:r>
      <w:r>
        <w:rPr>
          <w:rFonts w:hint="eastAsia" w:ascii="仿宋" w:hAnsi="仿宋" w:eastAsia="仿宋" w:cs="仿宋"/>
          <w:color w:val="auto"/>
          <w:spacing w:val="6"/>
          <w:sz w:val="24"/>
          <w:szCs w:val="24"/>
          <w:highlight w:val="none"/>
        </w:rPr>
        <w:t>财务相关流程</w:t>
      </w:r>
      <w:r>
        <w:rPr>
          <w:rFonts w:hint="eastAsia" w:ascii="仿宋" w:hAnsi="仿宋" w:eastAsia="仿宋" w:cs="仿宋"/>
          <w:color w:val="auto"/>
          <w:spacing w:val="-3"/>
          <w:sz w:val="24"/>
          <w:szCs w:val="24"/>
          <w:highlight w:val="none"/>
        </w:rPr>
        <w:t>及时结算乙方安保服务费用。发票是付款条件</w:t>
      </w:r>
      <w:r>
        <w:rPr>
          <w:rFonts w:hint="eastAsia" w:ascii="仿宋" w:hAnsi="仿宋" w:eastAsia="仿宋" w:cs="仿宋"/>
          <w:color w:val="auto"/>
          <w:spacing w:val="-4"/>
          <w:sz w:val="24"/>
          <w:szCs w:val="24"/>
          <w:highlight w:val="none"/>
        </w:rPr>
        <w:t>之一，甲方未收到发票</w:t>
      </w:r>
      <w:r>
        <w:rPr>
          <w:rFonts w:hint="eastAsia" w:ascii="仿宋" w:hAnsi="仿宋" w:eastAsia="仿宋" w:cs="仿宋"/>
          <w:color w:val="auto"/>
          <w:spacing w:val="-3"/>
          <w:sz w:val="24"/>
          <w:szCs w:val="24"/>
          <w:highlight w:val="none"/>
        </w:rPr>
        <w:t>的</w:t>
      </w:r>
      <w:r>
        <w:rPr>
          <w:rFonts w:hint="eastAsia" w:ascii="仿宋" w:hAnsi="仿宋" w:eastAsia="仿宋" w:cs="仿宋"/>
          <w:color w:val="auto"/>
          <w:spacing w:val="-3"/>
          <w:sz w:val="24"/>
          <w:szCs w:val="24"/>
          <w:highlight w:val="none"/>
          <w:lang w:val="en-US" w:eastAsia="zh-CN"/>
        </w:rPr>
        <w:t>,</w:t>
      </w:r>
      <w:r>
        <w:rPr>
          <w:rFonts w:hint="eastAsia" w:ascii="仿宋" w:hAnsi="仿宋" w:eastAsia="仿宋" w:cs="仿宋"/>
          <w:color w:val="auto"/>
          <w:spacing w:val="-3"/>
          <w:sz w:val="24"/>
          <w:szCs w:val="24"/>
          <w:highlight w:val="none"/>
        </w:rPr>
        <w:t>有权不予支付相应款项直至乙方提供合格</w:t>
      </w:r>
      <w:r>
        <w:rPr>
          <w:rFonts w:hint="eastAsia" w:ascii="仿宋" w:hAnsi="仿宋" w:eastAsia="仿宋" w:cs="仿宋"/>
          <w:color w:val="auto"/>
          <w:spacing w:val="-4"/>
          <w:sz w:val="24"/>
          <w:szCs w:val="24"/>
          <w:highlight w:val="none"/>
        </w:rPr>
        <w:t>发票，并不承担延迟付</w:t>
      </w:r>
      <w:r>
        <w:rPr>
          <w:rFonts w:hint="eastAsia" w:ascii="仿宋" w:hAnsi="仿宋" w:eastAsia="仿宋" w:cs="仿宋"/>
          <w:color w:val="auto"/>
          <w:spacing w:val="-3"/>
          <w:sz w:val="24"/>
          <w:szCs w:val="24"/>
          <w:highlight w:val="none"/>
        </w:rPr>
        <w:t>款责任。</w:t>
      </w:r>
    </w:p>
    <w:p w14:paraId="2D71DB10">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第五章</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合同变更、争议与适用法律</w:t>
      </w:r>
    </w:p>
    <w:p w14:paraId="6D6AE736">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第八条  合同的续签、变更、终止</w:t>
      </w:r>
    </w:p>
    <w:p w14:paraId="57E4AC4E">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6"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1、本合同期满甲、乙双方经协商同意，可以续签合同。</w:t>
      </w:r>
    </w:p>
    <w:p w14:paraId="5C8B2315">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8"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2、甲、乙双方经协商一致，可以变更合同。</w:t>
      </w:r>
    </w:p>
    <w:p w14:paraId="04B5B7B3">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8"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3、有下列情形之一，双方可以提前解除本合同：</w:t>
      </w:r>
    </w:p>
    <w:p w14:paraId="62175DA9">
      <w:pPr>
        <w:keepNext w:val="0"/>
        <w:keepLines w:val="0"/>
        <w:pageBreakBefore w:val="0"/>
        <w:widowControl/>
        <w:kinsoku w:val="0"/>
        <w:wordWrap/>
        <w:overflowPunct/>
        <w:topLinePunct w:val="0"/>
        <w:autoSpaceDE w:val="0"/>
        <w:autoSpaceDN w:val="0"/>
        <w:bidi w:val="0"/>
        <w:adjustRightInd w:val="0"/>
        <w:snapToGrid w:val="0"/>
        <w:spacing w:line="300" w:lineRule="auto"/>
        <w:ind w:right="0" w:firstLine="23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（1）乙方未履行双方约定的责任，给甲方造成财产或信誉较严重</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2"/>
          <w:sz w:val="24"/>
          <w:szCs w:val="24"/>
          <w:highlight w:val="none"/>
        </w:rPr>
        <w:t>损失和影响；</w:t>
      </w:r>
    </w:p>
    <w:p w14:paraId="1F24B512">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8"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（2）甲方不能按照本合同的规定支付服务费用。</w:t>
      </w:r>
    </w:p>
    <w:p w14:paraId="55A94712">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4、如本合同到期时未续签，乙方应按照本合同继续执行，保障</w:t>
      </w:r>
      <w:bookmarkStart w:id="117" w:name="bookmark11"/>
      <w:bookmarkEnd w:id="117"/>
      <w:r>
        <w:rPr>
          <w:rFonts w:hint="eastAsia" w:ascii="仿宋" w:hAnsi="仿宋" w:eastAsia="仿宋" w:cs="仿宋"/>
          <w:color w:val="auto"/>
          <w:spacing w:val="-3"/>
          <w:sz w:val="24"/>
          <w:szCs w:val="24"/>
          <w:highlight w:val="none"/>
        </w:rPr>
        <w:t>甲方的安保服务，并按照相关要求进行合同续签。</w:t>
      </w:r>
    </w:p>
    <w:p w14:paraId="2F0BA66A">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5、合同到期后甲方决定更换安保服务公司时，乙方应按照甲方</w:t>
      </w:r>
      <w:r>
        <w:rPr>
          <w:rFonts w:hint="eastAsia" w:ascii="仿宋" w:hAnsi="仿宋" w:eastAsia="仿宋" w:cs="仿宋"/>
          <w:color w:val="auto"/>
          <w:spacing w:val="-4"/>
          <w:sz w:val="24"/>
          <w:szCs w:val="24"/>
          <w:highlight w:val="none"/>
        </w:rPr>
        <w:t>的安排向甲方或甲方指定的单位，做好交接，并将相关设施的钥匙及密码、服务期间的相关记录资料等交给对方，乙方人员应于交接完毕</w:t>
      </w:r>
      <w:r>
        <w:rPr>
          <w:rFonts w:hint="eastAsia" w:ascii="仿宋" w:hAnsi="仿宋" w:eastAsia="仿宋" w:cs="仿宋"/>
          <w:color w:val="auto"/>
          <w:spacing w:val="-2"/>
          <w:sz w:val="24"/>
          <w:szCs w:val="24"/>
          <w:highlight w:val="none"/>
        </w:rPr>
        <w:t>后完全撤离。</w:t>
      </w:r>
    </w:p>
    <w:p w14:paraId="36CC2181">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第九条   特别约定</w:t>
      </w:r>
    </w:p>
    <w:p w14:paraId="241079C6">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6"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1、双方对相互之间提供的资料、方案以及合作内容严格保密，</w:t>
      </w:r>
      <w:r>
        <w:rPr>
          <w:rFonts w:hint="eastAsia" w:ascii="仿宋" w:hAnsi="仿宋" w:eastAsia="仿宋" w:cs="仿宋"/>
          <w:color w:val="auto"/>
          <w:spacing w:val="-1"/>
          <w:sz w:val="24"/>
          <w:szCs w:val="24"/>
          <w:highlight w:val="none"/>
        </w:rPr>
        <w:t>任何情况下不得向第三方泄漏。</w:t>
      </w:r>
    </w:p>
    <w:p w14:paraId="5E887952">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8"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2、双方的联系事项全部以书面形式为准。</w:t>
      </w:r>
    </w:p>
    <w:p w14:paraId="4D69C8FA">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第十条   合同争议</w:t>
      </w:r>
    </w:p>
    <w:p w14:paraId="6D948DA5">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1、合同争议处理</w:t>
      </w:r>
    </w:p>
    <w:p w14:paraId="677DDD63">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43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执行合同发生争议时，双方应友好协商解决，若争议无法解决时</w:t>
      </w:r>
      <w:r>
        <w:rPr>
          <w:rFonts w:hint="eastAsia" w:ascii="仿宋" w:hAnsi="仿宋" w:eastAsia="仿宋" w:cs="仿宋"/>
          <w:color w:val="auto"/>
          <w:spacing w:val="-11"/>
          <w:sz w:val="24"/>
          <w:szCs w:val="24"/>
          <w:highlight w:val="none"/>
          <w:lang w:eastAsia="zh-CN"/>
        </w:rPr>
        <w:t>，</w:t>
      </w:r>
      <w:r>
        <w:rPr>
          <w:rFonts w:hint="eastAsia" w:ascii="仿宋" w:hAnsi="仿宋" w:eastAsia="仿宋" w:cs="仿宋"/>
          <w:color w:val="auto"/>
          <w:spacing w:val="-1"/>
          <w:sz w:val="24"/>
          <w:szCs w:val="24"/>
          <w:highlight w:val="none"/>
        </w:rPr>
        <w:t>可依法向</w:t>
      </w:r>
      <w:r>
        <w:rPr>
          <w:rFonts w:hint="eastAsia" w:ascii="仿宋" w:hAnsi="仿宋" w:eastAsia="仿宋" w:cs="仿宋"/>
          <w:color w:val="auto"/>
          <w:spacing w:val="-1"/>
          <w:sz w:val="24"/>
          <w:szCs w:val="24"/>
          <w:highlight w:val="none"/>
          <w:u w:val="single"/>
          <w:lang w:val="en-US" w:eastAsia="zh-CN"/>
        </w:rPr>
        <w:t xml:space="preserve"> </w:t>
      </w:r>
      <w:r>
        <w:rPr>
          <w:rFonts w:hint="eastAsia" w:ascii="仿宋" w:hAnsi="仿宋" w:eastAsia="仿宋" w:cs="仿宋"/>
          <w:color w:val="auto"/>
          <w:spacing w:val="-1"/>
          <w:sz w:val="24"/>
          <w:szCs w:val="24"/>
          <w:highlight w:val="none"/>
          <w:u w:val="single"/>
        </w:rPr>
        <w:t>甲方</w:t>
      </w:r>
      <w:r>
        <w:rPr>
          <w:rFonts w:hint="eastAsia" w:ascii="仿宋" w:hAnsi="仿宋" w:eastAsia="仿宋" w:cs="仿宋"/>
          <w:color w:val="auto"/>
          <w:spacing w:val="-1"/>
          <w:sz w:val="24"/>
          <w:szCs w:val="24"/>
          <w:highlight w:val="none"/>
          <w:u w:val="single"/>
          <w:lang w:val="en-US" w:eastAsia="zh-CN"/>
        </w:rPr>
        <w:t xml:space="preserve"> </w:t>
      </w:r>
      <w:r>
        <w:rPr>
          <w:rFonts w:hint="eastAsia" w:ascii="仿宋" w:hAnsi="仿宋" w:eastAsia="仿宋" w:cs="仿宋"/>
          <w:color w:val="auto"/>
          <w:spacing w:val="-1"/>
          <w:sz w:val="24"/>
          <w:szCs w:val="24"/>
          <w:highlight w:val="none"/>
        </w:rPr>
        <w:t>所在地人民法院起诉。</w:t>
      </w:r>
    </w:p>
    <w:p w14:paraId="1C0E23E9">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4"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2、适用法律</w:t>
      </w:r>
    </w:p>
    <w:p w14:paraId="70FD47A5">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46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本合同的制定、生效、解释、履行、变更、终止、争议和处理均</w:t>
      </w:r>
      <w:r>
        <w:rPr>
          <w:rFonts w:hint="eastAsia" w:ascii="仿宋" w:hAnsi="仿宋" w:eastAsia="仿宋" w:cs="仿宋"/>
          <w:color w:val="auto"/>
          <w:spacing w:val="-1"/>
          <w:sz w:val="24"/>
          <w:szCs w:val="24"/>
          <w:highlight w:val="none"/>
        </w:rPr>
        <w:t>适用中华人民共和国法律、法规和相关政策。</w:t>
      </w:r>
    </w:p>
    <w:p w14:paraId="05B22468">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第</w:t>
      </w:r>
      <w:r>
        <w:rPr>
          <w:rFonts w:hint="eastAsia" w:ascii="仿宋" w:hAnsi="仿宋" w:eastAsia="仿宋" w:cs="仿宋"/>
          <w:b/>
          <w:bCs/>
          <w:color w:val="auto"/>
          <w:spacing w:val="-3"/>
          <w:sz w:val="28"/>
          <w:szCs w:val="28"/>
          <w:highlight w:val="none"/>
          <w:lang w:val="en-US" w:eastAsia="zh-CN"/>
        </w:rPr>
        <w:t>六</w:t>
      </w:r>
      <w:r>
        <w:rPr>
          <w:rFonts w:hint="eastAsia" w:ascii="仿宋" w:hAnsi="仿宋" w:eastAsia="仿宋" w:cs="仿宋"/>
          <w:b/>
          <w:bCs/>
          <w:color w:val="auto"/>
          <w:spacing w:val="-3"/>
          <w:sz w:val="28"/>
          <w:szCs w:val="28"/>
          <w:highlight w:val="none"/>
        </w:rPr>
        <w:t>章</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合同法律效力</w:t>
      </w:r>
    </w:p>
    <w:p w14:paraId="557475E0">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第十一条   合同法律效力</w:t>
      </w:r>
    </w:p>
    <w:p w14:paraId="514A87DE">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3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1、合同法律效力</w:t>
      </w:r>
    </w:p>
    <w:p w14:paraId="771FD7A8">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本合同未尽事宜可由双方商定另行补充，以下本合同附件均为与本合同具有共同效力的法律文件。</w:t>
      </w:r>
    </w:p>
    <w:p w14:paraId="0B60EB05">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242"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2、本合同一式</w:t>
      </w:r>
      <w:r>
        <w:rPr>
          <w:rFonts w:hint="eastAsia" w:ascii="仿宋" w:hAnsi="仿宋" w:eastAsia="仿宋" w:cs="仿宋"/>
          <w:color w:val="auto"/>
          <w:spacing w:val="1"/>
          <w:sz w:val="24"/>
          <w:szCs w:val="24"/>
          <w:highlight w:val="none"/>
          <w:u w:val="single"/>
          <w:lang w:val="en-US" w:eastAsia="zh-CN"/>
        </w:rPr>
        <w:t xml:space="preserve">      </w:t>
      </w:r>
      <w:r>
        <w:rPr>
          <w:rFonts w:hint="eastAsia" w:ascii="仿宋" w:hAnsi="仿宋" w:eastAsia="仿宋" w:cs="仿宋"/>
          <w:color w:val="auto"/>
          <w:spacing w:val="1"/>
          <w:sz w:val="24"/>
          <w:szCs w:val="24"/>
          <w:highlight w:val="none"/>
        </w:rPr>
        <w:t>份，双方授权代表签字盖章后生效，双方各执</w:t>
      </w:r>
      <w:r>
        <w:rPr>
          <w:rFonts w:hint="eastAsia" w:ascii="仿宋" w:hAnsi="仿宋" w:eastAsia="仿宋" w:cs="仿宋"/>
          <w:color w:val="auto"/>
          <w:spacing w:val="-1"/>
          <w:sz w:val="24"/>
          <w:szCs w:val="24"/>
          <w:highlight w:val="none"/>
          <w:u w:val="single"/>
          <w:lang w:val="en-US" w:eastAsia="zh-CN"/>
        </w:rPr>
        <w:t xml:space="preserve">     </w:t>
      </w:r>
      <w:r>
        <w:rPr>
          <w:rFonts w:hint="eastAsia" w:ascii="仿宋" w:hAnsi="仿宋" w:eastAsia="仿宋" w:cs="仿宋"/>
          <w:color w:val="auto"/>
          <w:spacing w:val="-1"/>
          <w:sz w:val="24"/>
          <w:szCs w:val="24"/>
          <w:highlight w:val="none"/>
        </w:rPr>
        <w:t>份，具有同等法律效力。</w:t>
      </w:r>
    </w:p>
    <w:p w14:paraId="0C7D791D">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textAlignment w:val="baseline"/>
        <w:rPr>
          <w:rFonts w:hint="eastAsia" w:ascii="仿宋" w:hAnsi="仿宋" w:eastAsia="仿宋" w:cs="仿宋"/>
          <w:color w:val="auto"/>
          <w:sz w:val="24"/>
          <w:szCs w:val="24"/>
          <w:highlight w:val="none"/>
        </w:rPr>
      </w:pPr>
    </w:p>
    <w:p w14:paraId="44DCA157">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textAlignment w:val="baseline"/>
        <w:rPr>
          <w:rFonts w:hint="eastAsia" w:ascii="仿宋" w:hAnsi="仿宋" w:eastAsia="仿宋" w:cs="仿宋"/>
          <w:color w:val="auto"/>
          <w:sz w:val="24"/>
          <w:szCs w:val="24"/>
          <w:highlight w:val="none"/>
        </w:rPr>
      </w:pPr>
    </w:p>
    <w:p w14:paraId="5F364BAA">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rPr>
        <w:t>甲方（签章</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
          <w:sz w:val="24"/>
          <w:szCs w:val="24"/>
          <w:highlight w:val="none"/>
          <w:lang w:val="en-US" w:eastAsia="zh-CN"/>
        </w:rPr>
        <w:t xml:space="preserve">       </w:t>
      </w:r>
      <w:r>
        <w:rPr>
          <w:rFonts w:hint="eastAsia" w:ascii="仿宋" w:hAnsi="仿宋" w:eastAsia="仿宋" w:cs="仿宋"/>
          <w:b w:val="0"/>
          <w:bCs w:val="0"/>
          <w:color w:val="auto"/>
          <w:spacing w:val="-9"/>
          <w:sz w:val="24"/>
          <w:szCs w:val="24"/>
          <w:highlight w:val="none"/>
        </w:rPr>
        <w:t>乙方（签章</w:t>
      </w:r>
      <w:r>
        <w:rPr>
          <w:rFonts w:hint="eastAsia" w:ascii="仿宋" w:hAnsi="仿宋" w:eastAsia="仿宋" w:cs="仿宋"/>
          <w:b w:val="0"/>
          <w:bCs w:val="0"/>
          <w:color w:val="auto"/>
          <w:sz w:val="24"/>
          <w:szCs w:val="24"/>
          <w:highlight w:val="none"/>
        </w:rPr>
        <w:t>）：</w:t>
      </w:r>
    </w:p>
    <w:p w14:paraId="06D7BEC4">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法人代表或委托代理人签字：       </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pacing w:val="-1"/>
          <w:sz w:val="24"/>
          <w:szCs w:val="24"/>
          <w:highlight w:val="none"/>
          <w:lang w:val="en-US" w:eastAsia="zh-CN"/>
        </w:rPr>
        <w:t xml:space="preserve"> </w:t>
      </w:r>
      <w:r>
        <w:rPr>
          <w:rFonts w:hint="eastAsia" w:ascii="仿宋" w:hAnsi="仿宋" w:eastAsia="仿宋" w:cs="仿宋"/>
          <w:b w:val="0"/>
          <w:bCs w:val="0"/>
          <w:color w:val="auto"/>
          <w:spacing w:val="-1"/>
          <w:sz w:val="24"/>
          <w:szCs w:val="24"/>
          <w:highlight w:val="none"/>
        </w:rPr>
        <w:t>法人代表签字：</w:t>
      </w:r>
    </w:p>
    <w:p w14:paraId="06DC9FA5">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联系电话：               </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pacing w:val="-1"/>
          <w:sz w:val="24"/>
          <w:szCs w:val="24"/>
          <w:highlight w:val="none"/>
          <w:lang w:val="en-US" w:eastAsia="zh-CN"/>
        </w:rPr>
        <w:t xml:space="preserve">    </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pacing w:val="-1"/>
          <w:sz w:val="24"/>
          <w:szCs w:val="24"/>
          <w:highlight w:val="none"/>
          <w:lang w:val="en-US" w:eastAsia="zh-CN"/>
        </w:rPr>
        <w:t xml:space="preserve">    </w:t>
      </w:r>
      <w:r>
        <w:rPr>
          <w:rFonts w:hint="eastAsia" w:ascii="仿宋" w:hAnsi="仿宋" w:eastAsia="仿宋" w:cs="仿宋"/>
          <w:b w:val="0"/>
          <w:bCs w:val="0"/>
          <w:color w:val="auto"/>
          <w:spacing w:val="-1"/>
          <w:sz w:val="24"/>
          <w:szCs w:val="24"/>
          <w:highlight w:val="none"/>
        </w:rPr>
        <w:t>联系电话：</w:t>
      </w:r>
    </w:p>
    <w:p w14:paraId="499B715D">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1"/>
          <w:sz w:val="24"/>
          <w:szCs w:val="24"/>
          <w:highlight w:val="none"/>
        </w:rPr>
        <w:t>年</w:t>
      </w:r>
      <w:r>
        <w:rPr>
          <w:rFonts w:hint="eastAsia" w:ascii="仿宋" w:hAnsi="仿宋" w:eastAsia="仿宋" w:cs="仿宋"/>
          <w:b w:val="0"/>
          <w:bCs w:val="0"/>
          <w:color w:val="auto"/>
          <w:spacing w:val="7"/>
          <w:sz w:val="24"/>
          <w:szCs w:val="24"/>
          <w:highlight w:val="none"/>
        </w:rPr>
        <w:t xml:space="preserve">    </w:t>
      </w:r>
      <w:r>
        <w:rPr>
          <w:rFonts w:hint="eastAsia" w:ascii="仿宋" w:hAnsi="仿宋" w:eastAsia="仿宋" w:cs="仿宋"/>
          <w:b w:val="0"/>
          <w:bCs w:val="0"/>
          <w:color w:val="auto"/>
          <w:spacing w:val="-11"/>
          <w:sz w:val="24"/>
          <w:szCs w:val="24"/>
          <w:highlight w:val="none"/>
        </w:rPr>
        <w:t>月</w:t>
      </w:r>
      <w:r>
        <w:rPr>
          <w:rFonts w:hint="eastAsia" w:ascii="仿宋" w:hAnsi="仿宋" w:eastAsia="仿宋" w:cs="仿宋"/>
          <w:b w:val="0"/>
          <w:bCs w:val="0"/>
          <w:color w:val="auto"/>
          <w:spacing w:val="14"/>
          <w:sz w:val="24"/>
          <w:szCs w:val="24"/>
          <w:highlight w:val="none"/>
        </w:rPr>
        <w:t xml:space="preserve">    </w:t>
      </w:r>
      <w:r>
        <w:rPr>
          <w:rFonts w:hint="eastAsia" w:ascii="仿宋" w:hAnsi="仿宋" w:eastAsia="仿宋" w:cs="仿宋"/>
          <w:b w:val="0"/>
          <w:bCs w:val="0"/>
          <w:color w:val="auto"/>
          <w:spacing w:val="-11"/>
          <w:sz w:val="24"/>
          <w:szCs w:val="24"/>
          <w:highlight w:val="none"/>
        </w:rPr>
        <w:t xml:space="preserve">日                              </w:t>
      </w:r>
      <w:r>
        <w:rPr>
          <w:rFonts w:hint="eastAsia" w:ascii="仿宋" w:hAnsi="仿宋" w:eastAsia="仿宋" w:cs="仿宋"/>
          <w:b w:val="0"/>
          <w:bCs w:val="0"/>
          <w:color w:val="auto"/>
          <w:spacing w:val="-11"/>
          <w:sz w:val="24"/>
          <w:szCs w:val="24"/>
          <w:highlight w:val="none"/>
          <w:lang w:val="en-US" w:eastAsia="zh-CN"/>
        </w:rPr>
        <w:t xml:space="preserve"> </w:t>
      </w:r>
      <w:r>
        <w:rPr>
          <w:rFonts w:hint="eastAsia" w:ascii="仿宋" w:hAnsi="仿宋" w:eastAsia="仿宋" w:cs="仿宋"/>
          <w:b w:val="0"/>
          <w:bCs w:val="0"/>
          <w:color w:val="auto"/>
          <w:spacing w:val="-11"/>
          <w:sz w:val="24"/>
          <w:szCs w:val="24"/>
          <w:highlight w:val="none"/>
        </w:rPr>
        <w:t>年</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11"/>
          <w:sz w:val="24"/>
          <w:szCs w:val="24"/>
          <w:highlight w:val="none"/>
        </w:rPr>
        <w:t>月</w:t>
      </w:r>
      <w:r>
        <w:rPr>
          <w:rFonts w:hint="eastAsia" w:ascii="仿宋" w:hAnsi="仿宋" w:eastAsia="仿宋" w:cs="仿宋"/>
          <w:b w:val="0"/>
          <w:bCs w:val="0"/>
          <w:color w:val="auto"/>
          <w:spacing w:val="15"/>
          <w:sz w:val="24"/>
          <w:szCs w:val="24"/>
          <w:highlight w:val="none"/>
        </w:rPr>
        <w:t xml:space="preserve">    </w:t>
      </w:r>
      <w:r>
        <w:rPr>
          <w:rFonts w:hint="eastAsia" w:ascii="仿宋" w:hAnsi="仿宋" w:eastAsia="仿宋" w:cs="仿宋"/>
          <w:b w:val="0"/>
          <w:bCs w:val="0"/>
          <w:color w:val="auto"/>
          <w:spacing w:val="-11"/>
          <w:sz w:val="24"/>
          <w:szCs w:val="24"/>
          <w:highlight w:val="none"/>
        </w:rPr>
        <w:t>日</w:t>
      </w:r>
    </w:p>
    <w:p w14:paraId="315DA8EB">
      <w:pPr>
        <w:spacing w:line="360" w:lineRule="auto"/>
        <w:ind w:left="-567" w:leftChars="-270" w:firstLine="540"/>
        <w:jc w:val="center"/>
        <w:rPr>
          <w:rFonts w:hint="eastAsia" w:ascii="仿宋" w:hAnsi="仿宋" w:eastAsia="仿宋" w:cs="仿宋"/>
          <w:color w:val="auto"/>
          <w:kern w:val="44"/>
          <w:sz w:val="24"/>
          <w:szCs w:val="24"/>
          <w:highlight w:val="none"/>
        </w:rPr>
      </w:pPr>
    </w:p>
    <w:p w14:paraId="3A223F06">
      <w:pPr>
        <w:jc w:val="both"/>
        <w:rPr>
          <w:rFonts w:hint="eastAsia" w:ascii="仿宋" w:hAnsi="仿宋" w:eastAsia="仿宋" w:cs="仿宋"/>
          <w:b/>
          <w:bCs/>
          <w:color w:val="auto"/>
          <w:kern w:val="44"/>
          <w:sz w:val="24"/>
          <w:szCs w:val="24"/>
          <w:highlight w:val="none"/>
          <w:lang w:val="en-US" w:eastAsia="zh-CN" w:bidi="ar-SA"/>
        </w:rPr>
      </w:pPr>
    </w:p>
    <w:p w14:paraId="060C4C21">
      <w:pPr>
        <w:jc w:val="both"/>
        <w:rPr>
          <w:rFonts w:hint="eastAsia" w:ascii="仿宋" w:hAnsi="仿宋" w:eastAsia="仿宋" w:cs="仿宋"/>
          <w:b/>
          <w:bCs/>
          <w:color w:val="auto"/>
          <w:kern w:val="44"/>
          <w:sz w:val="24"/>
          <w:szCs w:val="24"/>
          <w:highlight w:val="none"/>
          <w:lang w:val="en-US" w:eastAsia="zh-CN" w:bidi="ar-SA"/>
        </w:rPr>
      </w:pPr>
    </w:p>
    <w:p w14:paraId="4050E2A0">
      <w:pPr>
        <w:jc w:val="both"/>
        <w:rPr>
          <w:rFonts w:hint="eastAsia" w:ascii="仿宋" w:hAnsi="仿宋" w:eastAsia="仿宋" w:cs="仿宋"/>
          <w:b/>
          <w:bCs/>
          <w:color w:val="auto"/>
          <w:kern w:val="44"/>
          <w:sz w:val="24"/>
          <w:szCs w:val="24"/>
          <w:highlight w:val="none"/>
          <w:lang w:val="en-US" w:eastAsia="zh-CN" w:bidi="ar-SA"/>
        </w:rPr>
      </w:pPr>
    </w:p>
    <w:p w14:paraId="0B8100F2">
      <w:pPr>
        <w:spacing w:line="240" w:lineRule="auto"/>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附件1</w:t>
      </w:r>
    </w:p>
    <w:p w14:paraId="39505EB0">
      <w:pPr>
        <w:spacing w:line="24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安保人员工作量化标准考核细则</w:t>
      </w:r>
    </w:p>
    <w:p w14:paraId="1840F046">
      <w:pPr>
        <w:spacing w:line="240" w:lineRule="auto"/>
        <w:ind w:firstLine="420"/>
        <w:rPr>
          <w:rFonts w:hint="eastAsia" w:ascii="仿宋" w:hAnsi="仿宋" w:eastAsia="仿宋" w:cs="仿宋"/>
          <w:b/>
          <w:bCs/>
          <w:color w:val="auto"/>
          <w:sz w:val="21"/>
          <w:szCs w:val="21"/>
          <w:highlight w:val="none"/>
          <w:lang w:val="en-US" w:eastAsia="zh-CN"/>
        </w:rPr>
      </w:pPr>
    </w:p>
    <w:p w14:paraId="37625E0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进一步加强保卫科全体安保人员及消防人员的管理力度，不断提高综合素质和工作效率，规范其言语行动，完善奖勤罚懒、崇尚荣誉、弘扬正能量等机制，不断调动员工工作积极性，使管理工作逐步推行军事化、规范化和常态化。结合我院安保人员现状，制定《量化考核细则》如下：</w:t>
      </w:r>
    </w:p>
    <w:p w14:paraId="7A46860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量化考核的内容</w:t>
      </w:r>
    </w:p>
    <w:p w14:paraId="41AE7E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量化考核从职业素质、劳动纪律、仪容仪表、工作态度、完成任务等五个方面进行量化考核。</w:t>
      </w:r>
    </w:p>
    <w:p w14:paraId="0BFA4AC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量化考核办法</w:t>
      </w:r>
    </w:p>
    <w:p w14:paraId="48C8A84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全体安保人员必须参加量化考核。</w:t>
      </w:r>
    </w:p>
    <w:p w14:paraId="776053AD">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量化考核实行百分制，每扣除1分罚款50元，扣2分罚款100元，以此类推。</w:t>
      </w:r>
    </w:p>
    <w:p w14:paraId="21196C4E">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量化考核工作，安保公司人员由班组长进行考核，消防控制室由消防安全管理人考核，内勤、班组长由保卫科科长直接考核。科长可对当日执勤的安保人员实行随机抽查考核，发现问题按照本《细则》进行处理。</w:t>
      </w:r>
    </w:p>
    <w:p w14:paraId="17F18FF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每月月底的考核，要结合考勤、日常管理、工作情况、制度落实、任务完成情况和临床科室日常反映情况进行，每月底进行汇总上报。</w:t>
      </w:r>
    </w:p>
    <w:p w14:paraId="2E2B1F2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处罚的金额作为工作表现突出，完成工作任务优秀的员工的奖励，对在重大事项、事故处理、突发应急时间处置及时的另外申请奖金进行奖励。</w:t>
      </w:r>
    </w:p>
    <w:p w14:paraId="3F3C61E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全院职工、保卫科全体人员有权监督和举报所有安保人员，所举报的人或事一经查实，按照本《细则》规定对当事人进行处罚。</w:t>
      </w:r>
    </w:p>
    <w:p w14:paraId="3D490B6F">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量化考核具体细则</w:t>
      </w:r>
    </w:p>
    <w:p w14:paraId="3870BEAC">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0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处罚</w:t>
      </w:r>
    </w:p>
    <w:p w14:paraId="40DDE37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30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职业素质</w:t>
      </w:r>
    </w:p>
    <w:p w14:paraId="62C3B7BB">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执勤时态度不好，没有使用文明用语，对来院病患服务态度不好，对询问人员不理不睬的扣1分，造成纠纷的扣2分。</w:t>
      </w:r>
    </w:p>
    <w:p w14:paraId="6D44AE6B">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工作不积极主动，不服从管理，对岗位工作履职不到位的，扣2分。</w:t>
      </w:r>
    </w:p>
    <w:p w14:paraId="4803A71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不服从工作安排，当面顶撞管理人员的扣2分。</w:t>
      </w:r>
    </w:p>
    <w:p w14:paraId="196F6F3B">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无故不参加集体组织的学习、会议、培训、演练等活动的每次扣1分。</w:t>
      </w:r>
    </w:p>
    <w:p w14:paraId="612836D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诬陷、谎报他人违规、违纪，拉帮结伙扰乱管理秩序、破坏内部安定团结的，经查实，对当事人扣2分，情节严重的扣10分并予以辞退。</w:t>
      </w:r>
    </w:p>
    <w:p w14:paraId="786A9AB3">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不认真填写交接班、值班、巡查等记录的，每次扣当班人员1分。</w:t>
      </w:r>
    </w:p>
    <w:p w14:paraId="7D0EDF5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不及时清理工作区域卫生或经检查卫生不达标的当班人员（当事人）每次扣1分。</w:t>
      </w:r>
    </w:p>
    <w:p w14:paraId="2B15007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对安检措施执行不到位，对车辆及人员安检流于形式未按要求执行“五步法”等安全措施的，扣1分</w:t>
      </w:r>
    </w:p>
    <w:p w14:paraId="6D47198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30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劳动纪律</w:t>
      </w:r>
    </w:p>
    <w:p w14:paraId="27DBBDE4">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迟到或早退30分钟内扣1分，31-60分钟扣2分。</w:t>
      </w:r>
    </w:p>
    <w:p w14:paraId="50CAE517">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迟到1小时以上视为脱岗，1-2小时内扣3分，2-3小时内扣4分，3-4小时内扣6分，超过4小时视为旷工扣10分。</w:t>
      </w:r>
    </w:p>
    <w:p w14:paraId="50D6A47C">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岗位上睡觉视情节扣2-10分。</w:t>
      </w:r>
    </w:p>
    <w:p w14:paraId="6C431B1C">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私自换岗、顶岗每次扣2-6分（视情节），如发生问题追究责任的基础上，双方各扣6-10分，情节严重的涉嫌违法行为的予以辞退。非安保人员顶岗的，直接扣除10分，情节严重的予以辞退。</w:t>
      </w:r>
    </w:p>
    <w:p w14:paraId="3D512ABB">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上班期间喝酒、赌博扣6-10分（视情节）。</w:t>
      </w:r>
    </w:p>
    <w:p w14:paraId="23EDE63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30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仪容仪表</w:t>
      </w:r>
    </w:p>
    <w:p w14:paraId="3325F427">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上班期间不按规定着装（保安服、消防服）、未佩戴上岗证等每次扣1分。特殊要求除外。</w:t>
      </w:r>
    </w:p>
    <w:p w14:paraId="3880C9DD">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男性安保人员严禁留长发、蓄胡茬子、留长指甲等，违者每项扣0.5-1分；女安保人员严禁烫染头发，留长指甲等；服装不整洁的每项扣0.5-1分。</w:t>
      </w:r>
    </w:p>
    <w:p w14:paraId="516FFC3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30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工作态度</w:t>
      </w:r>
    </w:p>
    <w:p w14:paraId="54611DAC">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在岗期间发生纠纷时因处置不当，造成更大的纠纷、安检的，经查实责任在安保人员的扣4-10分（视责任轻重、造成的后果）</w:t>
      </w:r>
    </w:p>
    <w:p w14:paraId="309D0581">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多次被医院职工、病患、群众投诉服务态度差等行为，或收到举报违纪、违法行为，经查实扣除1-6分（视情节）</w:t>
      </w:r>
    </w:p>
    <w:p w14:paraId="6E9DB31F">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工作消极怠工、在岗不作为，玩忽职守，视情节扣1-4分。</w:t>
      </w:r>
    </w:p>
    <w:p w14:paraId="1A8B1BD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30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工作态度</w:t>
      </w:r>
    </w:p>
    <w:p w14:paraId="173B5E1B">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工作效率低，未按时完成工作任务扣1-4分。</w:t>
      </w:r>
    </w:p>
    <w:p w14:paraId="65E26A5D">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工作严重失职，造成重大经济损失或违法乱纪，除赔偿损失外，扣10分，视情节轻重予以警告或辞退。</w:t>
      </w:r>
    </w:p>
    <w:p w14:paraId="6584F22E">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0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奖励</w:t>
      </w:r>
    </w:p>
    <w:p w14:paraId="36802B5B">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工作中表现优秀，模范带头作用发挥好，多次受到群众书面表扬或锦旗，经查实，奖励1-5分，在年终总结时优先考虑优秀。</w:t>
      </w:r>
    </w:p>
    <w:p w14:paraId="2ED10DA1">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参与处理医疗、医患纠纷处理得当表现优秀的加1-3分。</w:t>
      </w:r>
    </w:p>
    <w:p w14:paraId="62524D2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发现医院内部存在的治安安全、消防安全隐患，提出合理化建议并被采纳的，避免医院重大损失，对发现重大安全隐患为医院挽回损失的视金额给与加2-5分，若挽回特大经济损失（5万元以上）给与适当的现金奖励。</w:t>
      </w:r>
    </w:p>
    <w:p w14:paraId="1C3379C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抓获刑事、案件嫌疑人，经查实，给与加5-8分，并予以嘉奖通报。</w:t>
      </w:r>
    </w:p>
    <w:p w14:paraId="459B1131">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有下列情况之一的，上报医院进行表彰奖励</w:t>
      </w:r>
    </w:p>
    <w:p w14:paraId="7446645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①成功阻止突发事件（违法犯罪、治安案件、跳楼自杀、聚众医闹等）的。</w:t>
      </w:r>
    </w:p>
    <w:p w14:paraId="65BD0B5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②在任何情况下，有挽救职工、患者、群众生命安全的行为。、</w:t>
      </w:r>
    </w:p>
    <w:p w14:paraId="545D44A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③在破获刑事、案件中有突出表现的。</w:t>
      </w:r>
    </w:p>
    <w:p w14:paraId="59296A6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其他处罚规定</w:t>
      </w:r>
    </w:p>
    <w:p w14:paraId="56FA08DF">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屡次违反考勤纪律，脱岗、旷工累计3天的予以扣20分，视情节给与待岗教育或辞退处理。</w:t>
      </w:r>
    </w:p>
    <w:p w14:paraId="5E234632">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不遵守《安保人员量化考核细则》，连续3个月扣分15分以上的，予以辞退。</w:t>
      </w:r>
    </w:p>
    <w:p w14:paraId="058E1EF0">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上班期间或在院内吵架、打架斗殴，情节较轻的，参与者每人扣4-6分，情节严重的未造成恶劣影响的扣除6-10分，情节特别严重并造成恶劣影响的，扣15分并予以辞退。</w:t>
      </w:r>
    </w:p>
    <w:p w14:paraId="4860F334">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违反法律法规，被司法部门处理的，一经发现立即予以辞退。</w:t>
      </w:r>
    </w:p>
    <w:p w14:paraId="55FC2B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24"/>
          <w:szCs w:val="24"/>
          <w:highlight w:val="none"/>
          <w:lang w:val="en-US" w:eastAsia="zh-CN"/>
        </w:rPr>
        <w:t>本《细则》适用所有安保人员，并严格按照相关的规定予以实施。</w:t>
      </w:r>
    </w:p>
    <w:p w14:paraId="128573C2">
      <w:pPr>
        <w:jc w:val="both"/>
        <w:rPr>
          <w:rFonts w:hint="eastAsia" w:ascii="仿宋" w:hAnsi="仿宋" w:eastAsia="仿宋" w:cs="仿宋"/>
          <w:b/>
          <w:bCs/>
          <w:color w:val="auto"/>
          <w:kern w:val="44"/>
          <w:sz w:val="24"/>
          <w:szCs w:val="24"/>
          <w:highlight w:val="none"/>
          <w:lang w:val="en-US" w:eastAsia="zh-CN" w:bidi="ar-SA"/>
        </w:rPr>
      </w:pPr>
    </w:p>
    <w:p w14:paraId="7F6D1E7C">
      <w:pPr>
        <w:jc w:val="both"/>
        <w:rPr>
          <w:rFonts w:hint="eastAsia" w:ascii="仿宋" w:hAnsi="仿宋" w:eastAsia="仿宋" w:cs="仿宋"/>
          <w:b/>
          <w:bCs/>
          <w:color w:val="auto"/>
          <w:kern w:val="44"/>
          <w:sz w:val="24"/>
          <w:szCs w:val="24"/>
          <w:highlight w:val="none"/>
          <w:lang w:val="en-US" w:eastAsia="zh-CN" w:bidi="ar-SA"/>
        </w:rPr>
      </w:pPr>
    </w:p>
    <w:p w14:paraId="2B4795C7">
      <w:pPr>
        <w:jc w:val="both"/>
        <w:rPr>
          <w:rFonts w:hint="eastAsia" w:ascii="仿宋" w:hAnsi="仿宋" w:eastAsia="仿宋" w:cs="仿宋"/>
          <w:b/>
          <w:bCs/>
          <w:color w:val="auto"/>
          <w:kern w:val="44"/>
          <w:sz w:val="24"/>
          <w:szCs w:val="24"/>
          <w:highlight w:val="none"/>
          <w:lang w:val="en-US" w:eastAsia="zh-CN" w:bidi="ar-SA"/>
        </w:rPr>
      </w:pPr>
    </w:p>
    <w:p w14:paraId="0192A29C">
      <w:pPr>
        <w:jc w:val="both"/>
        <w:rPr>
          <w:rFonts w:hint="eastAsia" w:ascii="仿宋" w:hAnsi="仿宋" w:eastAsia="仿宋" w:cs="仿宋"/>
          <w:b/>
          <w:bCs/>
          <w:color w:val="auto"/>
          <w:kern w:val="44"/>
          <w:sz w:val="24"/>
          <w:szCs w:val="24"/>
          <w:highlight w:val="none"/>
          <w:lang w:val="en-US" w:eastAsia="zh-CN" w:bidi="ar-SA"/>
        </w:rPr>
      </w:pPr>
    </w:p>
    <w:p w14:paraId="44D36F2A">
      <w:pPr>
        <w:jc w:val="both"/>
        <w:rPr>
          <w:rFonts w:hint="eastAsia" w:ascii="仿宋" w:hAnsi="仿宋" w:eastAsia="仿宋" w:cs="仿宋"/>
          <w:b/>
          <w:bCs/>
          <w:color w:val="auto"/>
          <w:kern w:val="44"/>
          <w:sz w:val="24"/>
          <w:szCs w:val="24"/>
          <w:highlight w:val="none"/>
          <w:lang w:val="en-US" w:eastAsia="zh-CN" w:bidi="ar-SA"/>
        </w:rPr>
      </w:pPr>
    </w:p>
    <w:p w14:paraId="01FA2F04">
      <w:pPr>
        <w:jc w:val="both"/>
        <w:rPr>
          <w:rFonts w:hint="eastAsia" w:ascii="仿宋" w:hAnsi="仿宋" w:eastAsia="仿宋" w:cs="仿宋"/>
          <w:b/>
          <w:bCs/>
          <w:color w:val="auto"/>
          <w:kern w:val="44"/>
          <w:sz w:val="24"/>
          <w:szCs w:val="24"/>
          <w:highlight w:val="none"/>
          <w:lang w:val="en-US" w:eastAsia="zh-CN" w:bidi="ar-SA"/>
        </w:rPr>
      </w:pPr>
    </w:p>
    <w:p w14:paraId="7D4A8438">
      <w:pPr>
        <w:jc w:val="both"/>
        <w:rPr>
          <w:rFonts w:hint="eastAsia" w:ascii="仿宋" w:hAnsi="仿宋" w:eastAsia="仿宋" w:cs="仿宋"/>
          <w:b/>
          <w:bCs/>
          <w:color w:val="auto"/>
          <w:kern w:val="44"/>
          <w:sz w:val="24"/>
          <w:szCs w:val="24"/>
          <w:highlight w:val="none"/>
          <w:lang w:val="en-US" w:eastAsia="zh-CN" w:bidi="ar-SA"/>
        </w:rPr>
      </w:pPr>
    </w:p>
    <w:p w14:paraId="6EDE1EC1">
      <w:pPr>
        <w:jc w:val="both"/>
        <w:rPr>
          <w:rFonts w:hint="eastAsia" w:ascii="仿宋" w:hAnsi="仿宋" w:eastAsia="仿宋" w:cs="仿宋"/>
          <w:b/>
          <w:bCs/>
          <w:color w:val="auto"/>
          <w:kern w:val="44"/>
          <w:sz w:val="24"/>
          <w:szCs w:val="24"/>
          <w:highlight w:val="none"/>
          <w:lang w:val="en-US" w:eastAsia="zh-CN" w:bidi="ar-SA"/>
        </w:rPr>
      </w:pPr>
    </w:p>
    <w:p w14:paraId="3B64C24E">
      <w:pPr>
        <w:jc w:val="both"/>
        <w:rPr>
          <w:rFonts w:hint="eastAsia" w:ascii="仿宋" w:hAnsi="仿宋" w:eastAsia="仿宋" w:cs="仿宋"/>
          <w:b/>
          <w:bCs/>
          <w:color w:val="auto"/>
          <w:kern w:val="44"/>
          <w:sz w:val="24"/>
          <w:szCs w:val="24"/>
          <w:highlight w:val="none"/>
          <w:lang w:val="en-US" w:eastAsia="zh-CN" w:bidi="ar-SA"/>
        </w:rPr>
      </w:pPr>
    </w:p>
    <w:p w14:paraId="3C0298D6">
      <w:pPr>
        <w:jc w:val="both"/>
        <w:rPr>
          <w:rFonts w:hint="eastAsia" w:ascii="仿宋" w:hAnsi="仿宋" w:eastAsia="仿宋" w:cs="仿宋"/>
          <w:b/>
          <w:bCs/>
          <w:color w:val="auto"/>
          <w:kern w:val="44"/>
          <w:sz w:val="24"/>
          <w:szCs w:val="24"/>
          <w:highlight w:val="none"/>
          <w:lang w:val="en-US" w:eastAsia="zh-CN" w:bidi="ar-SA"/>
        </w:rPr>
      </w:pPr>
    </w:p>
    <w:p w14:paraId="4D740AFA">
      <w:pPr>
        <w:jc w:val="both"/>
        <w:rPr>
          <w:rFonts w:hint="eastAsia" w:ascii="仿宋" w:hAnsi="仿宋" w:eastAsia="仿宋" w:cs="仿宋"/>
          <w:b/>
          <w:bCs/>
          <w:color w:val="auto"/>
          <w:kern w:val="44"/>
          <w:sz w:val="24"/>
          <w:szCs w:val="24"/>
          <w:highlight w:val="none"/>
          <w:lang w:val="en-US" w:eastAsia="zh-CN" w:bidi="ar-SA"/>
        </w:rPr>
      </w:pPr>
    </w:p>
    <w:p w14:paraId="28505BE8">
      <w:pPr>
        <w:jc w:val="both"/>
        <w:rPr>
          <w:rFonts w:hint="eastAsia" w:ascii="仿宋" w:hAnsi="仿宋" w:eastAsia="仿宋" w:cs="仿宋"/>
          <w:b/>
          <w:bCs/>
          <w:color w:val="auto"/>
          <w:kern w:val="44"/>
          <w:sz w:val="24"/>
          <w:szCs w:val="24"/>
          <w:highlight w:val="none"/>
          <w:lang w:val="en-US" w:eastAsia="zh-CN" w:bidi="ar-SA"/>
        </w:rPr>
      </w:pPr>
    </w:p>
    <w:p w14:paraId="518833AD">
      <w:pPr>
        <w:jc w:val="both"/>
        <w:rPr>
          <w:rFonts w:hint="eastAsia" w:ascii="仿宋" w:hAnsi="仿宋" w:eastAsia="仿宋" w:cs="仿宋"/>
          <w:b/>
          <w:bCs/>
          <w:color w:val="auto"/>
          <w:kern w:val="44"/>
          <w:sz w:val="24"/>
          <w:szCs w:val="24"/>
          <w:highlight w:val="none"/>
          <w:lang w:val="en-US" w:eastAsia="zh-CN" w:bidi="ar-SA"/>
        </w:rPr>
      </w:pPr>
    </w:p>
    <w:p w14:paraId="6656F2F3">
      <w:pPr>
        <w:jc w:val="both"/>
        <w:rPr>
          <w:rFonts w:hint="eastAsia" w:ascii="仿宋" w:hAnsi="仿宋" w:eastAsia="仿宋" w:cs="仿宋"/>
          <w:b/>
          <w:bCs/>
          <w:color w:val="auto"/>
          <w:kern w:val="44"/>
          <w:sz w:val="24"/>
          <w:szCs w:val="24"/>
          <w:highlight w:val="none"/>
          <w:lang w:val="en-US" w:eastAsia="zh-CN" w:bidi="ar-SA"/>
        </w:rPr>
      </w:pPr>
    </w:p>
    <w:p w14:paraId="0CB18E58">
      <w:pPr>
        <w:jc w:val="both"/>
        <w:rPr>
          <w:rFonts w:hint="eastAsia" w:ascii="仿宋" w:hAnsi="仿宋" w:eastAsia="仿宋" w:cs="仿宋"/>
          <w:b/>
          <w:bCs/>
          <w:color w:val="auto"/>
          <w:kern w:val="44"/>
          <w:sz w:val="24"/>
          <w:szCs w:val="24"/>
          <w:highlight w:val="none"/>
          <w:lang w:val="en-US" w:eastAsia="zh-CN" w:bidi="ar-SA"/>
        </w:rPr>
      </w:pPr>
    </w:p>
    <w:p w14:paraId="1403B515">
      <w:pPr>
        <w:jc w:val="both"/>
        <w:rPr>
          <w:rFonts w:hint="eastAsia" w:ascii="仿宋" w:hAnsi="仿宋" w:eastAsia="仿宋" w:cs="仿宋"/>
          <w:b/>
          <w:bCs/>
          <w:color w:val="auto"/>
          <w:kern w:val="44"/>
          <w:sz w:val="24"/>
          <w:szCs w:val="24"/>
          <w:highlight w:val="none"/>
          <w:lang w:val="en-US" w:eastAsia="zh-CN" w:bidi="ar-SA"/>
        </w:rPr>
        <w:sectPr>
          <w:headerReference r:id="rId4" w:type="default"/>
          <w:footerReference r:id="rId5" w:type="default"/>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tbl>
      <w:tblPr>
        <w:tblStyle w:val="29"/>
        <w:tblW w:w="13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7"/>
        <w:gridCol w:w="2994"/>
        <w:gridCol w:w="2955"/>
        <w:gridCol w:w="1473"/>
        <w:gridCol w:w="4751"/>
      </w:tblGrid>
      <w:tr w14:paraId="67C2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 w:hRule="atLeast"/>
          <w:jc w:val="center"/>
        </w:trPr>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A0ED">
            <w:pPr>
              <w:keepNext w:val="0"/>
              <w:keepLines w:val="0"/>
              <w:widowControl/>
              <w:suppressLineNumbers w:val="0"/>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附件2</w:t>
            </w:r>
          </w:p>
        </w:tc>
        <w:tc>
          <w:tcPr>
            <w:tcW w:w="121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029E">
            <w:pPr>
              <w:keepNext w:val="0"/>
              <w:keepLines w:val="0"/>
              <w:widowControl/>
              <w:suppressLineNumbers w:val="0"/>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 xml:space="preserve">  和田地区人民医院安保公司监督管理考核细则及处罚标准</w:t>
            </w:r>
          </w:p>
        </w:tc>
      </w:tr>
      <w:tr w14:paraId="38D0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82A8">
            <w:pPr>
              <w:keepNext w:val="0"/>
              <w:keepLines w:val="0"/>
              <w:pageBreakBefore w:val="0"/>
              <w:widowControl/>
              <w:suppressLineNumbers w:val="0"/>
              <w:kinsoku/>
              <w:wordWrap/>
              <w:overflowPunct/>
              <w:topLinePunct w:val="0"/>
              <w:autoSpaceDE/>
              <w:autoSpaceDN/>
              <w:bidi w:val="0"/>
              <w:adjustRightInd w:val="0"/>
              <w:snapToGrid w:val="0"/>
              <w:spacing w:line="312"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制定部门</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5639">
            <w:pPr>
              <w:keepNext w:val="0"/>
              <w:keepLines w:val="0"/>
              <w:pageBreakBefore w:val="0"/>
              <w:widowControl/>
              <w:suppressLineNumbers w:val="0"/>
              <w:kinsoku/>
              <w:wordWrap/>
              <w:overflowPunct/>
              <w:topLinePunct w:val="0"/>
              <w:autoSpaceDE/>
              <w:autoSpaceDN/>
              <w:bidi w:val="0"/>
              <w:adjustRightInd w:val="0"/>
              <w:snapToGrid w:val="0"/>
              <w:spacing w:line="312"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和田地区人民医院</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CEBD">
            <w:pPr>
              <w:keepNext w:val="0"/>
              <w:keepLines w:val="0"/>
              <w:pageBreakBefore w:val="0"/>
              <w:widowControl/>
              <w:suppressLineNumbers w:val="0"/>
              <w:kinsoku/>
              <w:wordWrap/>
              <w:overflowPunct/>
              <w:topLinePunct w:val="0"/>
              <w:autoSpaceDE/>
              <w:autoSpaceDN/>
              <w:bidi w:val="0"/>
              <w:adjustRightInd w:val="0"/>
              <w:snapToGrid w:val="0"/>
              <w:spacing w:line="312"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名称</w:t>
            </w:r>
          </w:p>
        </w:tc>
        <w:tc>
          <w:tcPr>
            <w:tcW w:w="6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B7AA">
            <w:pPr>
              <w:keepNext w:val="0"/>
              <w:keepLines w:val="0"/>
              <w:pageBreakBefore w:val="0"/>
              <w:widowControl/>
              <w:suppressLineNumbers w:val="0"/>
              <w:kinsoku/>
              <w:wordWrap/>
              <w:overflowPunct/>
              <w:topLinePunct w:val="0"/>
              <w:autoSpaceDE/>
              <w:autoSpaceDN/>
              <w:bidi w:val="0"/>
              <w:adjustRightInd w:val="0"/>
              <w:snapToGrid w:val="0"/>
              <w:spacing w:line="312"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和田地区人民医院安保服务公司考核细则及处罚标准</w:t>
            </w:r>
          </w:p>
        </w:tc>
      </w:tr>
      <w:tr w14:paraId="0D95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EB86">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生效日期</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DF1D">
            <w:pPr>
              <w:keepNext w:val="0"/>
              <w:keepLines w:val="0"/>
              <w:pageBreakBefore w:val="0"/>
              <w:widowControl/>
              <w:kinsoku/>
              <w:wordWrap/>
              <w:overflowPunct/>
              <w:topLinePunct w:val="0"/>
              <w:autoSpaceDE/>
              <w:autoSpaceDN/>
              <w:bidi w:val="0"/>
              <w:spacing w:line="312" w:lineRule="auto"/>
              <w:jc w:val="center"/>
              <w:rPr>
                <w:rFonts w:hint="eastAsia" w:ascii="仿宋" w:hAnsi="仿宋" w:eastAsia="仿宋" w:cs="仿宋"/>
                <w:i w:val="0"/>
                <w:iCs w:val="0"/>
                <w:color w:val="auto"/>
                <w:sz w:val="24"/>
                <w:szCs w:val="24"/>
                <w:highlight w:val="none"/>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7733">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制订日期</w:t>
            </w:r>
          </w:p>
        </w:tc>
        <w:tc>
          <w:tcPr>
            <w:tcW w:w="6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939F">
            <w:pPr>
              <w:keepNext w:val="0"/>
              <w:keepLines w:val="0"/>
              <w:pageBreakBefore w:val="0"/>
              <w:widowControl/>
              <w:kinsoku/>
              <w:wordWrap/>
              <w:overflowPunct/>
              <w:topLinePunct w:val="0"/>
              <w:autoSpaceDE/>
              <w:autoSpaceDN/>
              <w:bidi w:val="0"/>
              <w:spacing w:line="312" w:lineRule="auto"/>
              <w:jc w:val="center"/>
              <w:rPr>
                <w:rFonts w:hint="eastAsia" w:ascii="仿宋" w:hAnsi="仿宋" w:eastAsia="仿宋" w:cs="仿宋"/>
                <w:i w:val="0"/>
                <w:iCs w:val="0"/>
                <w:color w:val="auto"/>
                <w:sz w:val="24"/>
                <w:szCs w:val="24"/>
                <w:highlight w:val="none"/>
                <w:u w:val="none"/>
              </w:rPr>
            </w:pPr>
          </w:p>
        </w:tc>
      </w:tr>
      <w:tr w14:paraId="7772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DAA6">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适用部门</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E1E4">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安保服务公司</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5E8A">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适用人群</w:t>
            </w:r>
          </w:p>
        </w:tc>
        <w:tc>
          <w:tcPr>
            <w:tcW w:w="6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5A9E">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安保服务公司安保人员</w:t>
            </w:r>
          </w:p>
        </w:tc>
      </w:tr>
      <w:tr w14:paraId="41E5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9EF3">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审核部门</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E67E">
            <w:pPr>
              <w:keepNext w:val="0"/>
              <w:keepLines w:val="0"/>
              <w:pageBreakBefore w:val="0"/>
              <w:widowControl/>
              <w:kinsoku/>
              <w:wordWrap/>
              <w:overflowPunct/>
              <w:topLinePunct w:val="0"/>
              <w:autoSpaceDE/>
              <w:autoSpaceDN/>
              <w:bidi w:val="0"/>
              <w:spacing w:line="312" w:lineRule="auto"/>
              <w:jc w:val="center"/>
              <w:rPr>
                <w:rFonts w:hint="eastAsia" w:ascii="仿宋" w:hAnsi="仿宋" w:eastAsia="仿宋" w:cs="仿宋"/>
                <w:i w:val="0"/>
                <w:iCs w:val="0"/>
                <w:color w:val="auto"/>
                <w:sz w:val="24"/>
                <w:szCs w:val="24"/>
                <w:highlight w:val="none"/>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D342">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签发人</w:t>
            </w:r>
          </w:p>
        </w:tc>
        <w:tc>
          <w:tcPr>
            <w:tcW w:w="6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7BBB">
            <w:pPr>
              <w:keepNext w:val="0"/>
              <w:keepLines w:val="0"/>
              <w:pageBreakBefore w:val="0"/>
              <w:widowControl/>
              <w:kinsoku/>
              <w:wordWrap/>
              <w:overflowPunct/>
              <w:topLinePunct w:val="0"/>
              <w:autoSpaceDE/>
              <w:autoSpaceDN/>
              <w:bidi w:val="0"/>
              <w:spacing w:line="312" w:lineRule="auto"/>
              <w:jc w:val="center"/>
              <w:rPr>
                <w:rFonts w:hint="eastAsia" w:ascii="仿宋" w:hAnsi="仿宋" w:eastAsia="仿宋" w:cs="仿宋"/>
                <w:i w:val="0"/>
                <w:iCs w:val="0"/>
                <w:color w:val="auto"/>
                <w:sz w:val="24"/>
                <w:szCs w:val="24"/>
                <w:highlight w:val="none"/>
                <w:u w:val="none"/>
              </w:rPr>
            </w:pPr>
          </w:p>
        </w:tc>
      </w:tr>
      <w:tr w14:paraId="763B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36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152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检查时间：         年    月                  受检科室：安保公司                 检查人员：             </w:t>
            </w:r>
          </w:p>
        </w:tc>
      </w:tr>
      <w:tr w14:paraId="7CE7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0F2F">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项目</w:t>
            </w: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C1B0">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考核标准</w:t>
            </w:r>
          </w:p>
        </w:tc>
        <w:tc>
          <w:tcPr>
            <w:tcW w:w="1473" w:type="dxa"/>
            <w:tcBorders>
              <w:top w:val="single" w:color="000000" w:sz="4" w:space="0"/>
              <w:left w:val="single" w:color="000000" w:sz="4" w:space="0"/>
              <w:bottom w:val="nil"/>
              <w:right w:val="single" w:color="000000" w:sz="4" w:space="0"/>
            </w:tcBorders>
            <w:shd w:val="clear" w:color="auto" w:fill="auto"/>
            <w:noWrap/>
            <w:vAlign w:val="center"/>
          </w:tcPr>
          <w:p w14:paraId="35DA22AC">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分值</w:t>
            </w:r>
          </w:p>
        </w:tc>
        <w:tc>
          <w:tcPr>
            <w:tcW w:w="4751" w:type="dxa"/>
            <w:tcBorders>
              <w:top w:val="single" w:color="000000" w:sz="4" w:space="0"/>
              <w:left w:val="single" w:color="000000" w:sz="4" w:space="0"/>
              <w:bottom w:val="nil"/>
              <w:right w:val="single" w:color="000000" w:sz="4" w:space="0"/>
            </w:tcBorders>
            <w:shd w:val="clear" w:color="auto" w:fill="auto"/>
            <w:noWrap/>
            <w:vAlign w:val="center"/>
          </w:tcPr>
          <w:p w14:paraId="7E3EBCE0">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存在问题及减分记录</w:t>
            </w:r>
          </w:p>
        </w:tc>
      </w:tr>
      <w:tr w14:paraId="1DDD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467" w:type="dxa"/>
            <w:vMerge w:val="restart"/>
            <w:tcBorders>
              <w:top w:val="nil"/>
              <w:left w:val="single" w:color="000000" w:sz="4" w:space="0"/>
              <w:bottom w:val="single" w:color="000000" w:sz="4" w:space="0"/>
              <w:right w:val="single" w:color="000000" w:sz="4" w:space="0"/>
            </w:tcBorders>
            <w:shd w:val="clear" w:color="auto" w:fill="auto"/>
            <w:vAlign w:val="center"/>
          </w:tcPr>
          <w:p w14:paraId="6E9235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综合管理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（25分）</w:t>
            </w: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92FC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1、有适应单位具体情况的内部治安保卫制度、措施和必要的治安防范设施。</w:t>
            </w:r>
          </w:p>
        </w:tc>
        <w:tc>
          <w:tcPr>
            <w:tcW w:w="1473" w:type="dxa"/>
            <w:tcBorders>
              <w:top w:val="single" w:color="000000" w:sz="4" w:space="0"/>
              <w:left w:val="single" w:color="000000" w:sz="4" w:space="0"/>
              <w:bottom w:val="nil"/>
              <w:right w:val="single" w:color="000000" w:sz="4" w:space="0"/>
            </w:tcBorders>
            <w:shd w:val="clear" w:color="auto" w:fill="auto"/>
            <w:noWrap/>
            <w:vAlign w:val="center"/>
          </w:tcPr>
          <w:p w14:paraId="1ACDEE4E">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nil"/>
              <w:right w:val="single" w:color="000000" w:sz="4" w:space="0"/>
            </w:tcBorders>
            <w:shd w:val="clear" w:color="auto" w:fill="auto"/>
            <w:noWrap/>
            <w:vAlign w:val="center"/>
          </w:tcPr>
          <w:p w14:paraId="54EC5F7A">
            <w:pPr>
              <w:jc w:val="center"/>
              <w:rPr>
                <w:rFonts w:hint="eastAsia" w:ascii="仿宋" w:hAnsi="仿宋" w:eastAsia="仿宋" w:cs="仿宋"/>
                <w:i w:val="0"/>
                <w:iCs w:val="0"/>
                <w:color w:val="auto"/>
                <w:sz w:val="24"/>
                <w:szCs w:val="24"/>
                <w:highlight w:val="none"/>
                <w:u w:val="none"/>
              </w:rPr>
            </w:pPr>
          </w:p>
        </w:tc>
      </w:tr>
      <w:tr w14:paraId="46F6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467" w:type="dxa"/>
            <w:vMerge w:val="continue"/>
            <w:tcBorders>
              <w:top w:val="nil"/>
              <w:left w:val="single" w:color="000000" w:sz="4" w:space="0"/>
              <w:bottom w:val="single" w:color="000000" w:sz="4" w:space="0"/>
              <w:right w:val="single" w:color="000000" w:sz="4" w:space="0"/>
            </w:tcBorders>
            <w:shd w:val="clear" w:color="auto" w:fill="auto"/>
            <w:vAlign w:val="center"/>
          </w:tcPr>
          <w:p w14:paraId="37246667">
            <w:pPr>
              <w:jc w:val="center"/>
              <w:rPr>
                <w:rFonts w:hint="eastAsia" w:ascii="仿宋" w:hAnsi="仿宋" w:eastAsia="仿宋" w:cs="仿宋"/>
                <w:i w:val="0"/>
                <w:iCs w:val="0"/>
                <w:color w:val="auto"/>
                <w:sz w:val="24"/>
                <w:szCs w:val="24"/>
                <w:highlight w:val="none"/>
                <w:u w:val="none"/>
              </w:rPr>
            </w:pP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C1D1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2、单位范围内的治安保卫情况有人检查，重要部位得到重点保护，治安隐患及时得到排查。</w:t>
            </w:r>
          </w:p>
        </w:tc>
        <w:tc>
          <w:tcPr>
            <w:tcW w:w="1473" w:type="dxa"/>
            <w:tcBorders>
              <w:top w:val="single" w:color="000000" w:sz="4" w:space="0"/>
              <w:left w:val="single" w:color="000000" w:sz="4" w:space="0"/>
              <w:bottom w:val="nil"/>
              <w:right w:val="single" w:color="000000" w:sz="4" w:space="0"/>
            </w:tcBorders>
            <w:shd w:val="clear" w:color="auto" w:fill="auto"/>
            <w:noWrap/>
            <w:vAlign w:val="center"/>
          </w:tcPr>
          <w:p w14:paraId="1829B993">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nil"/>
              <w:right w:val="single" w:color="000000" w:sz="4" w:space="0"/>
            </w:tcBorders>
            <w:shd w:val="clear" w:color="auto" w:fill="auto"/>
            <w:noWrap/>
            <w:vAlign w:val="center"/>
          </w:tcPr>
          <w:p w14:paraId="16BAC588">
            <w:pPr>
              <w:jc w:val="center"/>
              <w:rPr>
                <w:rFonts w:hint="eastAsia" w:ascii="仿宋" w:hAnsi="仿宋" w:eastAsia="仿宋" w:cs="仿宋"/>
                <w:i w:val="0"/>
                <w:iCs w:val="0"/>
                <w:color w:val="auto"/>
                <w:sz w:val="24"/>
                <w:szCs w:val="24"/>
                <w:highlight w:val="none"/>
                <w:u w:val="none"/>
              </w:rPr>
            </w:pPr>
          </w:p>
        </w:tc>
      </w:tr>
      <w:tr w14:paraId="47C7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467" w:type="dxa"/>
            <w:vMerge w:val="continue"/>
            <w:tcBorders>
              <w:top w:val="nil"/>
              <w:left w:val="single" w:color="000000" w:sz="4" w:space="0"/>
              <w:bottom w:val="single" w:color="000000" w:sz="4" w:space="0"/>
              <w:right w:val="single" w:color="000000" w:sz="4" w:space="0"/>
            </w:tcBorders>
            <w:shd w:val="clear" w:color="auto" w:fill="auto"/>
            <w:vAlign w:val="center"/>
          </w:tcPr>
          <w:p w14:paraId="4E3217C7">
            <w:pPr>
              <w:jc w:val="center"/>
              <w:rPr>
                <w:rFonts w:hint="eastAsia" w:ascii="仿宋" w:hAnsi="仿宋" w:eastAsia="仿宋" w:cs="仿宋"/>
                <w:i w:val="0"/>
                <w:iCs w:val="0"/>
                <w:color w:val="auto"/>
                <w:sz w:val="24"/>
                <w:szCs w:val="24"/>
                <w:highlight w:val="none"/>
                <w:u w:val="none"/>
              </w:rPr>
            </w:pP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BF87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3、单位范围内的治安隐患和问题及时得到处理，发生治安案件、涉嫌刑事犯罪的案件及时得到处置。</w:t>
            </w:r>
          </w:p>
        </w:tc>
        <w:tc>
          <w:tcPr>
            <w:tcW w:w="1473" w:type="dxa"/>
            <w:tcBorders>
              <w:top w:val="single" w:color="000000" w:sz="4" w:space="0"/>
              <w:left w:val="single" w:color="000000" w:sz="4" w:space="0"/>
              <w:bottom w:val="nil"/>
              <w:right w:val="single" w:color="000000" w:sz="4" w:space="0"/>
            </w:tcBorders>
            <w:shd w:val="clear" w:color="auto" w:fill="auto"/>
            <w:noWrap/>
            <w:vAlign w:val="center"/>
          </w:tcPr>
          <w:p w14:paraId="2BB23A72">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nil"/>
              <w:right w:val="single" w:color="000000" w:sz="4" w:space="0"/>
            </w:tcBorders>
            <w:shd w:val="clear" w:color="auto" w:fill="auto"/>
            <w:noWrap/>
            <w:vAlign w:val="center"/>
          </w:tcPr>
          <w:p w14:paraId="45FF87FC">
            <w:pPr>
              <w:jc w:val="center"/>
              <w:rPr>
                <w:rFonts w:hint="eastAsia" w:ascii="仿宋" w:hAnsi="仿宋" w:eastAsia="仿宋" w:cs="仿宋"/>
                <w:i w:val="0"/>
                <w:iCs w:val="0"/>
                <w:color w:val="auto"/>
                <w:sz w:val="24"/>
                <w:szCs w:val="24"/>
                <w:highlight w:val="none"/>
                <w:u w:val="none"/>
              </w:rPr>
            </w:pPr>
          </w:p>
        </w:tc>
      </w:tr>
      <w:tr w14:paraId="0B0C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467" w:type="dxa"/>
            <w:vMerge w:val="continue"/>
            <w:tcBorders>
              <w:top w:val="nil"/>
              <w:left w:val="single" w:color="000000" w:sz="4" w:space="0"/>
              <w:bottom w:val="single" w:color="000000" w:sz="4" w:space="0"/>
              <w:right w:val="single" w:color="000000" w:sz="4" w:space="0"/>
            </w:tcBorders>
            <w:shd w:val="clear" w:color="auto" w:fill="auto"/>
            <w:vAlign w:val="center"/>
          </w:tcPr>
          <w:p w14:paraId="04A53ADD">
            <w:pPr>
              <w:jc w:val="center"/>
              <w:rPr>
                <w:rFonts w:hint="eastAsia" w:ascii="仿宋" w:hAnsi="仿宋" w:eastAsia="仿宋" w:cs="仿宋"/>
                <w:i w:val="0"/>
                <w:iCs w:val="0"/>
                <w:color w:val="auto"/>
                <w:sz w:val="24"/>
                <w:szCs w:val="24"/>
                <w:highlight w:val="none"/>
                <w:u w:val="none"/>
              </w:rPr>
            </w:pPr>
          </w:p>
        </w:tc>
        <w:tc>
          <w:tcPr>
            <w:tcW w:w="5949" w:type="dxa"/>
            <w:gridSpan w:val="2"/>
            <w:tcBorders>
              <w:top w:val="nil"/>
              <w:left w:val="single" w:color="000000" w:sz="4" w:space="0"/>
              <w:bottom w:val="single" w:color="000000" w:sz="4" w:space="0"/>
              <w:right w:val="nil"/>
            </w:tcBorders>
            <w:shd w:val="clear" w:color="auto" w:fill="auto"/>
            <w:vAlign w:val="center"/>
          </w:tcPr>
          <w:p w14:paraId="7087E45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4、违反医院的相关管理规定的行为、对安排的公差勤务不按时按量完成的。</w:t>
            </w:r>
          </w:p>
        </w:tc>
        <w:tc>
          <w:tcPr>
            <w:tcW w:w="1473" w:type="dxa"/>
            <w:tcBorders>
              <w:top w:val="single" w:color="000000" w:sz="4" w:space="0"/>
              <w:left w:val="single" w:color="000000" w:sz="4" w:space="0"/>
              <w:bottom w:val="nil"/>
              <w:right w:val="single" w:color="000000" w:sz="4" w:space="0"/>
            </w:tcBorders>
            <w:shd w:val="clear" w:color="auto" w:fill="auto"/>
            <w:noWrap/>
            <w:vAlign w:val="center"/>
          </w:tcPr>
          <w:p w14:paraId="61A8B8A0">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nil"/>
              <w:right w:val="single" w:color="000000" w:sz="4" w:space="0"/>
            </w:tcBorders>
            <w:shd w:val="clear" w:color="auto" w:fill="auto"/>
            <w:noWrap/>
            <w:vAlign w:val="center"/>
          </w:tcPr>
          <w:p w14:paraId="08045EDE">
            <w:pPr>
              <w:rPr>
                <w:rFonts w:hint="eastAsia" w:ascii="仿宋" w:hAnsi="仿宋" w:eastAsia="仿宋" w:cs="仿宋"/>
                <w:i w:val="0"/>
                <w:iCs w:val="0"/>
                <w:color w:val="auto"/>
                <w:sz w:val="24"/>
                <w:szCs w:val="24"/>
                <w:highlight w:val="none"/>
                <w:u w:val="none"/>
              </w:rPr>
            </w:pPr>
          </w:p>
        </w:tc>
      </w:tr>
      <w:tr w14:paraId="3ECC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467" w:type="dxa"/>
            <w:vMerge w:val="continue"/>
            <w:tcBorders>
              <w:top w:val="nil"/>
              <w:left w:val="single" w:color="000000" w:sz="4" w:space="0"/>
              <w:bottom w:val="single" w:color="000000" w:sz="4" w:space="0"/>
              <w:right w:val="single" w:color="000000" w:sz="4" w:space="0"/>
            </w:tcBorders>
            <w:shd w:val="clear" w:color="auto" w:fill="auto"/>
            <w:vAlign w:val="center"/>
          </w:tcPr>
          <w:p w14:paraId="10A3F785">
            <w:pPr>
              <w:jc w:val="center"/>
              <w:rPr>
                <w:rFonts w:hint="eastAsia" w:ascii="仿宋" w:hAnsi="仿宋" w:eastAsia="仿宋" w:cs="仿宋"/>
                <w:i w:val="0"/>
                <w:iCs w:val="0"/>
                <w:color w:val="auto"/>
                <w:sz w:val="24"/>
                <w:szCs w:val="24"/>
                <w:highlight w:val="none"/>
                <w:u w:val="none"/>
              </w:rPr>
            </w:pPr>
          </w:p>
        </w:tc>
        <w:tc>
          <w:tcPr>
            <w:tcW w:w="5949" w:type="dxa"/>
            <w:gridSpan w:val="2"/>
            <w:tcBorders>
              <w:top w:val="nil"/>
              <w:left w:val="single" w:color="000000" w:sz="4" w:space="0"/>
              <w:bottom w:val="single" w:color="000000" w:sz="4" w:space="0"/>
              <w:right w:val="nil"/>
            </w:tcBorders>
            <w:shd w:val="clear" w:color="auto" w:fill="auto"/>
            <w:vAlign w:val="center"/>
          </w:tcPr>
          <w:p w14:paraId="60B2F2A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5、对医院组织的活动无故不参加的。</w:t>
            </w:r>
          </w:p>
        </w:tc>
        <w:tc>
          <w:tcPr>
            <w:tcW w:w="1473" w:type="dxa"/>
            <w:tcBorders>
              <w:top w:val="single" w:color="000000" w:sz="4" w:space="0"/>
              <w:left w:val="single" w:color="000000" w:sz="4" w:space="0"/>
              <w:bottom w:val="nil"/>
              <w:right w:val="single" w:color="000000" w:sz="4" w:space="0"/>
            </w:tcBorders>
            <w:shd w:val="clear" w:color="auto" w:fill="auto"/>
            <w:noWrap/>
            <w:vAlign w:val="center"/>
          </w:tcPr>
          <w:p w14:paraId="3AD72CF9">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nil"/>
              <w:right w:val="single" w:color="000000" w:sz="4" w:space="0"/>
            </w:tcBorders>
            <w:shd w:val="clear" w:color="auto" w:fill="auto"/>
            <w:noWrap/>
            <w:vAlign w:val="center"/>
          </w:tcPr>
          <w:p w14:paraId="05E23DE5">
            <w:pPr>
              <w:rPr>
                <w:rFonts w:hint="eastAsia" w:ascii="仿宋" w:hAnsi="仿宋" w:eastAsia="仿宋" w:cs="仿宋"/>
                <w:i w:val="0"/>
                <w:iCs w:val="0"/>
                <w:color w:val="auto"/>
                <w:sz w:val="24"/>
                <w:szCs w:val="24"/>
                <w:highlight w:val="none"/>
                <w:u w:val="none"/>
              </w:rPr>
            </w:pPr>
          </w:p>
        </w:tc>
      </w:tr>
      <w:tr w14:paraId="3DF5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467" w:type="dxa"/>
            <w:vMerge w:val="restart"/>
            <w:tcBorders>
              <w:top w:val="nil"/>
              <w:left w:val="single" w:color="000000" w:sz="4" w:space="0"/>
              <w:bottom w:val="single" w:color="000000" w:sz="4" w:space="0"/>
              <w:right w:val="single" w:color="000000" w:sz="4" w:space="0"/>
            </w:tcBorders>
            <w:shd w:val="clear" w:color="auto" w:fill="auto"/>
            <w:vAlign w:val="center"/>
          </w:tcPr>
          <w:p w14:paraId="36FCEA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考勤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（10分）</w:t>
            </w:r>
          </w:p>
        </w:tc>
        <w:tc>
          <w:tcPr>
            <w:tcW w:w="5949" w:type="dxa"/>
            <w:gridSpan w:val="2"/>
            <w:tcBorders>
              <w:top w:val="nil"/>
              <w:left w:val="single" w:color="000000" w:sz="4" w:space="0"/>
              <w:bottom w:val="single" w:color="000000" w:sz="4" w:space="0"/>
              <w:right w:val="single" w:color="000000" w:sz="4" w:space="0"/>
            </w:tcBorders>
            <w:shd w:val="clear" w:color="auto" w:fill="auto"/>
            <w:vAlign w:val="center"/>
          </w:tcPr>
          <w:p w14:paraId="5E8904F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1、人员按时上下班，正常交接班，人员无早退、脱岗、旷工、上班时间做与工作无关的事。</w:t>
            </w:r>
          </w:p>
        </w:tc>
        <w:tc>
          <w:tcPr>
            <w:tcW w:w="1473" w:type="dxa"/>
            <w:tcBorders>
              <w:top w:val="single" w:color="000000" w:sz="4" w:space="0"/>
              <w:left w:val="single" w:color="000000" w:sz="4" w:space="0"/>
              <w:bottom w:val="nil"/>
              <w:right w:val="single" w:color="000000" w:sz="4" w:space="0"/>
            </w:tcBorders>
            <w:shd w:val="clear" w:color="auto" w:fill="auto"/>
            <w:noWrap/>
            <w:vAlign w:val="center"/>
          </w:tcPr>
          <w:p w14:paraId="7C265012">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2917">
            <w:pPr>
              <w:rPr>
                <w:rFonts w:hint="eastAsia" w:ascii="仿宋" w:hAnsi="仿宋" w:eastAsia="仿宋" w:cs="仿宋"/>
                <w:i w:val="0"/>
                <w:iCs w:val="0"/>
                <w:color w:val="auto"/>
                <w:sz w:val="24"/>
                <w:szCs w:val="24"/>
                <w:highlight w:val="none"/>
                <w:u w:val="none"/>
              </w:rPr>
            </w:pPr>
          </w:p>
        </w:tc>
      </w:tr>
      <w:tr w14:paraId="1A53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467" w:type="dxa"/>
            <w:vMerge w:val="continue"/>
            <w:tcBorders>
              <w:top w:val="nil"/>
              <w:left w:val="single" w:color="000000" w:sz="4" w:space="0"/>
              <w:bottom w:val="single" w:color="000000" w:sz="4" w:space="0"/>
              <w:right w:val="single" w:color="000000" w:sz="4" w:space="0"/>
            </w:tcBorders>
            <w:shd w:val="clear" w:color="auto" w:fill="auto"/>
            <w:vAlign w:val="center"/>
          </w:tcPr>
          <w:p w14:paraId="7FBA2BF4">
            <w:pPr>
              <w:jc w:val="center"/>
              <w:rPr>
                <w:rFonts w:hint="eastAsia" w:ascii="仿宋" w:hAnsi="仿宋" w:eastAsia="仿宋" w:cs="仿宋"/>
                <w:i w:val="0"/>
                <w:iCs w:val="0"/>
                <w:color w:val="auto"/>
                <w:sz w:val="24"/>
                <w:szCs w:val="24"/>
                <w:highlight w:val="none"/>
                <w:u w:val="none"/>
              </w:rPr>
            </w:pPr>
          </w:p>
        </w:tc>
        <w:tc>
          <w:tcPr>
            <w:tcW w:w="5949" w:type="dxa"/>
            <w:gridSpan w:val="2"/>
            <w:tcBorders>
              <w:top w:val="nil"/>
              <w:left w:val="single" w:color="000000" w:sz="4" w:space="0"/>
              <w:bottom w:val="single" w:color="000000" w:sz="4" w:space="0"/>
              <w:right w:val="single" w:color="000000" w:sz="4" w:space="0"/>
            </w:tcBorders>
            <w:shd w:val="clear" w:color="auto" w:fill="auto"/>
            <w:vAlign w:val="center"/>
          </w:tcPr>
          <w:p w14:paraId="67E52D0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2、组织培训、学习、会议等集体活动无故不参加。</w:t>
            </w:r>
          </w:p>
        </w:tc>
        <w:tc>
          <w:tcPr>
            <w:tcW w:w="1473" w:type="dxa"/>
            <w:tcBorders>
              <w:top w:val="single" w:color="000000" w:sz="4" w:space="0"/>
              <w:left w:val="single" w:color="000000" w:sz="4" w:space="0"/>
              <w:bottom w:val="nil"/>
              <w:right w:val="single" w:color="000000" w:sz="4" w:space="0"/>
            </w:tcBorders>
            <w:shd w:val="clear" w:color="auto" w:fill="auto"/>
            <w:noWrap/>
            <w:vAlign w:val="center"/>
          </w:tcPr>
          <w:p w14:paraId="200D44D7">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73AF">
            <w:pPr>
              <w:rPr>
                <w:rFonts w:hint="eastAsia" w:ascii="仿宋" w:hAnsi="仿宋" w:eastAsia="仿宋" w:cs="仿宋"/>
                <w:i w:val="0"/>
                <w:iCs w:val="0"/>
                <w:color w:val="auto"/>
                <w:sz w:val="24"/>
                <w:szCs w:val="24"/>
                <w:highlight w:val="none"/>
                <w:u w:val="none"/>
              </w:rPr>
            </w:pPr>
          </w:p>
        </w:tc>
      </w:tr>
      <w:tr w14:paraId="09B9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467" w:type="dxa"/>
            <w:vMerge w:val="restart"/>
            <w:tcBorders>
              <w:top w:val="nil"/>
              <w:left w:val="single" w:color="000000" w:sz="4" w:space="0"/>
              <w:bottom w:val="single" w:color="000000" w:sz="4" w:space="0"/>
              <w:right w:val="single" w:color="000000" w:sz="4" w:space="0"/>
            </w:tcBorders>
            <w:shd w:val="clear" w:color="auto" w:fill="auto"/>
            <w:vAlign w:val="center"/>
          </w:tcPr>
          <w:p w14:paraId="5F929B8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仪容仪表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管理</w:t>
            </w:r>
          </w:p>
          <w:p w14:paraId="71AE964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（15分）</w:t>
            </w:r>
          </w:p>
        </w:tc>
        <w:tc>
          <w:tcPr>
            <w:tcW w:w="5949" w:type="dxa"/>
            <w:gridSpan w:val="2"/>
            <w:tcBorders>
              <w:top w:val="nil"/>
              <w:left w:val="single" w:color="000000" w:sz="4" w:space="0"/>
              <w:bottom w:val="single" w:color="000000" w:sz="4" w:space="0"/>
              <w:right w:val="single" w:color="000000" w:sz="4" w:space="0"/>
            </w:tcBorders>
            <w:shd w:val="clear" w:color="auto" w:fill="auto"/>
            <w:vAlign w:val="center"/>
          </w:tcPr>
          <w:p w14:paraId="01F554D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1、人员工作期间不得佩戴戒指首饰等。男保安不得留长发，不留胡子，不留长指甲；女保安头发应用工帽扎好，不得留长指甲，不得涂指甲油。</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557D">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6887">
            <w:pPr>
              <w:rPr>
                <w:rFonts w:hint="eastAsia" w:ascii="仿宋" w:hAnsi="仿宋" w:eastAsia="仿宋" w:cs="仿宋"/>
                <w:i w:val="0"/>
                <w:iCs w:val="0"/>
                <w:color w:val="auto"/>
                <w:sz w:val="24"/>
                <w:szCs w:val="24"/>
                <w:highlight w:val="none"/>
                <w:u w:val="none"/>
              </w:rPr>
            </w:pPr>
          </w:p>
        </w:tc>
      </w:tr>
      <w:tr w14:paraId="29EF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jc w:val="center"/>
        </w:trPr>
        <w:tc>
          <w:tcPr>
            <w:tcW w:w="1467" w:type="dxa"/>
            <w:vMerge w:val="continue"/>
            <w:tcBorders>
              <w:top w:val="nil"/>
              <w:left w:val="single" w:color="000000" w:sz="4" w:space="0"/>
              <w:bottom w:val="single" w:color="000000" w:sz="4" w:space="0"/>
              <w:right w:val="single" w:color="000000" w:sz="4" w:space="0"/>
            </w:tcBorders>
            <w:shd w:val="clear" w:color="auto" w:fill="auto"/>
            <w:vAlign w:val="center"/>
          </w:tcPr>
          <w:p w14:paraId="365C0F47">
            <w:pPr>
              <w:jc w:val="center"/>
              <w:rPr>
                <w:rFonts w:hint="eastAsia" w:ascii="仿宋" w:hAnsi="仿宋" w:eastAsia="仿宋" w:cs="仿宋"/>
                <w:i w:val="0"/>
                <w:iCs w:val="0"/>
                <w:color w:val="auto"/>
                <w:sz w:val="24"/>
                <w:szCs w:val="24"/>
                <w:highlight w:val="none"/>
                <w:u w:val="none"/>
              </w:rPr>
            </w:pP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3988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2、工作服必须按照季节规范着装，不得春秋装、夏装和冬装混搭。工作服应干净，整齐。纽扣要全部扣好，不得敞开外衣，卷起裤腿，衣袖，武装带要扎紧。不准赤脚穿凉鞋或穿拖鞋站岗巡逻。</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8B9B">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B797">
            <w:pPr>
              <w:rPr>
                <w:rFonts w:hint="eastAsia" w:ascii="仿宋" w:hAnsi="仿宋" w:eastAsia="仿宋" w:cs="仿宋"/>
                <w:i w:val="0"/>
                <w:iCs w:val="0"/>
                <w:color w:val="auto"/>
                <w:sz w:val="24"/>
                <w:szCs w:val="24"/>
                <w:highlight w:val="none"/>
                <w:u w:val="none"/>
              </w:rPr>
            </w:pPr>
          </w:p>
        </w:tc>
      </w:tr>
      <w:tr w14:paraId="304B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467" w:type="dxa"/>
            <w:vMerge w:val="continue"/>
            <w:tcBorders>
              <w:top w:val="nil"/>
              <w:left w:val="single" w:color="000000" w:sz="4" w:space="0"/>
              <w:bottom w:val="single" w:color="000000" w:sz="4" w:space="0"/>
              <w:right w:val="single" w:color="000000" w:sz="4" w:space="0"/>
            </w:tcBorders>
            <w:shd w:val="clear" w:color="auto" w:fill="auto"/>
            <w:vAlign w:val="center"/>
          </w:tcPr>
          <w:p w14:paraId="2190A01D">
            <w:pPr>
              <w:jc w:val="center"/>
              <w:rPr>
                <w:rFonts w:hint="eastAsia" w:ascii="仿宋" w:hAnsi="仿宋" w:eastAsia="仿宋" w:cs="仿宋"/>
                <w:i w:val="0"/>
                <w:iCs w:val="0"/>
                <w:color w:val="auto"/>
                <w:sz w:val="24"/>
                <w:szCs w:val="24"/>
                <w:highlight w:val="none"/>
                <w:u w:val="none"/>
              </w:rPr>
            </w:pP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4A34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3、着装在岗位时，不准吸烟、吃东西，不准搭肩、挽臂、敞怀、袖手、扎堆聊天和嬉笑打闹，不准随地吐痰，不准乱扔废弃物。</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4BF8">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7417">
            <w:pPr>
              <w:rPr>
                <w:rFonts w:hint="eastAsia" w:ascii="仿宋" w:hAnsi="仿宋" w:eastAsia="仿宋" w:cs="仿宋"/>
                <w:i w:val="0"/>
                <w:iCs w:val="0"/>
                <w:color w:val="auto"/>
                <w:sz w:val="24"/>
                <w:szCs w:val="24"/>
                <w:highlight w:val="none"/>
                <w:u w:val="none"/>
              </w:rPr>
            </w:pPr>
          </w:p>
        </w:tc>
      </w:tr>
      <w:tr w14:paraId="47A6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2D1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消防安全管理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（25分）</w:t>
            </w: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FC11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1、相关的消防安全知识掌握不到位，各楼层疏散通道不知晓的。</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FD73">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57AF">
            <w:pPr>
              <w:rPr>
                <w:rFonts w:hint="eastAsia" w:ascii="仿宋" w:hAnsi="仿宋" w:eastAsia="仿宋" w:cs="仿宋"/>
                <w:i w:val="0"/>
                <w:iCs w:val="0"/>
                <w:color w:val="auto"/>
                <w:sz w:val="24"/>
                <w:szCs w:val="24"/>
                <w:highlight w:val="none"/>
                <w:u w:val="none"/>
              </w:rPr>
            </w:pPr>
          </w:p>
        </w:tc>
      </w:tr>
      <w:tr w14:paraId="04FD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0918">
            <w:pPr>
              <w:jc w:val="center"/>
              <w:rPr>
                <w:rFonts w:hint="eastAsia" w:ascii="仿宋" w:hAnsi="仿宋" w:eastAsia="仿宋" w:cs="仿宋"/>
                <w:i w:val="0"/>
                <w:iCs w:val="0"/>
                <w:color w:val="auto"/>
                <w:sz w:val="24"/>
                <w:szCs w:val="24"/>
                <w:highlight w:val="none"/>
                <w:u w:val="none"/>
              </w:rPr>
            </w:pP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5A80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2、灭火器、消火栓、自动消防设施不会使用的。</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9524">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072A">
            <w:pPr>
              <w:rPr>
                <w:rFonts w:hint="eastAsia" w:ascii="仿宋" w:hAnsi="仿宋" w:eastAsia="仿宋" w:cs="仿宋"/>
                <w:i w:val="0"/>
                <w:iCs w:val="0"/>
                <w:color w:val="auto"/>
                <w:sz w:val="24"/>
                <w:szCs w:val="24"/>
                <w:highlight w:val="none"/>
                <w:u w:val="none"/>
              </w:rPr>
            </w:pPr>
          </w:p>
        </w:tc>
      </w:tr>
      <w:tr w14:paraId="45B6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F9C80">
            <w:pPr>
              <w:jc w:val="center"/>
              <w:rPr>
                <w:rFonts w:hint="eastAsia" w:ascii="仿宋" w:hAnsi="仿宋" w:eastAsia="仿宋" w:cs="仿宋"/>
                <w:i w:val="0"/>
                <w:iCs w:val="0"/>
                <w:color w:val="auto"/>
                <w:sz w:val="24"/>
                <w:szCs w:val="24"/>
                <w:highlight w:val="none"/>
                <w:u w:val="none"/>
              </w:rPr>
            </w:pP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3327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3、突发火灾未及时到场处理的。</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5ABC">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004B">
            <w:pPr>
              <w:rPr>
                <w:rFonts w:hint="eastAsia" w:ascii="仿宋" w:hAnsi="仿宋" w:eastAsia="仿宋" w:cs="仿宋"/>
                <w:i w:val="0"/>
                <w:iCs w:val="0"/>
                <w:color w:val="auto"/>
                <w:sz w:val="24"/>
                <w:szCs w:val="24"/>
                <w:highlight w:val="none"/>
                <w:u w:val="none"/>
              </w:rPr>
            </w:pPr>
          </w:p>
        </w:tc>
      </w:tr>
      <w:tr w14:paraId="7E83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4AD7C">
            <w:pPr>
              <w:jc w:val="center"/>
              <w:rPr>
                <w:rFonts w:hint="eastAsia" w:ascii="仿宋" w:hAnsi="仿宋" w:eastAsia="仿宋" w:cs="仿宋"/>
                <w:i w:val="0"/>
                <w:iCs w:val="0"/>
                <w:color w:val="auto"/>
                <w:sz w:val="24"/>
                <w:szCs w:val="24"/>
                <w:highlight w:val="none"/>
                <w:u w:val="none"/>
              </w:rPr>
            </w:pP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A543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4、制定突发火灾的应急预案。</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4A73">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1F50">
            <w:pPr>
              <w:rPr>
                <w:rFonts w:hint="eastAsia" w:ascii="仿宋" w:hAnsi="仿宋" w:eastAsia="仿宋" w:cs="仿宋"/>
                <w:i w:val="0"/>
                <w:iCs w:val="0"/>
                <w:color w:val="auto"/>
                <w:sz w:val="24"/>
                <w:szCs w:val="24"/>
                <w:highlight w:val="none"/>
                <w:u w:val="none"/>
              </w:rPr>
            </w:pPr>
          </w:p>
        </w:tc>
      </w:tr>
      <w:tr w14:paraId="0431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467" w:type="dxa"/>
            <w:vMerge w:val="restart"/>
            <w:tcBorders>
              <w:top w:val="nil"/>
              <w:left w:val="single" w:color="000000" w:sz="4" w:space="0"/>
              <w:bottom w:val="single" w:color="000000" w:sz="4" w:space="0"/>
              <w:right w:val="single" w:color="000000" w:sz="4" w:space="0"/>
            </w:tcBorders>
            <w:shd w:val="clear" w:color="auto" w:fill="auto"/>
            <w:vAlign w:val="center"/>
          </w:tcPr>
          <w:p w14:paraId="62713EB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岗位履职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管理</w:t>
            </w:r>
          </w:p>
          <w:p w14:paraId="405DDA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（25分）</w:t>
            </w: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CE5D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1、东门车辆入口处按照要求对车辆进行后备箱安检,特殊时间节点按照有关部门要求对车辆人员进行安检。</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E7B2">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4809">
            <w:pPr>
              <w:rPr>
                <w:rFonts w:hint="eastAsia" w:ascii="仿宋" w:hAnsi="仿宋" w:eastAsia="仿宋" w:cs="仿宋"/>
                <w:i w:val="0"/>
                <w:iCs w:val="0"/>
                <w:color w:val="auto"/>
                <w:sz w:val="24"/>
                <w:szCs w:val="24"/>
                <w:highlight w:val="none"/>
                <w:u w:val="none"/>
              </w:rPr>
            </w:pPr>
          </w:p>
        </w:tc>
      </w:tr>
      <w:tr w14:paraId="716D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467" w:type="dxa"/>
            <w:vMerge w:val="continue"/>
            <w:tcBorders>
              <w:top w:val="nil"/>
              <w:left w:val="single" w:color="000000" w:sz="4" w:space="0"/>
              <w:bottom w:val="single" w:color="000000" w:sz="4" w:space="0"/>
              <w:right w:val="single" w:color="000000" w:sz="4" w:space="0"/>
            </w:tcBorders>
            <w:shd w:val="clear" w:color="auto" w:fill="auto"/>
            <w:vAlign w:val="center"/>
          </w:tcPr>
          <w:p w14:paraId="5FBBF5B3">
            <w:pPr>
              <w:jc w:val="center"/>
              <w:rPr>
                <w:rFonts w:hint="eastAsia" w:ascii="仿宋" w:hAnsi="仿宋" w:eastAsia="仿宋" w:cs="仿宋"/>
                <w:i w:val="0"/>
                <w:iCs w:val="0"/>
                <w:color w:val="auto"/>
                <w:sz w:val="24"/>
                <w:szCs w:val="24"/>
                <w:highlight w:val="none"/>
                <w:u w:val="none"/>
              </w:rPr>
            </w:pP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0056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2、停车场车辆规范停放，车辆未停放在指定区域或堵塞公共通道（消防车道）的，未按时开展巡逻工作的。</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A2B0">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869E">
            <w:pPr>
              <w:rPr>
                <w:rFonts w:hint="eastAsia" w:ascii="仿宋" w:hAnsi="仿宋" w:eastAsia="仿宋" w:cs="仿宋"/>
                <w:i w:val="0"/>
                <w:iCs w:val="0"/>
                <w:color w:val="auto"/>
                <w:sz w:val="24"/>
                <w:szCs w:val="24"/>
                <w:highlight w:val="none"/>
                <w:u w:val="none"/>
              </w:rPr>
            </w:pPr>
          </w:p>
        </w:tc>
      </w:tr>
      <w:tr w14:paraId="0EC6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467" w:type="dxa"/>
            <w:vMerge w:val="continue"/>
            <w:tcBorders>
              <w:top w:val="nil"/>
              <w:left w:val="single" w:color="000000" w:sz="4" w:space="0"/>
              <w:bottom w:val="single" w:color="000000" w:sz="4" w:space="0"/>
              <w:right w:val="single" w:color="000000" w:sz="4" w:space="0"/>
            </w:tcBorders>
            <w:shd w:val="clear" w:color="auto" w:fill="auto"/>
            <w:vAlign w:val="center"/>
          </w:tcPr>
          <w:p w14:paraId="4A752902">
            <w:pPr>
              <w:jc w:val="center"/>
              <w:rPr>
                <w:rFonts w:hint="eastAsia" w:ascii="仿宋" w:hAnsi="仿宋" w:eastAsia="仿宋" w:cs="仿宋"/>
                <w:i w:val="0"/>
                <w:iCs w:val="0"/>
                <w:color w:val="auto"/>
                <w:sz w:val="24"/>
                <w:szCs w:val="24"/>
                <w:highlight w:val="none"/>
                <w:u w:val="none"/>
              </w:rPr>
            </w:pP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1309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3、预检分诊点人员入口处，“五步法”落实不到位，人员未进行开包检查（X光机扫描）。</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A3F9">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B8FA">
            <w:pPr>
              <w:rPr>
                <w:rFonts w:hint="eastAsia" w:ascii="仿宋" w:hAnsi="仿宋" w:eastAsia="仿宋" w:cs="仿宋"/>
                <w:i w:val="0"/>
                <w:iCs w:val="0"/>
                <w:color w:val="auto"/>
                <w:sz w:val="24"/>
                <w:szCs w:val="24"/>
                <w:highlight w:val="none"/>
                <w:u w:val="none"/>
              </w:rPr>
            </w:pPr>
          </w:p>
        </w:tc>
      </w:tr>
      <w:tr w14:paraId="7D44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467" w:type="dxa"/>
            <w:vMerge w:val="continue"/>
            <w:tcBorders>
              <w:top w:val="nil"/>
              <w:left w:val="single" w:color="000000" w:sz="4" w:space="0"/>
              <w:bottom w:val="single" w:color="000000" w:sz="4" w:space="0"/>
              <w:right w:val="single" w:color="000000" w:sz="4" w:space="0"/>
            </w:tcBorders>
            <w:shd w:val="clear" w:color="auto" w:fill="auto"/>
            <w:vAlign w:val="center"/>
          </w:tcPr>
          <w:p w14:paraId="18DEA7F5">
            <w:pPr>
              <w:jc w:val="center"/>
              <w:rPr>
                <w:rFonts w:hint="eastAsia" w:ascii="仿宋" w:hAnsi="仿宋" w:eastAsia="仿宋" w:cs="仿宋"/>
                <w:i w:val="0"/>
                <w:iCs w:val="0"/>
                <w:color w:val="auto"/>
                <w:sz w:val="24"/>
                <w:szCs w:val="24"/>
                <w:highlight w:val="none"/>
                <w:u w:val="none"/>
              </w:rPr>
            </w:pP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720D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4、巡逻人员对全院的重点部位及人员较多的部位未进行巡逻的，接到电话后，处理院内发生的纠纷、打架、吵架等情况时三分钟没有到现场。</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18BC">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E424">
            <w:pPr>
              <w:rPr>
                <w:rFonts w:hint="eastAsia" w:ascii="仿宋" w:hAnsi="仿宋" w:eastAsia="仿宋" w:cs="仿宋"/>
                <w:i w:val="0"/>
                <w:iCs w:val="0"/>
                <w:color w:val="auto"/>
                <w:sz w:val="24"/>
                <w:szCs w:val="24"/>
                <w:highlight w:val="none"/>
                <w:u w:val="none"/>
              </w:rPr>
            </w:pPr>
          </w:p>
        </w:tc>
      </w:tr>
      <w:tr w14:paraId="541B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467" w:type="dxa"/>
            <w:vMerge w:val="continue"/>
            <w:tcBorders>
              <w:top w:val="nil"/>
              <w:left w:val="single" w:color="000000" w:sz="4" w:space="0"/>
              <w:bottom w:val="single" w:color="000000" w:sz="4" w:space="0"/>
              <w:right w:val="single" w:color="000000" w:sz="4" w:space="0"/>
            </w:tcBorders>
            <w:shd w:val="clear" w:color="auto" w:fill="auto"/>
            <w:vAlign w:val="center"/>
          </w:tcPr>
          <w:p w14:paraId="5D83A814">
            <w:pPr>
              <w:jc w:val="center"/>
              <w:rPr>
                <w:rFonts w:hint="eastAsia" w:ascii="仿宋" w:hAnsi="仿宋" w:eastAsia="仿宋" w:cs="仿宋"/>
                <w:i w:val="0"/>
                <w:iCs w:val="0"/>
                <w:color w:val="auto"/>
                <w:sz w:val="24"/>
                <w:szCs w:val="24"/>
                <w:highlight w:val="none"/>
                <w:u w:val="none"/>
              </w:rPr>
            </w:pP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4DF5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5、上级安排的其他工作未及时完成。</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88AD">
            <w:pPr>
              <w:jc w:val="center"/>
              <w:rPr>
                <w:rFonts w:hint="eastAsia" w:ascii="仿宋" w:hAnsi="仿宋" w:eastAsia="仿宋" w:cs="仿宋"/>
                <w:i w:val="0"/>
                <w:iCs w:val="0"/>
                <w:color w:val="auto"/>
                <w:sz w:val="24"/>
                <w:szCs w:val="24"/>
                <w:highlight w:val="none"/>
                <w:u w:val="none"/>
              </w:rPr>
            </w:pP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7590">
            <w:pPr>
              <w:rPr>
                <w:rFonts w:hint="eastAsia" w:ascii="仿宋" w:hAnsi="仿宋" w:eastAsia="仿宋" w:cs="仿宋"/>
                <w:i w:val="0"/>
                <w:iCs w:val="0"/>
                <w:color w:val="auto"/>
                <w:sz w:val="24"/>
                <w:szCs w:val="24"/>
                <w:highlight w:val="none"/>
                <w:u w:val="none"/>
              </w:rPr>
            </w:pPr>
          </w:p>
        </w:tc>
      </w:tr>
      <w:tr w14:paraId="01B0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13640" w:type="dxa"/>
            <w:gridSpan w:val="5"/>
            <w:tcBorders>
              <w:top w:val="nil"/>
              <w:left w:val="single" w:color="000000" w:sz="4" w:space="0"/>
              <w:bottom w:val="single" w:color="000000" w:sz="4" w:space="0"/>
              <w:right w:val="single" w:color="000000" w:sz="4" w:space="0"/>
            </w:tcBorders>
            <w:shd w:val="clear" w:color="auto" w:fill="auto"/>
            <w:vAlign w:val="center"/>
          </w:tcPr>
          <w:p w14:paraId="46016F3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w:t>
            </w:r>
          </w:p>
        </w:tc>
      </w:tr>
    </w:tbl>
    <w:p w14:paraId="0629D04C">
      <w:pPr>
        <w:spacing w:line="360" w:lineRule="auto"/>
        <w:ind w:firstLine="723" w:firstLineChars="300"/>
        <w:jc w:val="both"/>
        <w:rPr>
          <w:rFonts w:hint="eastAsia" w:ascii="仿宋" w:hAnsi="仿宋" w:eastAsia="仿宋" w:cs="仿宋"/>
          <w:b/>
          <w:color w:val="auto"/>
          <w:sz w:val="40"/>
          <w:szCs w:val="40"/>
          <w:highlight w:val="none"/>
        </w:rPr>
      </w:pPr>
      <w:r>
        <w:rPr>
          <w:rFonts w:hint="eastAsia" w:ascii="仿宋" w:hAnsi="仿宋" w:eastAsia="仿宋" w:cs="仿宋"/>
          <w:b/>
          <w:bCs/>
          <w:color w:val="auto"/>
          <w:kern w:val="44"/>
          <w:sz w:val="24"/>
          <w:szCs w:val="24"/>
          <w:highlight w:val="none"/>
          <w:lang w:val="en-US" w:eastAsia="zh-CN" w:bidi="ar-SA"/>
        </w:rPr>
        <w:t>注：本合同（协议书）仅为参考文本，签订双方可根据项目的具体要求进行修订。</w:t>
      </w:r>
    </w:p>
    <w:p w14:paraId="6798C2F5">
      <w:pPr>
        <w:jc w:val="both"/>
        <w:rPr>
          <w:rFonts w:hint="eastAsia" w:ascii="仿宋" w:hAnsi="仿宋" w:eastAsia="仿宋" w:cs="仿宋"/>
          <w:b/>
          <w:bCs/>
          <w:color w:val="auto"/>
          <w:kern w:val="44"/>
          <w:sz w:val="24"/>
          <w:szCs w:val="24"/>
          <w:highlight w:val="none"/>
          <w:lang w:val="en-US" w:eastAsia="zh-CN" w:bidi="ar-SA"/>
        </w:rPr>
        <w:sectPr>
          <w:pgSz w:w="16838" w:h="11905" w:orient="landscape"/>
          <w:pgMar w:top="1219" w:right="1140" w:bottom="1202" w:left="1162" w:header="851" w:footer="992" w:gutter="0"/>
          <w:pgBorders>
            <w:top w:val="none" w:sz="0" w:space="0"/>
            <w:left w:val="none" w:sz="0" w:space="0"/>
            <w:bottom w:val="none" w:sz="0" w:space="0"/>
            <w:right w:val="none" w:sz="0" w:space="0"/>
          </w:pgBorders>
          <w:pgNumType w:fmt="decimal"/>
          <w:cols w:space="720" w:num="1"/>
          <w:docGrid w:type="lines" w:linePitch="316" w:charSpace="0"/>
        </w:sectPr>
      </w:pPr>
    </w:p>
    <w:p w14:paraId="40AABBCF">
      <w:pPr>
        <w:spacing w:line="240" w:lineRule="auto"/>
        <w:jc w:val="center"/>
        <w:rPr>
          <w:rFonts w:hint="eastAsia" w:ascii="仿宋" w:hAnsi="仿宋" w:eastAsia="仿宋" w:cs="仿宋"/>
          <w:b/>
          <w:color w:val="auto"/>
          <w:sz w:val="24"/>
          <w:szCs w:val="24"/>
          <w:highlight w:val="none"/>
        </w:rPr>
      </w:pPr>
    </w:p>
    <w:p w14:paraId="3FE3900C">
      <w:pPr>
        <w:jc w:val="center"/>
        <w:rPr>
          <w:rFonts w:hint="eastAsia" w:ascii="仿宋" w:hAnsi="仿宋" w:eastAsia="仿宋" w:cs="仿宋"/>
          <w:color w:val="auto"/>
          <w:sz w:val="40"/>
          <w:szCs w:val="40"/>
          <w:highlight w:val="none"/>
        </w:rPr>
      </w:pPr>
      <w:r>
        <w:rPr>
          <w:rFonts w:hint="eastAsia" w:ascii="仿宋" w:hAnsi="仿宋" w:eastAsia="仿宋" w:cs="仿宋"/>
          <w:b/>
          <w:color w:val="auto"/>
          <w:sz w:val="40"/>
          <w:szCs w:val="40"/>
          <w:highlight w:val="none"/>
        </w:rPr>
        <w:t>第</w:t>
      </w:r>
      <w:r>
        <w:rPr>
          <w:rFonts w:hint="eastAsia" w:ascii="仿宋" w:hAnsi="仿宋" w:eastAsia="仿宋" w:cs="仿宋"/>
          <w:b/>
          <w:color w:val="auto"/>
          <w:sz w:val="40"/>
          <w:szCs w:val="40"/>
          <w:highlight w:val="none"/>
          <w:lang w:val="en-US" w:eastAsia="zh-CN"/>
        </w:rPr>
        <w:t>五</w:t>
      </w:r>
      <w:r>
        <w:rPr>
          <w:rFonts w:hint="eastAsia" w:ascii="仿宋" w:hAnsi="仿宋" w:eastAsia="仿宋" w:cs="仿宋"/>
          <w:b/>
          <w:color w:val="auto"/>
          <w:sz w:val="40"/>
          <w:szCs w:val="40"/>
          <w:highlight w:val="none"/>
          <w:lang w:eastAsia="zh-CN"/>
        </w:rPr>
        <w:t>章</w:t>
      </w:r>
      <w:r>
        <w:rPr>
          <w:rFonts w:hint="eastAsia" w:ascii="仿宋" w:hAnsi="仿宋" w:eastAsia="仿宋" w:cs="仿宋"/>
          <w:b/>
          <w:color w:val="auto"/>
          <w:sz w:val="40"/>
          <w:szCs w:val="40"/>
          <w:highlight w:val="none"/>
          <w:lang w:val="en-US" w:eastAsia="zh-CN"/>
        </w:rPr>
        <w:t xml:space="preserve">  </w:t>
      </w:r>
      <w:r>
        <w:rPr>
          <w:rFonts w:hint="eastAsia" w:ascii="仿宋" w:hAnsi="仿宋" w:eastAsia="仿宋" w:cs="仿宋"/>
          <w:b/>
          <w:color w:val="auto"/>
          <w:sz w:val="40"/>
          <w:szCs w:val="40"/>
          <w:highlight w:val="none"/>
        </w:rPr>
        <w:t>投标文件内容及格式</w:t>
      </w:r>
    </w:p>
    <w:p w14:paraId="3839CAA8">
      <w:pPr>
        <w:pStyle w:val="2"/>
        <w:numPr>
          <w:ilvl w:val="0"/>
          <w:numId w:val="0"/>
        </w:numPr>
        <w:ind w:leftChars="0"/>
        <w:jc w:val="right"/>
        <w:rPr>
          <w:rFonts w:hint="eastAsia" w:ascii="仿宋" w:hAnsi="仿宋" w:eastAsia="仿宋" w:cs="仿宋"/>
          <w:color w:val="auto"/>
          <w:highlight w:val="none"/>
        </w:rPr>
      </w:pPr>
      <w:r>
        <w:rPr>
          <w:rFonts w:hint="eastAsia" w:ascii="仿宋" w:hAnsi="仿宋" w:eastAsia="仿宋" w:cs="仿宋"/>
          <w:color w:val="auto"/>
          <w:sz w:val="28"/>
          <w:szCs w:val="28"/>
          <w:highlight w:val="none"/>
        </w:rPr>
        <w:t xml:space="preserve">                     </w:t>
      </w:r>
    </w:p>
    <w:tbl>
      <w:tblPr>
        <w:tblStyle w:val="29"/>
        <w:tblpPr w:leftFromText="180" w:rightFromText="180" w:vertAnchor="text" w:horzAnchor="page" w:tblpX="9165" w:tblpY="-969"/>
        <w:tblW w:w="1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tblGrid>
      <w:tr w14:paraId="31BE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29" w:type="dxa"/>
            <w:vAlign w:val="center"/>
          </w:tcPr>
          <w:p w14:paraId="65891CB2">
            <w:pPr>
              <w:pStyle w:val="67"/>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rPr>
              <w:t>正本</w:t>
            </w:r>
            <w:r>
              <w:rPr>
                <w:rFonts w:hint="eastAsia" w:ascii="仿宋" w:hAnsi="仿宋" w:eastAsia="仿宋" w:cs="仿宋"/>
                <w:b/>
                <w:bCs/>
                <w:color w:val="auto"/>
                <w:sz w:val="28"/>
                <w:szCs w:val="28"/>
                <w:highlight w:val="none"/>
                <w:lang w:val="en-US" w:eastAsia="zh-CN"/>
              </w:rPr>
              <w:t>/副本</w:t>
            </w:r>
          </w:p>
        </w:tc>
      </w:tr>
    </w:tbl>
    <w:p w14:paraId="5E1FE0D3">
      <w:pPr>
        <w:spacing w:line="360" w:lineRule="auto"/>
        <w:ind w:firstLine="480" w:firstLineChars="200"/>
        <w:rPr>
          <w:rFonts w:hint="eastAsia" w:ascii="仿宋" w:hAnsi="仿宋" w:eastAsia="仿宋" w:cs="仿宋"/>
          <w:color w:val="auto"/>
          <w:sz w:val="24"/>
          <w:szCs w:val="24"/>
          <w:highlight w:val="none"/>
        </w:rPr>
      </w:pPr>
    </w:p>
    <w:p w14:paraId="67AA9387">
      <w:pPr>
        <w:spacing w:line="360" w:lineRule="auto"/>
        <w:ind w:firstLine="480" w:firstLineChars="200"/>
        <w:rPr>
          <w:rFonts w:hint="eastAsia" w:ascii="仿宋" w:hAnsi="仿宋" w:eastAsia="仿宋" w:cs="仿宋"/>
          <w:b w:val="0"/>
          <w:bCs w:val="0"/>
          <w:color w:val="auto"/>
          <w:sz w:val="28"/>
          <w:szCs w:val="28"/>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val="0"/>
          <w:bCs w:val="0"/>
          <w:color w:val="auto"/>
          <w:sz w:val="28"/>
          <w:szCs w:val="28"/>
          <w:highlight w:val="none"/>
          <w:u w:val="single"/>
        </w:rPr>
        <w:t xml:space="preserve">                </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single"/>
        </w:rPr>
        <w:t xml:space="preserve">     </w:t>
      </w:r>
      <w:r>
        <w:rPr>
          <w:rFonts w:hint="eastAsia" w:ascii="仿宋" w:hAnsi="仿宋" w:eastAsia="仿宋" w:cs="仿宋"/>
          <w:b w:val="0"/>
          <w:bCs w:val="0"/>
          <w:color w:val="auto"/>
          <w:sz w:val="28"/>
          <w:szCs w:val="28"/>
          <w:highlight w:val="none"/>
        </w:rPr>
        <w:t>（项目名称）</w:t>
      </w:r>
    </w:p>
    <w:p w14:paraId="0002CB28">
      <w:pPr>
        <w:spacing w:line="240" w:lineRule="auto"/>
        <w:ind w:firstLine="480" w:firstLineChars="200"/>
        <w:rPr>
          <w:rFonts w:hint="eastAsia" w:ascii="仿宋" w:hAnsi="仿宋" w:eastAsia="仿宋" w:cs="仿宋"/>
          <w:b w:val="0"/>
          <w:bCs w:val="0"/>
          <w:i/>
          <w:iCs/>
          <w:color w:val="auto"/>
          <w:sz w:val="24"/>
          <w:szCs w:val="24"/>
          <w:highlight w:val="none"/>
          <w:u w:val="single"/>
        </w:rPr>
      </w:pPr>
    </w:p>
    <w:p w14:paraId="6E54BBF3">
      <w:pPr>
        <w:spacing w:line="360" w:lineRule="auto"/>
        <w:ind w:firstLine="1680" w:firstLineChars="600"/>
        <w:rPr>
          <w:rFonts w:hint="eastAsia" w:ascii="仿宋" w:hAnsi="仿宋" w:eastAsia="仿宋" w:cs="仿宋"/>
          <w:b w:val="0"/>
          <w:bCs w:val="0"/>
          <w:color w:val="auto"/>
          <w:sz w:val="24"/>
          <w:szCs w:val="24"/>
          <w:highlight w:val="none"/>
        </w:rPr>
      </w:pPr>
      <w:r>
        <w:rPr>
          <w:rFonts w:hint="eastAsia" w:ascii="仿宋" w:hAnsi="仿宋" w:eastAsia="仿宋" w:cs="仿宋"/>
          <w:b w:val="0"/>
          <w:bCs w:val="0"/>
          <w:i/>
          <w:iCs/>
          <w:color w:val="auto"/>
          <w:sz w:val="28"/>
          <w:szCs w:val="28"/>
          <w:highlight w:val="none"/>
          <w:u w:val="single"/>
        </w:rPr>
        <w:t xml:space="preserve">            </w:t>
      </w:r>
      <w:r>
        <w:rPr>
          <w:rFonts w:hint="eastAsia" w:ascii="仿宋" w:hAnsi="仿宋" w:eastAsia="仿宋" w:cs="仿宋"/>
          <w:b w:val="0"/>
          <w:bCs w:val="0"/>
          <w:i/>
          <w:iCs/>
          <w:color w:val="auto"/>
          <w:sz w:val="28"/>
          <w:szCs w:val="28"/>
          <w:highlight w:val="none"/>
          <w:u w:val="single"/>
          <w:lang w:val="en-US" w:eastAsia="zh-CN"/>
        </w:rPr>
        <w:t xml:space="preserve">            </w:t>
      </w:r>
      <w:r>
        <w:rPr>
          <w:rFonts w:hint="eastAsia" w:ascii="仿宋" w:hAnsi="仿宋" w:eastAsia="仿宋" w:cs="仿宋"/>
          <w:b w:val="0"/>
          <w:bCs w:val="0"/>
          <w:i/>
          <w:iCs/>
          <w:color w:val="auto"/>
          <w:sz w:val="28"/>
          <w:szCs w:val="28"/>
          <w:highlight w:val="none"/>
          <w:u w:val="single"/>
        </w:rPr>
        <w:t xml:space="preserve">  </w:t>
      </w:r>
      <w:r>
        <w:rPr>
          <w:rFonts w:hint="eastAsia" w:ascii="仿宋" w:hAnsi="仿宋" w:eastAsia="仿宋" w:cs="仿宋"/>
          <w:b w:val="0"/>
          <w:bCs w:val="0"/>
          <w:i/>
          <w:iCs/>
          <w:color w:val="auto"/>
          <w:sz w:val="28"/>
          <w:szCs w:val="28"/>
          <w:highlight w:val="none"/>
          <w:u w:val="single"/>
          <w:lang w:val="en-US" w:eastAsia="zh-CN"/>
        </w:rPr>
        <w:t xml:space="preserve">   </w:t>
      </w:r>
      <w:r>
        <w:rPr>
          <w:rFonts w:hint="eastAsia" w:ascii="仿宋" w:hAnsi="仿宋" w:eastAsia="仿宋" w:cs="仿宋"/>
          <w:b w:val="0"/>
          <w:bCs w:val="0"/>
          <w:i/>
          <w:iCs/>
          <w:color w:val="auto"/>
          <w:sz w:val="28"/>
          <w:szCs w:val="28"/>
          <w:highlight w:val="none"/>
          <w:u w:val="single"/>
        </w:rPr>
        <w:t xml:space="preserve">       </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项目编号</w:t>
      </w:r>
      <w:r>
        <w:rPr>
          <w:rFonts w:hint="eastAsia" w:ascii="仿宋" w:hAnsi="仿宋" w:eastAsia="仿宋" w:cs="仿宋"/>
          <w:b w:val="0"/>
          <w:bCs w:val="0"/>
          <w:color w:val="auto"/>
          <w:sz w:val="28"/>
          <w:szCs w:val="28"/>
          <w:highlight w:val="none"/>
        </w:rPr>
        <w:t>）</w:t>
      </w:r>
    </w:p>
    <w:p w14:paraId="03DCD370">
      <w:pPr>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 xml:space="preserve">    </w:t>
      </w:r>
    </w:p>
    <w:p w14:paraId="1EF0C4D0">
      <w:pPr>
        <w:rPr>
          <w:rFonts w:hint="eastAsia" w:ascii="仿宋" w:hAnsi="仿宋" w:eastAsia="仿宋" w:cs="仿宋"/>
          <w:color w:val="auto"/>
          <w:sz w:val="24"/>
          <w:highlight w:val="none"/>
          <w:u w:val="none"/>
        </w:rPr>
      </w:pPr>
    </w:p>
    <w:p w14:paraId="3D51ACA2">
      <w:pPr>
        <w:rPr>
          <w:rFonts w:hint="eastAsia" w:ascii="仿宋" w:hAnsi="仿宋" w:eastAsia="仿宋" w:cs="仿宋"/>
          <w:color w:val="auto"/>
          <w:sz w:val="32"/>
          <w:szCs w:val="32"/>
          <w:highlight w:val="none"/>
        </w:rPr>
      </w:pPr>
    </w:p>
    <w:p w14:paraId="0A02852D">
      <w:pPr>
        <w:rPr>
          <w:rFonts w:hint="eastAsia" w:ascii="仿宋" w:hAnsi="仿宋" w:eastAsia="仿宋" w:cs="仿宋"/>
          <w:color w:val="auto"/>
          <w:sz w:val="32"/>
          <w:szCs w:val="32"/>
          <w:highlight w:val="none"/>
        </w:rPr>
      </w:pPr>
    </w:p>
    <w:p w14:paraId="2C3C4226">
      <w:pPr>
        <w:rPr>
          <w:rFonts w:hint="eastAsia" w:ascii="仿宋" w:hAnsi="仿宋" w:eastAsia="仿宋" w:cs="仿宋"/>
          <w:color w:val="auto"/>
          <w:sz w:val="28"/>
          <w:szCs w:val="28"/>
          <w:highlight w:val="none"/>
        </w:rPr>
      </w:pPr>
    </w:p>
    <w:p w14:paraId="427721D4">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40"/>
          <w:szCs w:val="40"/>
          <w:highlight w:val="none"/>
        </w:rPr>
        <w:t>投  标  文  件</w:t>
      </w:r>
    </w:p>
    <w:p w14:paraId="4A6166DB">
      <w:pPr>
        <w:rPr>
          <w:rFonts w:hint="eastAsia" w:ascii="仿宋" w:hAnsi="仿宋" w:eastAsia="仿宋" w:cs="仿宋"/>
          <w:b/>
          <w:color w:val="auto"/>
          <w:sz w:val="32"/>
          <w:szCs w:val="32"/>
          <w:highlight w:val="none"/>
        </w:rPr>
      </w:pPr>
    </w:p>
    <w:p w14:paraId="42A3EB7C">
      <w:pPr>
        <w:rPr>
          <w:rFonts w:hint="eastAsia" w:ascii="仿宋" w:hAnsi="仿宋" w:eastAsia="仿宋" w:cs="仿宋"/>
          <w:b/>
          <w:color w:val="auto"/>
          <w:sz w:val="32"/>
          <w:szCs w:val="32"/>
          <w:highlight w:val="none"/>
        </w:rPr>
      </w:pPr>
    </w:p>
    <w:p w14:paraId="1DB78AC9">
      <w:pPr>
        <w:rPr>
          <w:rFonts w:hint="eastAsia" w:ascii="仿宋" w:hAnsi="仿宋" w:eastAsia="仿宋" w:cs="仿宋"/>
          <w:b/>
          <w:color w:val="auto"/>
          <w:sz w:val="32"/>
          <w:szCs w:val="32"/>
          <w:highlight w:val="none"/>
        </w:rPr>
      </w:pPr>
    </w:p>
    <w:p w14:paraId="75F0A6DF">
      <w:pPr>
        <w:rPr>
          <w:rFonts w:hint="eastAsia" w:ascii="仿宋" w:hAnsi="仿宋" w:eastAsia="仿宋" w:cs="仿宋"/>
          <w:b/>
          <w:color w:val="auto"/>
          <w:sz w:val="32"/>
          <w:szCs w:val="32"/>
          <w:highlight w:val="none"/>
        </w:rPr>
      </w:pPr>
    </w:p>
    <w:p w14:paraId="38BD876E">
      <w:pPr>
        <w:widowControl w:val="0"/>
        <w:wordWrap/>
        <w:adjustRightInd/>
        <w:snapToGrid/>
        <w:spacing w:line="552"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投标单位名称（加盖公章）： </w:t>
      </w:r>
      <w:r>
        <w:rPr>
          <w:rFonts w:hint="eastAsia" w:ascii="仿宋" w:hAnsi="仿宋" w:eastAsia="仿宋" w:cs="仿宋"/>
          <w:color w:val="auto"/>
          <w:kern w:val="2"/>
          <w:sz w:val="28"/>
          <w:szCs w:val="28"/>
          <w:highlight w:val="none"/>
          <w:u w:val="single"/>
          <w:lang w:val="en-US" w:eastAsia="zh-CN" w:bidi="ar-SA"/>
        </w:rPr>
        <w:t xml:space="preserve">                            </w:t>
      </w:r>
    </w:p>
    <w:p w14:paraId="724ACC5E">
      <w:pPr>
        <w:widowControl w:val="0"/>
        <w:wordWrap/>
        <w:adjustRightInd/>
        <w:snapToGrid/>
        <w:spacing w:line="552"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法定代表人（签字或盖章）：</w:t>
      </w:r>
      <w:r>
        <w:rPr>
          <w:rFonts w:hint="eastAsia" w:ascii="仿宋" w:hAnsi="仿宋" w:eastAsia="仿宋" w:cs="仿宋"/>
          <w:color w:val="auto"/>
          <w:kern w:val="2"/>
          <w:sz w:val="28"/>
          <w:szCs w:val="28"/>
          <w:highlight w:val="none"/>
          <w:u w:val="single"/>
          <w:lang w:val="en-US" w:eastAsia="zh-CN" w:bidi="ar-SA"/>
        </w:rPr>
        <w:t xml:space="preserve">                             </w:t>
      </w:r>
    </w:p>
    <w:p w14:paraId="7323019F">
      <w:pPr>
        <w:widowControl w:val="0"/>
        <w:wordWrap/>
        <w:adjustRightInd/>
        <w:snapToGrid/>
        <w:spacing w:line="552"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投标单位联系电话：</w:t>
      </w:r>
      <w:r>
        <w:rPr>
          <w:rFonts w:hint="eastAsia" w:ascii="仿宋" w:hAnsi="仿宋" w:eastAsia="仿宋" w:cs="仿宋"/>
          <w:color w:val="auto"/>
          <w:kern w:val="2"/>
          <w:sz w:val="28"/>
          <w:szCs w:val="28"/>
          <w:highlight w:val="none"/>
          <w:u w:val="single"/>
          <w:lang w:val="en-US" w:eastAsia="zh-CN" w:bidi="ar-SA"/>
        </w:rPr>
        <w:t xml:space="preserve">                                </w:t>
      </w:r>
    </w:p>
    <w:p w14:paraId="0F221BF5">
      <w:pPr>
        <w:widowControl w:val="0"/>
        <w:wordWrap/>
        <w:adjustRightInd/>
        <w:snapToGrid/>
        <w:spacing w:line="552"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投标单位地址：</w:t>
      </w:r>
      <w:r>
        <w:rPr>
          <w:rFonts w:hint="eastAsia" w:ascii="仿宋" w:hAnsi="仿宋" w:eastAsia="仿宋" w:cs="仿宋"/>
          <w:color w:val="auto"/>
          <w:kern w:val="2"/>
          <w:sz w:val="28"/>
          <w:szCs w:val="28"/>
          <w:highlight w:val="none"/>
          <w:u w:val="single"/>
          <w:lang w:val="en-US" w:eastAsia="zh-CN" w:bidi="ar-SA"/>
        </w:rPr>
        <w:t xml:space="preserve">                                         </w:t>
      </w:r>
    </w:p>
    <w:p w14:paraId="17411254">
      <w:pPr>
        <w:ind w:firstLine="1120" w:firstLine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56318E33">
      <w:pPr>
        <w:jc w:val="left"/>
        <w:rPr>
          <w:rFonts w:hint="eastAsia" w:ascii="仿宋" w:hAnsi="仿宋" w:eastAsia="仿宋" w:cs="仿宋"/>
          <w:color w:val="auto"/>
          <w:sz w:val="24"/>
          <w:highlight w:val="none"/>
        </w:rPr>
      </w:pPr>
      <w:r>
        <w:rPr>
          <w:rFonts w:hint="eastAsia" w:ascii="仿宋" w:hAnsi="仿宋" w:eastAsia="仿宋" w:cs="仿宋"/>
          <w:color w:val="auto"/>
          <w:highlight w:val="none"/>
        </w:rPr>
        <w:br w:type="page"/>
      </w:r>
    </w:p>
    <w:p w14:paraId="494AF3CC">
      <w:pPr>
        <w:autoSpaceDE w:val="0"/>
        <w:autoSpaceDN w:val="0"/>
        <w:adjustRightInd w:val="0"/>
        <w:jc w:val="center"/>
        <w:rPr>
          <w:rFonts w:hint="eastAsia" w:ascii="仿宋" w:hAnsi="仿宋" w:eastAsia="仿宋" w:cs="仿宋"/>
          <w:b/>
          <w:bCs/>
          <w:color w:val="auto"/>
          <w:sz w:val="32"/>
          <w:szCs w:val="32"/>
          <w:highlight w:val="none"/>
          <w:lang w:eastAsia="zh-CN"/>
        </w:rPr>
      </w:pPr>
      <w:bookmarkStart w:id="118" w:name="_Toc17339"/>
      <w:bookmarkEnd w:id="118"/>
      <w:bookmarkStart w:id="119" w:name="_Toc19403"/>
      <w:bookmarkEnd w:id="119"/>
      <w:bookmarkStart w:id="120" w:name="_Toc22085"/>
      <w:bookmarkEnd w:id="120"/>
      <w:bookmarkStart w:id="121" w:name="_Toc23287"/>
      <w:bookmarkEnd w:id="121"/>
      <w:bookmarkStart w:id="122" w:name="_Toc8540"/>
      <w:bookmarkEnd w:id="122"/>
    </w:p>
    <w:p w14:paraId="0C2295C7">
      <w:pPr>
        <w:spacing w:line="500" w:lineRule="exact"/>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32"/>
          <w:szCs w:val="32"/>
          <w:highlight w:val="none"/>
          <w:lang w:eastAsia="zh-CN"/>
        </w:rPr>
        <w:t>目</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b/>
          <w:bCs/>
          <w:color w:val="auto"/>
          <w:kern w:val="0"/>
          <w:sz w:val="32"/>
          <w:szCs w:val="32"/>
          <w:highlight w:val="none"/>
          <w:lang w:eastAsia="zh-CN"/>
        </w:rPr>
        <w:t>录</w:t>
      </w:r>
    </w:p>
    <w:p w14:paraId="7DA8435B">
      <w:pPr>
        <w:pStyle w:val="14"/>
        <w:spacing w:line="360" w:lineRule="auto"/>
        <w:rPr>
          <w:rFonts w:hint="eastAsia" w:ascii="仿宋" w:hAnsi="仿宋" w:eastAsia="仿宋" w:cs="仿宋"/>
          <w:color w:val="auto"/>
          <w:sz w:val="24"/>
          <w:szCs w:val="32"/>
          <w:highlight w:val="none"/>
          <w:lang w:eastAsia="zh-CN"/>
        </w:rPr>
      </w:pPr>
    </w:p>
    <w:p w14:paraId="5200A0F8">
      <w:pPr>
        <w:keepNext w:val="0"/>
        <w:keepLines w:val="0"/>
        <w:pageBreakBefore w:val="0"/>
        <w:widowControl w:val="0"/>
        <w:kinsoku/>
        <w:wordWrap/>
        <w:overflowPunct/>
        <w:topLinePunct w:val="0"/>
        <w:autoSpaceDE/>
        <w:autoSpaceDN/>
        <w:bidi w:val="0"/>
        <w:adjustRightInd w:val="0"/>
        <w:snapToGrid w:val="0"/>
        <w:spacing w:line="240" w:lineRule="auto"/>
        <w:ind w:firstLine="470" w:firstLineChars="196"/>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投标人自行编制，注明页码。</w:t>
      </w:r>
    </w:p>
    <w:p w14:paraId="7598F1E6">
      <w:pPr>
        <w:pStyle w:val="82"/>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（注：投标人提供的投标文件应当使用采购文件所提供投标文件格式（表格可按照同样格式扩展）；未提供格式的，需要时由投标人用文字或者表格、图片等其它形式提供）。</w:t>
      </w:r>
    </w:p>
    <w:p w14:paraId="0CDCD5B7">
      <w:pPr>
        <w:pStyle w:val="82"/>
        <w:numPr>
          <w:ilvl w:val="0"/>
          <w:numId w:val="0"/>
        </w:numPr>
        <w:jc w:val="center"/>
        <w:rPr>
          <w:rFonts w:hint="eastAsia" w:ascii="仿宋" w:hAnsi="仿宋" w:eastAsia="仿宋" w:cs="仿宋"/>
          <w:b w:val="0"/>
          <w:bCs w:val="0"/>
          <w:color w:val="auto"/>
          <w:sz w:val="28"/>
          <w:szCs w:val="28"/>
          <w:highlight w:val="none"/>
          <w:lang w:eastAsia="zh-CN"/>
        </w:rPr>
      </w:pPr>
    </w:p>
    <w:p w14:paraId="173A0BDB">
      <w:pPr>
        <w:pStyle w:val="82"/>
        <w:numPr>
          <w:ilvl w:val="0"/>
          <w:numId w:val="0"/>
        </w:numPr>
        <w:jc w:val="center"/>
        <w:rPr>
          <w:rFonts w:hint="eastAsia" w:ascii="仿宋" w:hAnsi="仿宋" w:eastAsia="仿宋" w:cs="仿宋"/>
          <w:b w:val="0"/>
          <w:bCs w:val="0"/>
          <w:color w:val="auto"/>
          <w:sz w:val="28"/>
          <w:szCs w:val="28"/>
          <w:highlight w:val="none"/>
          <w:lang w:eastAsia="zh-CN"/>
        </w:rPr>
      </w:pPr>
    </w:p>
    <w:p w14:paraId="3D12C063">
      <w:pPr>
        <w:pStyle w:val="82"/>
        <w:numPr>
          <w:ilvl w:val="0"/>
          <w:numId w:val="0"/>
        </w:numPr>
        <w:jc w:val="center"/>
        <w:rPr>
          <w:rFonts w:hint="eastAsia" w:ascii="仿宋" w:hAnsi="仿宋" w:eastAsia="仿宋" w:cs="仿宋"/>
          <w:b w:val="0"/>
          <w:bCs w:val="0"/>
          <w:color w:val="auto"/>
          <w:sz w:val="28"/>
          <w:szCs w:val="28"/>
          <w:highlight w:val="none"/>
          <w:lang w:eastAsia="zh-CN"/>
        </w:rPr>
      </w:pPr>
    </w:p>
    <w:p w14:paraId="0DB3C466">
      <w:pPr>
        <w:pStyle w:val="82"/>
        <w:numPr>
          <w:ilvl w:val="0"/>
          <w:numId w:val="0"/>
        </w:numPr>
        <w:jc w:val="center"/>
        <w:rPr>
          <w:rFonts w:hint="eastAsia" w:ascii="仿宋" w:hAnsi="仿宋" w:eastAsia="仿宋" w:cs="仿宋"/>
          <w:b w:val="0"/>
          <w:bCs w:val="0"/>
          <w:color w:val="auto"/>
          <w:sz w:val="28"/>
          <w:szCs w:val="28"/>
          <w:highlight w:val="none"/>
          <w:lang w:eastAsia="zh-CN"/>
        </w:rPr>
      </w:pPr>
    </w:p>
    <w:p w14:paraId="21190661">
      <w:pPr>
        <w:pStyle w:val="82"/>
        <w:numPr>
          <w:ilvl w:val="0"/>
          <w:numId w:val="0"/>
        </w:numPr>
        <w:jc w:val="center"/>
        <w:rPr>
          <w:rFonts w:hint="eastAsia" w:ascii="仿宋" w:hAnsi="仿宋" w:eastAsia="仿宋" w:cs="仿宋"/>
          <w:b w:val="0"/>
          <w:bCs w:val="0"/>
          <w:color w:val="auto"/>
          <w:sz w:val="28"/>
          <w:szCs w:val="28"/>
          <w:highlight w:val="none"/>
          <w:lang w:eastAsia="zh-CN"/>
        </w:rPr>
      </w:pPr>
    </w:p>
    <w:p w14:paraId="52C9B64E">
      <w:pPr>
        <w:pStyle w:val="82"/>
        <w:numPr>
          <w:ilvl w:val="0"/>
          <w:numId w:val="0"/>
        </w:numPr>
        <w:jc w:val="center"/>
        <w:rPr>
          <w:rFonts w:hint="eastAsia" w:ascii="仿宋" w:hAnsi="仿宋" w:eastAsia="仿宋" w:cs="仿宋"/>
          <w:b w:val="0"/>
          <w:bCs w:val="0"/>
          <w:color w:val="auto"/>
          <w:sz w:val="28"/>
          <w:szCs w:val="28"/>
          <w:highlight w:val="none"/>
          <w:lang w:eastAsia="zh-CN"/>
        </w:rPr>
      </w:pPr>
    </w:p>
    <w:p w14:paraId="3C8FCD15">
      <w:pPr>
        <w:pStyle w:val="82"/>
        <w:numPr>
          <w:ilvl w:val="0"/>
          <w:numId w:val="0"/>
        </w:numPr>
        <w:jc w:val="center"/>
        <w:rPr>
          <w:rFonts w:hint="eastAsia" w:ascii="仿宋" w:hAnsi="仿宋" w:eastAsia="仿宋" w:cs="仿宋"/>
          <w:b w:val="0"/>
          <w:bCs w:val="0"/>
          <w:color w:val="auto"/>
          <w:sz w:val="28"/>
          <w:szCs w:val="28"/>
          <w:highlight w:val="none"/>
          <w:lang w:eastAsia="zh-CN"/>
        </w:rPr>
      </w:pPr>
    </w:p>
    <w:p w14:paraId="4DE33AD5">
      <w:pPr>
        <w:pStyle w:val="82"/>
        <w:numPr>
          <w:ilvl w:val="0"/>
          <w:numId w:val="0"/>
        </w:numPr>
        <w:jc w:val="center"/>
        <w:rPr>
          <w:rFonts w:hint="eastAsia" w:ascii="仿宋" w:hAnsi="仿宋" w:eastAsia="仿宋" w:cs="仿宋"/>
          <w:b w:val="0"/>
          <w:bCs w:val="0"/>
          <w:color w:val="auto"/>
          <w:sz w:val="28"/>
          <w:szCs w:val="28"/>
          <w:highlight w:val="none"/>
          <w:lang w:eastAsia="zh-CN"/>
        </w:rPr>
      </w:pPr>
    </w:p>
    <w:p w14:paraId="3CFD0FA6">
      <w:pPr>
        <w:pStyle w:val="82"/>
        <w:numPr>
          <w:ilvl w:val="0"/>
          <w:numId w:val="0"/>
        </w:numPr>
        <w:jc w:val="center"/>
        <w:rPr>
          <w:rFonts w:hint="eastAsia" w:ascii="仿宋" w:hAnsi="仿宋" w:eastAsia="仿宋" w:cs="仿宋"/>
          <w:b w:val="0"/>
          <w:bCs w:val="0"/>
          <w:color w:val="auto"/>
          <w:sz w:val="28"/>
          <w:szCs w:val="28"/>
          <w:highlight w:val="none"/>
          <w:lang w:eastAsia="zh-CN"/>
        </w:rPr>
      </w:pPr>
    </w:p>
    <w:p w14:paraId="13149639">
      <w:pPr>
        <w:pStyle w:val="82"/>
        <w:numPr>
          <w:ilvl w:val="0"/>
          <w:numId w:val="0"/>
        </w:numPr>
        <w:jc w:val="center"/>
        <w:rPr>
          <w:rFonts w:hint="eastAsia" w:ascii="仿宋" w:hAnsi="仿宋" w:eastAsia="仿宋" w:cs="仿宋"/>
          <w:b w:val="0"/>
          <w:bCs w:val="0"/>
          <w:color w:val="auto"/>
          <w:sz w:val="28"/>
          <w:szCs w:val="28"/>
          <w:highlight w:val="none"/>
          <w:lang w:eastAsia="zh-CN"/>
        </w:rPr>
      </w:pPr>
    </w:p>
    <w:p w14:paraId="667F112C">
      <w:pPr>
        <w:pStyle w:val="82"/>
        <w:numPr>
          <w:ilvl w:val="0"/>
          <w:numId w:val="0"/>
        </w:numPr>
        <w:jc w:val="center"/>
        <w:rPr>
          <w:rFonts w:hint="eastAsia" w:ascii="仿宋" w:hAnsi="仿宋" w:eastAsia="仿宋" w:cs="仿宋"/>
          <w:b w:val="0"/>
          <w:bCs w:val="0"/>
          <w:color w:val="auto"/>
          <w:sz w:val="28"/>
          <w:szCs w:val="28"/>
          <w:highlight w:val="none"/>
          <w:lang w:eastAsia="zh-CN"/>
        </w:rPr>
      </w:pPr>
    </w:p>
    <w:p w14:paraId="10AD0AB9">
      <w:pPr>
        <w:pStyle w:val="82"/>
        <w:numPr>
          <w:ilvl w:val="0"/>
          <w:numId w:val="0"/>
        </w:numPr>
        <w:jc w:val="center"/>
        <w:rPr>
          <w:rFonts w:hint="eastAsia" w:ascii="仿宋" w:hAnsi="仿宋" w:eastAsia="仿宋" w:cs="仿宋"/>
          <w:b w:val="0"/>
          <w:bCs w:val="0"/>
          <w:color w:val="auto"/>
          <w:sz w:val="28"/>
          <w:szCs w:val="28"/>
          <w:highlight w:val="none"/>
          <w:lang w:eastAsia="zh-CN"/>
        </w:rPr>
      </w:pPr>
    </w:p>
    <w:tbl>
      <w:tblPr>
        <w:tblStyle w:val="29"/>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947"/>
        <w:gridCol w:w="2839"/>
        <w:gridCol w:w="2076"/>
      </w:tblGrid>
      <w:tr w14:paraId="6E3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9" w:type="dxa"/>
            <w:gridSpan w:val="4"/>
            <w:vAlign w:val="center"/>
          </w:tcPr>
          <w:p w14:paraId="4D508848">
            <w:pPr>
              <w:adjustRightInd w:val="0"/>
              <w:snapToGrid w:val="0"/>
              <w:spacing w:line="48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8"/>
                <w:szCs w:val="28"/>
                <w:highlight w:val="none"/>
              </w:rPr>
              <w:t>评标索引表</w:t>
            </w:r>
          </w:p>
        </w:tc>
      </w:tr>
      <w:tr w14:paraId="2D2E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14:paraId="0BD913E8">
            <w:pPr>
              <w:adjustRightInd w:val="0"/>
              <w:snapToGrid w:val="0"/>
              <w:spacing w:line="48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947" w:type="dxa"/>
            <w:vAlign w:val="center"/>
          </w:tcPr>
          <w:p w14:paraId="2BC3BDF8">
            <w:pPr>
              <w:adjustRightInd w:val="0"/>
              <w:snapToGrid w:val="0"/>
              <w:spacing w:line="48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2839" w:type="dxa"/>
            <w:vAlign w:val="center"/>
          </w:tcPr>
          <w:p w14:paraId="63B49C16">
            <w:pPr>
              <w:adjustRightInd w:val="0"/>
              <w:snapToGrid w:val="0"/>
              <w:spacing w:line="48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索引页码</w:t>
            </w:r>
          </w:p>
        </w:tc>
        <w:tc>
          <w:tcPr>
            <w:tcW w:w="2076" w:type="dxa"/>
            <w:vAlign w:val="center"/>
          </w:tcPr>
          <w:p w14:paraId="5821D60E">
            <w:pPr>
              <w:adjustRightInd w:val="0"/>
              <w:snapToGrid w:val="0"/>
              <w:spacing w:line="48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032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14:paraId="35AAFA3A">
            <w:pPr>
              <w:adjustRightInd w:val="0"/>
              <w:snapToGrid w:val="0"/>
              <w:spacing w:line="480" w:lineRule="auto"/>
              <w:jc w:val="center"/>
              <w:rPr>
                <w:rFonts w:hint="eastAsia" w:ascii="仿宋" w:hAnsi="仿宋" w:eastAsia="仿宋" w:cs="仿宋"/>
                <w:b/>
                <w:color w:val="auto"/>
                <w:sz w:val="24"/>
                <w:szCs w:val="24"/>
                <w:highlight w:val="none"/>
              </w:rPr>
            </w:pPr>
          </w:p>
        </w:tc>
        <w:tc>
          <w:tcPr>
            <w:tcW w:w="2947" w:type="dxa"/>
            <w:vAlign w:val="center"/>
          </w:tcPr>
          <w:p w14:paraId="144C8060">
            <w:pPr>
              <w:adjustRightInd w:val="0"/>
              <w:snapToGrid w:val="0"/>
              <w:spacing w:line="480" w:lineRule="auto"/>
              <w:jc w:val="center"/>
              <w:rPr>
                <w:rFonts w:hint="eastAsia" w:ascii="仿宋" w:hAnsi="仿宋" w:eastAsia="仿宋" w:cs="仿宋"/>
                <w:b/>
                <w:color w:val="auto"/>
                <w:sz w:val="24"/>
                <w:szCs w:val="24"/>
                <w:highlight w:val="none"/>
              </w:rPr>
            </w:pPr>
          </w:p>
        </w:tc>
        <w:tc>
          <w:tcPr>
            <w:tcW w:w="2839" w:type="dxa"/>
            <w:vAlign w:val="center"/>
          </w:tcPr>
          <w:p w14:paraId="51B7A643">
            <w:pPr>
              <w:adjustRightInd w:val="0"/>
              <w:snapToGrid w:val="0"/>
              <w:spacing w:line="480" w:lineRule="auto"/>
              <w:jc w:val="center"/>
              <w:rPr>
                <w:rFonts w:hint="eastAsia" w:ascii="仿宋" w:hAnsi="仿宋" w:eastAsia="仿宋" w:cs="仿宋"/>
                <w:b/>
                <w:color w:val="auto"/>
                <w:sz w:val="24"/>
                <w:szCs w:val="24"/>
                <w:highlight w:val="none"/>
              </w:rPr>
            </w:pPr>
          </w:p>
        </w:tc>
        <w:tc>
          <w:tcPr>
            <w:tcW w:w="2076" w:type="dxa"/>
            <w:vAlign w:val="center"/>
          </w:tcPr>
          <w:p w14:paraId="5CB2ECF3">
            <w:pPr>
              <w:adjustRightInd w:val="0"/>
              <w:snapToGrid w:val="0"/>
              <w:spacing w:line="480" w:lineRule="auto"/>
              <w:jc w:val="center"/>
              <w:rPr>
                <w:rFonts w:hint="eastAsia" w:ascii="仿宋" w:hAnsi="仿宋" w:eastAsia="仿宋" w:cs="仿宋"/>
                <w:b/>
                <w:color w:val="auto"/>
                <w:sz w:val="24"/>
                <w:szCs w:val="24"/>
                <w:highlight w:val="none"/>
              </w:rPr>
            </w:pPr>
          </w:p>
        </w:tc>
      </w:tr>
      <w:tr w14:paraId="6022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14:paraId="03DA8150">
            <w:pPr>
              <w:adjustRightInd w:val="0"/>
              <w:snapToGrid w:val="0"/>
              <w:spacing w:line="480" w:lineRule="auto"/>
              <w:jc w:val="center"/>
              <w:rPr>
                <w:rFonts w:hint="eastAsia" w:ascii="仿宋" w:hAnsi="仿宋" w:eastAsia="仿宋" w:cs="仿宋"/>
                <w:b/>
                <w:color w:val="auto"/>
                <w:sz w:val="24"/>
                <w:szCs w:val="24"/>
                <w:highlight w:val="none"/>
              </w:rPr>
            </w:pPr>
          </w:p>
        </w:tc>
        <w:tc>
          <w:tcPr>
            <w:tcW w:w="2947" w:type="dxa"/>
            <w:vAlign w:val="center"/>
          </w:tcPr>
          <w:p w14:paraId="0E0A97F8">
            <w:pPr>
              <w:adjustRightInd w:val="0"/>
              <w:snapToGrid w:val="0"/>
              <w:spacing w:line="480" w:lineRule="auto"/>
              <w:jc w:val="center"/>
              <w:rPr>
                <w:rFonts w:hint="eastAsia" w:ascii="仿宋" w:hAnsi="仿宋" w:eastAsia="仿宋" w:cs="仿宋"/>
                <w:b/>
                <w:color w:val="auto"/>
                <w:sz w:val="24"/>
                <w:szCs w:val="24"/>
                <w:highlight w:val="none"/>
              </w:rPr>
            </w:pPr>
          </w:p>
        </w:tc>
        <w:tc>
          <w:tcPr>
            <w:tcW w:w="2839" w:type="dxa"/>
            <w:vAlign w:val="center"/>
          </w:tcPr>
          <w:p w14:paraId="382ED953">
            <w:pPr>
              <w:adjustRightInd w:val="0"/>
              <w:snapToGrid w:val="0"/>
              <w:spacing w:line="480" w:lineRule="auto"/>
              <w:jc w:val="center"/>
              <w:rPr>
                <w:rFonts w:hint="eastAsia" w:ascii="仿宋" w:hAnsi="仿宋" w:eastAsia="仿宋" w:cs="仿宋"/>
                <w:b/>
                <w:color w:val="auto"/>
                <w:sz w:val="24"/>
                <w:szCs w:val="24"/>
                <w:highlight w:val="none"/>
              </w:rPr>
            </w:pPr>
          </w:p>
        </w:tc>
        <w:tc>
          <w:tcPr>
            <w:tcW w:w="2076" w:type="dxa"/>
            <w:vAlign w:val="center"/>
          </w:tcPr>
          <w:p w14:paraId="58EC90DC">
            <w:pPr>
              <w:adjustRightInd w:val="0"/>
              <w:snapToGrid w:val="0"/>
              <w:spacing w:line="480" w:lineRule="auto"/>
              <w:jc w:val="center"/>
              <w:rPr>
                <w:rFonts w:hint="eastAsia" w:ascii="仿宋" w:hAnsi="仿宋" w:eastAsia="仿宋" w:cs="仿宋"/>
                <w:b/>
                <w:color w:val="auto"/>
                <w:sz w:val="24"/>
                <w:szCs w:val="24"/>
                <w:highlight w:val="none"/>
              </w:rPr>
            </w:pPr>
          </w:p>
        </w:tc>
      </w:tr>
      <w:tr w14:paraId="51DC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14:paraId="13AA8B2A">
            <w:pPr>
              <w:adjustRightInd w:val="0"/>
              <w:snapToGrid w:val="0"/>
              <w:spacing w:line="480" w:lineRule="auto"/>
              <w:jc w:val="center"/>
              <w:rPr>
                <w:rFonts w:hint="eastAsia" w:ascii="仿宋" w:hAnsi="仿宋" w:eastAsia="仿宋" w:cs="仿宋"/>
                <w:b/>
                <w:color w:val="auto"/>
                <w:sz w:val="24"/>
                <w:szCs w:val="24"/>
                <w:highlight w:val="none"/>
              </w:rPr>
            </w:pPr>
          </w:p>
        </w:tc>
        <w:tc>
          <w:tcPr>
            <w:tcW w:w="2947" w:type="dxa"/>
            <w:vAlign w:val="center"/>
          </w:tcPr>
          <w:p w14:paraId="756DADCF">
            <w:pPr>
              <w:adjustRightInd w:val="0"/>
              <w:snapToGrid w:val="0"/>
              <w:spacing w:line="480" w:lineRule="auto"/>
              <w:jc w:val="center"/>
              <w:rPr>
                <w:rFonts w:hint="eastAsia" w:ascii="仿宋" w:hAnsi="仿宋" w:eastAsia="仿宋" w:cs="仿宋"/>
                <w:b/>
                <w:color w:val="auto"/>
                <w:sz w:val="24"/>
                <w:szCs w:val="24"/>
                <w:highlight w:val="none"/>
              </w:rPr>
            </w:pPr>
          </w:p>
        </w:tc>
        <w:tc>
          <w:tcPr>
            <w:tcW w:w="2839" w:type="dxa"/>
            <w:vAlign w:val="center"/>
          </w:tcPr>
          <w:p w14:paraId="36B40B7D">
            <w:pPr>
              <w:adjustRightInd w:val="0"/>
              <w:snapToGrid w:val="0"/>
              <w:spacing w:line="480" w:lineRule="auto"/>
              <w:jc w:val="center"/>
              <w:rPr>
                <w:rFonts w:hint="eastAsia" w:ascii="仿宋" w:hAnsi="仿宋" w:eastAsia="仿宋" w:cs="仿宋"/>
                <w:b/>
                <w:color w:val="auto"/>
                <w:sz w:val="24"/>
                <w:szCs w:val="24"/>
                <w:highlight w:val="none"/>
              </w:rPr>
            </w:pPr>
          </w:p>
        </w:tc>
        <w:tc>
          <w:tcPr>
            <w:tcW w:w="2076" w:type="dxa"/>
            <w:vAlign w:val="center"/>
          </w:tcPr>
          <w:p w14:paraId="1FCFE8A8">
            <w:pPr>
              <w:adjustRightInd w:val="0"/>
              <w:snapToGrid w:val="0"/>
              <w:spacing w:line="480" w:lineRule="auto"/>
              <w:jc w:val="center"/>
              <w:rPr>
                <w:rFonts w:hint="eastAsia" w:ascii="仿宋" w:hAnsi="仿宋" w:eastAsia="仿宋" w:cs="仿宋"/>
                <w:b/>
                <w:color w:val="auto"/>
                <w:sz w:val="24"/>
                <w:szCs w:val="24"/>
                <w:highlight w:val="none"/>
              </w:rPr>
            </w:pPr>
          </w:p>
        </w:tc>
      </w:tr>
      <w:tr w14:paraId="36E2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top"/>
          </w:tcPr>
          <w:p w14:paraId="001FD099">
            <w:pPr>
              <w:adjustRightInd w:val="0"/>
              <w:snapToGrid w:val="0"/>
              <w:spacing w:line="480" w:lineRule="auto"/>
              <w:rPr>
                <w:rFonts w:hint="eastAsia" w:ascii="仿宋" w:hAnsi="仿宋" w:eastAsia="仿宋" w:cs="仿宋"/>
                <w:b/>
                <w:color w:val="auto"/>
                <w:sz w:val="24"/>
                <w:szCs w:val="24"/>
                <w:highlight w:val="none"/>
              </w:rPr>
            </w:pPr>
          </w:p>
        </w:tc>
        <w:tc>
          <w:tcPr>
            <w:tcW w:w="2947" w:type="dxa"/>
            <w:vAlign w:val="top"/>
          </w:tcPr>
          <w:p w14:paraId="6DC71303">
            <w:pPr>
              <w:adjustRightInd w:val="0"/>
              <w:snapToGrid w:val="0"/>
              <w:spacing w:line="480" w:lineRule="auto"/>
              <w:rPr>
                <w:rFonts w:hint="eastAsia" w:ascii="仿宋" w:hAnsi="仿宋" w:eastAsia="仿宋" w:cs="仿宋"/>
                <w:b/>
                <w:color w:val="auto"/>
                <w:sz w:val="24"/>
                <w:szCs w:val="24"/>
                <w:highlight w:val="none"/>
              </w:rPr>
            </w:pPr>
          </w:p>
        </w:tc>
        <w:tc>
          <w:tcPr>
            <w:tcW w:w="2839" w:type="dxa"/>
            <w:vAlign w:val="top"/>
          </w:tcPr>
          <w:p w14:paraId="5A13B640">
            <w:pPr>
              <w:adjustRightInd w:val="0"/>
              <w:snapToGrid w:val="0"/>
              <w:spacing w:line="480" w:lineRule="auto"/>
              <w:rPr>
                <w:rFonts w:hint="eastAsia" w:ascii="仿宋" w:hAnsi="仿宋" w:eastAsia="仿宋" w:cs="仿宋"/>
                <w:b/>
                <w:color w:val="auto"/>
                <w:sz w:val="24"/>
                <w:szCs w:val="24"/>
                <w:highlight w:val="none"/>
              </w:rPr>
            </w:pPr>
          </w:p>
        </w:tc>
        <w:tc>
          <w:tcPr>
            <w:tcW w:w="2076" w:type="dxa"/>
            <w:vAlign w:val="top"/>
          </w:tcPr>
          <w:p w14:paraId="09B4646C">
            <w:pPr>
              <w:adjustRightInd w:val="0"/>
              <w:snapToGrid w:val="0"/>
              <w:spacing w:line="480" w:lineRule="auto"/>
              <w:rPr>
                <w:rFonts w:hint="eastAsia" w:ascii="仿宋" w:hAnsi="仿宋" w:eastAsia="仿宋" w:cs="仿宋"/>
                <w:b/>
                <w:color w:val="auto"/>
                <w:sz w:val="24"/>
                <w:szCs w:val="24"/>
                <w:highlight w:val="none"/>
              </w:rPr>
            </w:pPr>
          </w:p>
        </w:tc>
      </w:tr>
      <w:tr w14:paraId="15AB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top"/>
          </w:tcPr>
          <w:p w14:paraId="315D1021">
            <w:pPr>
              <w:adjustRightInd w:val="0"/>
              <w:snapToGrid w:val="0"/>
              <w:spacing w:line="480" w:lineRule="auto"/>
              <w:rPr>
                <w:rFonts w:hint="eastAsia" w:ascii="仿宋" w:hAnsi="仿宋" w:eastAsia="仿宋" w:cs="仿宋"/>
                <w:b/>
                <w:color w:val="auto"/>
                <w:sz w:val="24"/>
                <w:szCs w:val="24"/>
                <w:highlight w:val="none"/>
              </w:rPr>
            </w:pPr>
          </w:p>
        </w:tc>
        <w:tc>
          <w:tcPr>
            <w:tcW w:w="2947" w:type="dxa"/>
            <w:vAlign w:val="top"/>
          </w:tcPr>
          <w:p w14:paraId="5D3033B0">
            <w:pPr>
              <w:adjustRightInd w:val="0"/>
              <w:snapToGrid w:val="0"/>
              <w:spacing w:line="480" w:lineRule="auto"/>
              <w:rPr>
                <w:rFonts w:hint="eastAsia" w:ascii="仿宋" w:hAnsi="仿宋" w:eastAsia="仿宋" w:cs="仿宋"/>
                <w:b/>
                <w:color w:val="auto"/>
                <w:sz w:val="24"/>
                <w:szCs w:val="24"/>
                <w:highlight w:val="none"/>
              </w:rPr>
            </w:pPr>
          </w:p>
        </w:tc>
        <w:tc>
          <w:tcPr>
            <w:tcW w:w="2839" w:type="dxa"/>
            <w:vAlign w:val="top"/>
          </w:tcPr>
          <w:p w14:paraId="593DF26B">
            <w:pPr>
              <w:adjustRightInd w:val="0"/>
              <w:snapToGrid w:val="0"/>
              <w:spacing w:line="480" w:lineRule="auto"/>
              <w:rPr>
                <w:rFonts w:hint="eastAsia" w:ascii="仿宋" w:hAnsi="仿宋" w:eastAsia="仿宋" w:cs="仿宋"/>
                <w:b/>
                <w:color w:val="auto"/>
                <w:sz w:val="24"/>
                <w:szCs w:val="24"/>
                <w:highlight w:val="none"/>
              </w:rPr>
            </w:pPr>
          </w:p>
        </w:tc>
        <w:tc>
          <w:tcPr>
            <w:tcW w:w="2076" w:type="dxa"/>
            <w:vAlign w:val="top"/>
          </w:tcPr>
          <w:p w14:paraId="2568C6A8">
            <w:pPr>
              <w:adjustRightInd w:val="0"/>
              <w:snapToGrid w:val="0"/>
              <w:spacing w:line="480" w:lineRule="auto"/>
              <w:rPr>
                <w:rFonts w:hint="eastAsia" w:ascii="仿宋" w:hAnsi="仿宋" w:eastAsia="仿宋" w:cs="仿宋"/>
                <w:b/>
                <w:color w:val="auto"/>
                <w:sz w:val="24"/>
                <w:szCs w:val="24"/>
                <w:highlight w:val="none"/>
              </w:rPr>
            </w:pPr>
          </w:p>
        </w:tc>
      </w:tr>
      <w:tr w14:paraId="4070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top"/>
          </w:tcPr>
          <w:p w14:paraId="27F7E2AA">
            <w:pPr>
              <w:adjustRightInd w:val="0"/>
              <w:snapToGrid w:val="0"/>
              <w:spacing w:line="480" w:lineRule="auto"/>
              <w:rPr>
                <w:rFonts w:hint="eastAsia" w:ascii="仿宋" w:hAnsi="仿宋" w:eastAsia="仿宋" w:cs="仿宋"/>
                <w:b/>
                <w:color w:val="auto"/>
                <w:sz w:val="24"/>
                <w:szCs w:val="24"/>
                <w:highlight w:val="none"/>
              </w:rPr>
            </w:pPr>
          </w:p>
        </w:tc>
        <w:tc>
          <w:tcPr>
            <w:tcW w:w="2947" w:type="dxa"/>
            <w:vAlign w:val="top"/>
          </w:tcPr>
          <w:p w14:paraId="55394869">
            <w:pPr>
              <w:adjustRightInd w:val="0"/>
              <w:snapToGrid w:val="0"/>
              <w:spacing w:line="480" w:lineRule="auto"/>
              <w:rPr>
                <w:rFonts w:hint="eastAsia" w:ascii="仿宋" w:hAnsi="仿宋" w:eastAsia="仿宋" w:cs="仿宋"/>
                <w:b/>
                <w:color w:val="auto"/>
                <w:sz w:val="24"/>
                <w:szCs w:val="24"/>
                <w:highlight w:val="none"/>
              </w:rPr>
            </w:pPr>
          </w:p>
        </w:tc>
        <w:tc>
          <w:tcPr>
            <w:tcW w:w="2839" w:type="dxa"/>
            <w:vAlign w:val="top"/>
          </w:tcPr>
          <w:p w14:paraId="16EBC189">
            <w:pPr>
              <w:adjustRightInd w:val="0"/>
              <w:snapToGrid w:val="0"/>
              <w:spacing w:line="480" w:lineRule="auto"/>
              <w:rPr>
                <w:rFonts w:hint="eastAsia" w:ascii="仿宋" w:hAnsi="仿宋" w:eastAsia="仿宋" w:cs="仿宋"/>
                <w:b/>
                <w:color w:val="auto"/>
                <w:sz w:val="24"/>
                <w:szCs w:val="24"/>
                <w:highlight w:val="none"/>
              </w:rPr>
            </w:pPr>
          </w:p>
        </w:tc>
        <w:tc>
          <w:tcPr>
            <w:tcW w:w="2076" w:type="dxa"/>
            <w:vAlign w:val="top"/>
          </w:tcPr>
          <w:p w14:paraId="0552CCAA">
            <w:pPr>
              <w:adjustRightInd w:val="0"/>
              <w:snapToGrid w:val="0"/>
              <w:spacing w:line="480" w:lineRule="auto"/>
              <w:rPr>
                <w:rFonts w:hint="eastAsia" w:ascii="仿宋" w:hAnsi="仿宋" w:eastAsia="仿宋" w:cs="仿宋"/>
                <w:b/>
                <w:color w:val="auto"/>
                <w:sz w:val="24"/>
                <w:szCs w:val="24"/>
                <w:highlight w:val="none"/>
              </w:rPr>
            </w:pPr>
          </w:p>
        </w:tc>
      </w:tr>
      <w:tr w14:paraId="5711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top"/>
          </w:tcPr>
          <w:p w14:paraId="7CB92BE8">
            <w:pPr>
              <w:adjustRightInd w:val="0"/>
              <w:snapToGrid w:val="0"/>
              <w:spacing w:line="480" w:lineRule="auto"/>
              <w:rPr>
                <w:rFonts w:hint="eastAsia" w:ascii="仿宋" w:hAnsi="仿宋" w:eastAsia="仿宋" w:cs="仿宋"/>
                <w:b/>
                <w:color w:val="auto"/>
                <w:sz w:val="24"/>
                <w:szCs w:val="24"/>
                <w:highlight w:val="none"/>
              </w:rPr>
            </w:pPr>
          </w:p>
        </w:tc>
        <w:tc>
          <w:tcPr>
            <w:tcW w:w="2947" w:type="dxa"/>
            <w:vAlign w:val="top"/>
          </w:tcPr>
          <w:p w14:paraId="5D70DD20">
            <w:pPr>
              <w:adjustRightInd w:val="0"/>
              <w:snapToGrid w:val="0"/>
              <w:spacing w:line="480" w:lineRule="auto"/>
              <w:rPr>
                <w:rFonts w:hint="eastAsia" w:ascii="仿宋" w:hAnsi="仿宋" w:eastAsia="仿宋" w:cs="仿宋"/>
                <w:b/>
                <w:color w:val="auto"/>
                <w:sz w:val="24"/>
                <w:szCs w:val="24"/>
                <w:highlight w:val="none"/>
              </w:rPr>
            </w:pPr>
          </w:p>
        </w:tc>
        <w:tc>
          <w:tcPr>
            <w:tcW w:w="2839" w:type="dxa"/>
            <w:vAlign w:val="top"/>
          </w:tcPr>
          <w:p w14:paraId="3FDAEC4A">
            <w:pPr>
              <w:adjustRightInd w:val="0"/>
              <w:snapToGrid w:val="0"/>
              <w:spacing w:line="480" w:lineRule="auto"/>
              <w:rPr>
                <w:rFonts w:hint="eastAsia" w:ascii="仿宋" w:hAnsi="仿宋" w:eastAsia="仿宋" w:cs="仿宋"/>
                <w:b/>
                <w:color w:val="auto"/>
                <w:sz w:val="24"/>
                <w:szCs w:val="24"/>
                <w:highlight w:val="none"/>
              </w:rPr>
            </w:pPr>
          </w:p>
        </w:tc>
        <w:tc>
          <w:tcPr>
            <w:tcW w:w="2076" w:type="dxa"/>
            <w:vAlign w:val="top"/>
          </w:tcPr>
          <w:p w14:paraId="31D464B9">
            <w:pPr>
              <w:adjustRightInd w:val="0"/>
              <w:snapToGrid w:val="0"/>
              <w:spacing w:line="480" w:lineRule="auto"/>
              <w:rPr>
                <w:rFonts w:hint="eastAsia" w:ascii="仿宋" w:hAnsi="仿宋" w:eastAsia="仿宋" w:cs="仿宋"/>
                <w:b/>
                <w:color w:val="auto"/>
                <w:sz w:val="24"/>
                <w:szCs w:val="24"/>
                <w:highlight w:val="none"/>
              </w:rPr>
            </w:pPr>
          </w:p>
        </w:tc>
      </w:tr>
      <w:tr w14:paraId="762C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top"/>
          </w:tcPr>
          <w:p w14:paraId="3BE10B03">
            <w:pPr>
              <w:adjustRightInd w:val="0"/>
              <w:snapToGrid w:val="0"/>
              <w:spacing w:line="480" w:lineRule="auto"/>
              <w:rPr>
                <w:rFonts w:hint="eastAsia" w:ascii="仿宋" w:hAnsi="仿宋" w:eastAsia="仿宋" w:cs="仿宋"/>
                <w:b/>
                <w:color w:val="auto"/>
                <w:sz w:val="24"/>
                <w:szCs w:val="24"/>
                <w:highlight w:val="none"/>
              </w:rPr>
            </w:pPr>
          </w:p>
        </w:tc>
        <w:tc>
          <w:tcPr>
            <w:tcW w:w="2947" w:type="dxa"/>
            <w:vAlign w:val="top"/>
          </w:tcPr>
          <w:p w14:paraId="61FAC684">
            <w:pPr>
              <w:adjustRightInd w:val="0"/>
              <w:snapToGrid w:val="0"/>
              <w:spacing w:line="480" w:lineRule="auto"/>
              <w:rPr>
                <w:rFonts w:hint="eastAsia" w:ascii="仿宋" w:hAnsi="仿宋" w:eastAsia="仿宋" w:cs="仿宋"/>
                <w:b/>
                <w:color w:val="auto"/>
                <w:sz w:val="24"/>
                <w:szCs w:val="24"/>
                <w:highlight w:val="none"/>
              </w:rPr>
            </w:pPr>
          </w:p>
        </w:tc>
        <w:tc>
          <w:tcPr>
            <w:tcW w:w="2839" w:type="dxa"/>
            <w:vAlign w:val="top"/>
          </w:tcPr>
          <w:p w14:paraId="670E9F95">
            <w:pPr>
              <w:adjustRightInd w:val="0"/>
              <w:snapToGrid w:val="0"/>
              <w:spacing w:line="480" w:lineRule="auto"/>
              <w:rPr>
                <w:rFonts w:hint="eastAsia" w:ascii="仿宋" w:hAnsi="仿宋" w:eastAsia="仿宋" w:cs="仿宋"/>
                <w:b/>
                <w:color w:val="auto"/>
                <w:sz w:val="24"/>
                <w:szCs w:val="24"/>
                <w:highlight w:val="none"/>
              </w:rPr>
            </w:pPr>
          </w:p>
        </w:tc>
        <w:tc>
          <w:tcPr>
            <w:tcW w:w="2076" w:type="dxa"/>
            <w:vAlign w:val="top"/>
          </w:tcPr>
          <w:p w14:paraId="1F0AC957">
            <w:pPr>
              <w:adjustRightInd w:val="0"/>
              <w:snapToGrid w:val="0"/>
              <w:spacing w:line="480" w:lineRule="auto"/>
              <w:rPr>
                <w:rFonts w:hint="eastAsia" w:ascii="仿宋" w:hAnsi="仿宋" w:eastAsia="仿宋" w:cs="仿宋"/>
                <w:b/>
                <w:color w:val="auto"/>
                <w:sz w:val="24"/>
                <w:szCs w:val="24"/>
                <w:highlight w:val="none"/>
              </w:rPr>
            </w:pPr>
          </w:p>
        </w:tc>
      </w:tr>
      <w:tr w14:paraId="1BE4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top"/>
          </w:tcPr>
          <w:p w14:paraId="10BE98EC">
            <w:pPr>
              <w:adjustRightInd w:val="0"/>
              <w:snapToGrid w:val="0"/>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c>
          <w:tcPr>
            <w:tcW w:w="2947" w:type="dxa"/>
            <w:vAlign w:val="top"/>
          </w:tcPr>
          <w:p w14:paraId="2ACB4E0A">
            <w:pPr>
              <w:adjustRightInd w:val="0"/>
              <w:snapToGrid w:val="0"/>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c>
          <w:tcPr>
            <w:tcW w:w="2839" w:type="dxa"/>
            <w:vAlign w:val="top"/>
          </w:tcPr>
          <w:p w14:paraId="07766E6B">
            <w:pPr>
              <w:adjustRightInd w:val="0"/>
              <w:snapToGrid w:val="0"/>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c>
          <w:tcPr>
            <w:tcW w:w="2076" w:type="dxa"/>
            <w:vAlign w:val="top"/>
          </w:tcPr>
          <w:p w14:paraId="17EE0DA9">
            <w:pPr>
              <w:adjustRightInd w:val="0"/>
              <w:snapToGrid w:val="0"/>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r>
    </w:tbl>
    <w:p w14:paraId="65C3225C">
      <w:pPr>
        <w:spacing w:line="240" w:lineRule="auto"/>
        <w:ind w:left="0" w:leftChars="0" w:firstLine="0" w:firstLineChars="0"/>
        <w:jc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color w:val="auto"/>
          <w:sz w:val="28"/>
          <w:szCs w:val="28"/>
          <w:highlight w:val="none"/>
        </w:rPr>
        <w:br w:type="page"/>
      </w:r>
    </w:p>
    <w:p w14:paraId="113F0E41">
      <w:pPr>
        <w:ind w:left="0" w:leftChars="0" w:firstLine="0" w:firstLineChars="0"/>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 xml:space="preserve">投 标 </w:t>
      </w:r>
      <w:r>
        <w:rPr>
          <w:rFonts w:hint="eastAsia" w:ascii="仿宋" w:hAnsi="仿宋" w:eastAsia="仿宋" w:cs="仿宋"/>
          <w:b/>
          <w:bCs/>
          <w:color w:val="auto"/>
          <w:sz w:val="28"/>
          <w:szCs w:val="28"/>
          <w:highlight w:val="none"/>
          <w:lang w:val="en-US" w:eastAsia="zh-CN"/>
        </w:rPr>
        <w:t>函</w:t>
      </w:r>
    </w:p>
    <w:p w14:paraId="3169DBA3">
      <w:pPr>
        <w:spacing w:line="440" w:lineRule="exact"/>
        <w:rPr>
          <w:rFonts w:hint="eastAsia" w:ascii="仿宋" w:hAnsi="仿宋" w:eastAsia="仿宋" w:cs="仿宋"/>
          <w:color w:val="auto"/>
          <w:sz w:val="24"/>
          <w:szCs w:val="24"/>
          <w:highlight w:val="none"/>
        </w:rPr>
      </w:pPr>
    </w:p>
    <w:p w14:paraId="0998913E">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采购单位名称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1FE9C23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收到你们的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（项目名称），经认真研究，我们决定参加投标。</w:t>
      </w:r>
    </w:p>
    <w:p w14:paraId="11C4A763">
      <w:pPr>
        <w:numPr>
          <w:ilvl w:val="0"/>
          <w:numId w:val="19"/>
        </w:numPr>
        <w:spacing w:line="44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按照招标文件的要求，提供本项目全部服务内容，包括服务实施、人员配备、技术支持、培训及售后服务等，并承担由此产生的全部费用及相关税费。</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总价为￥：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，明细见投标报价表。</w:t>
      </w:r>
    </w:p>
    <w:p w14:paraId="1E25687D">
      <w:pPr>
        <w:numPr>
          <w:ilvl w:val="0"/>
          <w:numId w:val="19"/>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如果我们的投标书被接受，我们将履行招标文件中规定的每一项义务和要求，按期、按质、按量完成</w:t>
      </w:r>
      <w:r>
        <w:rPr>
          <w:rFonts w:hint="eastAsia" w:ascii="仿宋" w:hAnsi="仿宋" w:eastAsia="仿宋" w:cs="仿宋"/>
          <w:color w:val="auto"/>
          <w:sz w:val="24"/>
          <w:szCs w:val="24"/>
          <w:highlight w:val="none"/>
          <w:lang w:val="en-US" w:eastAsia="zh-CN"/>
        </w:rPr>
        <w:t>项目内容</w:t>
      </w:r>
      <w:r>
        <w:rPr>
          <w:rFonts w:hint="eastAsia" w:ascii="仿宋" w:hAnsi="仿宋" w:eastAsia="仿宋" w:cs="仿宋"/>
          <w:color w:val="auto"/>
          <w:sz w:val="24"/>
          <w:szCs w:val="24"/>
          <w:highlight w:val="none"/>
        </w:rPr>
        <w:t>。</w:t>
      </w:r>
    </w:p>
    <w:p w14:paraId="40A9160C">
      <w:pPr>
        <w:numPr>
          <w:ilvl w:val="0"/>
          <w:numId w:val="19"/>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我们同意按招标文件的规定，本标书的有效期为开标后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日历</w:t>
      </w:r>
      <w:r>
        <w:rPr>
          <w:rFonts w:hint="eastAsia" w:ascii="仿宋" w:hAnsi="仿宋" w:eastAsia="仿宋" w:cs="仿宋"/>
          <w:color w:val="auto"/>
          <w:sz w:val="24"/>
          <w:szCs w:val="24"/>
          <w:highlight w:val="none"/>
          <w:u w:val="none"/>
        </w:rPr>
        <w:t>天</w:t>
      </w:r>
      <w:r>
        <w:rPr>
          <w:rFonts w:hint="eastAsia" w:ascii="仿宋" w:hAnsi="仿宋" w:eastAsia="仿宋" w:cs="仿宋"/>
          <w:color w:val="auto"/>
          <w:sz w:val="24"/>
          <w:szCs w:val="24"/>
          <w:highlight w:val="none"/>
        </w:rPr>
        <w:t>。</w:t>
      </w:r>
    </w:p>
    <w:p w14:paraId="2056C3D0">
      <w:pPr>
        <w:numPr>
          <w:ilvl w:val="0"/>
          <w:numId w:val="19"/>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我们愿意提供招标人在招标文件中要求的所有资料。</w:t>
      </w:r>
    </w:p>
    <w:p w14:paraId="6E11609B">
      <w:pPr>
        <w:numPr>
          <w:ilvl w:val="0"/>
          <w:numId w:val="19"/>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我们认为你们有选择或拒绝任何投标者中标的权利。我们理解，最低报价不是中标的唯一条件。</w:t>
      </w:r>
    </w:p>
    <w:p w14:paraId="2F8A9924">
      <w:pPr>
        <w:numPr>
          <w:ilvl w:val="0"/>
          <w:numId w:val="19"/>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我们愿意按合同履行自己的全部责任。</w:t>
      </w:r>
    </w:p>
    <w:p w14:paraId="3397726B">
      <w:pPr>
        <w:numPr>
          <w:ilvl w:val="0"/>
          <w:numId w:val="19"/>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我们愿意遵守国家有关规定和招标文件中规定的收费标准，承付中标服务费。</w:t>
      </w:r>
    </w:p>
    <w:p w14:paraId="51789BF1">
      <w:pPr>
        <w:numPr>
          <w:ilvl w:val="0"/>
          <w:numId w:val="19"/>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该项投标在开标后全过程中保持有效，不做任何更改和变动。</w:t>
      </w:r>
    </w:p>
    <w:p w14:paraId="6C356B74">
      <w:pPr>
        <w:numPr>
          <w:ilvl w:val="0"/>
          <w:numId w:val="19"/>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我们同意按招标文件规定，缴纳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元投标保证金。</w:t>
      </w:r>
    </w:p>
    <w:p w14:paraId="5896BAD9">
      <w:pPr>
        <w:spacing w:line="440" w:lineRule="exact"/>
        <w:ind w:left="721" w:leftChars="229"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我们保证投标文件中的所有证件和内容真实有效，否则我们愿意承担一切法律责任。</w:t>
      </w:r>
    </w:p>
    <w:p w14:paraId="5C92315D">
      <w:pPr>
        <w:spacing w:line="440" w:lineRule="exact"/>
        <w:ind w:left="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11、其他说明。</w:t>
      </w:r>
    </w:p>
    <w:p w14:paraId="57CC63D0">
      <w:pPr>
        <w:spacing w:line="440" w:lineRule="exact"/>
        <w:ind w:left="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12、所有有关本标书的函电，请按下列地址联系：</w:t>
      </w:r>
    </w:p>
    <w:p w14:paraId="162FFE3C">
      <w:pPr>
        <w:spacing w:line="240" w:lineRule="auto"/>
        <w:ind w:firstLine="560" w:firstLineChars="200"/>
        <w:rPr>
          <w:rFonts w:hint="eastAsia" w:ascii="仿宋" w:hAnsi="仿宋" w:eastAsia="仿宋" w:cs="仿宋"/>
          <w:color w:val="auto"/>
          <w:sz w:val="28"/>
          <w:szCs w:val="28"/>
          <w:highlight w:val="none"/>
        </w:rPr>
      </w:pPr>
    </w:p>
    <w:p w14:paraId="2608265B">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投标单位(单位公章) ：                       </w:t>
      </w:r>
    </w:p>
    <w:p w14:paraId="72362287">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28439EA1">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w:t>
      </w:r>
    </w:p>
    <w:p w14:paraId="7BD09ADC">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话：</w:t>
      </w:r>
    </w:p>
    <w:p w14:paraId="7B66409B">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真：</w:t>
      </w:r>
    </w:p>
    <w:p w14:paraId="01C72F06">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03AF4BCE">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人：</w:t>
      </w:r>
    </w:p>
    <w:p w14:paraId="7967EB33">
      <w:pPr>
        <w:spacing w:line="440" w:lineRule="exact"/>
        <w:ind w:left="239" w:leftChars="114"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68ABDB5">
      <w:pPr>
        <w:spacing w:line="440" w:lineRule="exact"/>
        <w:rPr>
          <w:rFonts w:hint="eastAsia" w:ascii="仿宋" w:hAnsi="仿宋" w:eastAsia="仿宋" w:cs="仿宋"/>
          <w:b/>
          <w:bCs/>
          <w:color w:val="auto"/>
          <w:sz w:val="30"/>
          <w:szCs w:val="30"/>
          <w:highlight w:val="none"/>
        </w:rPr>
      </w:pPr>
    </w:p>
    <w:p w14:paraId="36701A45">
      <w:pPr>
        <w:spacing w:line="240" w:lineRule="auto"/>
        <w:ind w:firstLine="480"/>
        <w:jc w:val="center"/>
        <w:rPr>
          <w:rFonts w:hint="eastAsia" w:ascii="仿宋" w:hAnsi="仿宋" w:eastAsia="仿宋" w:cs="仿宋"/>
          <w:b/>
          <w:bCs/>
          <w:color w:val="auto"/>
          <w:sz w:val="24"/>
          <w:szCs w:val="24"/>
          <w:highlight w:val="none"/>
          <w:lang w:val="en-US" w:eastAsia="zh-CN"/>
        </w:rPr>
      </w:pPr>
    </w:p>
    <w:p w14:paraId="6850648C">
      <w:pPr>
        <w:numPr>
          <w:ilvl w:val="0"/>
          <w:numId w:val="0"/>
        </w:numPr>
        <w:spacing w:line="440" w:lineRule="exact"/>
        <w:ind w:left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投标文件真实性和不存在限制投标情形的声明</w:t>
      </w:r>
    </w:p>
    <w:p w14:paraId="7571FDB4">
      <w:pPr>
        <w:pStyle w:val="14"/>
        <w:numPr>
          <w:ilvl w:val="0"/>
          <w:numId w:val="0"/>
        </w:numPr>
        <w:spacing w:line="240" w:lineRule="auto"/>
        <w:ind w:leftChars="0"/>
        <w:rPr>
          <w:rFonts w:hint="eastAsia" w:ascii="仿宋" w:hAnsi="仿宋" w:eastAsia="仿宋" w:cs="仿宋"/>
          <w:color w:val="auto"/>
          <w:highlight w:val="none"/>
        </w:rPr>
      </w:pPr>
    </w:p>
    <w:p w14:paraId="45E9B90D">
      <w:pPr>
        <w:spacing w:line="200" w:lineRule="exact"/>
        <w:rPr>
          <w:rFonts w:hint="eastAsia" w:ascii="仿宋" w:hAnsi="仿宋" w:eastAsia="仿宋" w:cs="仿宋"/>
          <w:color w:val="auto"/>
          <w:highlight w:val="none"/>
        </w:rPr>
      </w:pPr>
    </w:p>
    <w:p w14:paraId="2226A83B">
      <w:pPr>
        <w:spacing w:line="600" w:lineRule="auto"/>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采购单位名称</w:t>
      </w:r>
      <w:r>
        <w:rPr>
          <w:rFonts w:hint="eastAsia" w:ascii="仿宋" w:hAnsi="仿宋" w:eastAsia="仿宋" w:cs="仿宋"/>
          <w:color w:val="auto"/>
          <w:sz w:val="24"/>
          <w:szCs w:val="24"/>
          <w:highlight w:val="none"/>
          <w:u w:val="single"/>
        </w:rPr>
        <w:t>）：</w:t>
      </w:r>
    </w:p>
    <w:p w14:paraId="0A2D9ACC">
      <w:pPr>
        <w:spacing w:line="60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我方在此声明，所递交的（项目名称）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的投标文件（包括有关资料、澄清）真实可信，不存在虚假（包括隐瞒）。我方近三年来在经营活动中没有重大违法记录。</w:t>
      </w:r>
    </w:p>
    <w:p w14:paraId="2A9C0558">
      <w:pPr>
        <w:spacing w:line="60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我方承诺，如存在虚假投标行为，我方自愿承担</w:t>
      </w:r>
      <w:r>
        <w:rPr>
          <w:rFonts w:hint="eastAsia" w:ascii="仿宋" w:hAnsi="仿宋" w:eastAsia="仿宋" w:cs="仿宋"/>
          <w:b/>
          <w:bCs/>
          <w:color w:val="auto"/>
          <w:sz w:val="24"/>
          <w:szCs w:val="24"/>
          <w:highlight w:val="none"/>
          <w:lang w:val="en-US" w:eastAsia="zh-CN"/>
        </w:rPr>
        <w:t>一切法律</w:t>
      </w:r>
      <w:r>
        <w:rPr>
          <w:rFonts w:hint="eastAsia" w:ascii="仿宋" w:hAnsi="仿宋" w:eastAsia="仿宋" w:cs="仿宋"/>
          <w:b/>
          <w:bCs/>
          <w:color w:val="auto"/>
          <w:sz w:val="24"/>
          <w:szCs w:val="24"/>
          <w:highlight w:val="none"/>
        </w:rPr>
        <w:t>责任</w:t>
      </w:r>
      <w:r>
        <w:rPr>
          <w:rFonts w:hint="eastAsia" w:ascii="仿宋" w:hAnsi="仿宋" w:eastAsia="仿宋" w:cs="仿宋"/>
          <w:b/>
          <w:bCs/>
          <w:color w:val="auto"/>
          <w:sz w:val="24"/>
          <w:szCs w:val="24"/>
          <w:highlight w:val="none"/>
          <w:lang w:eastAsia="zh-CN"/>
        </w:rPr>
        <w:t>！</w:t>
      </w:r>
    </w:p>
    <w:p w14:paraId="2B1BE71A">
      <w:pPr>
        <w:rPr>
          <w:rFonts w:hint="eastAsia" w:ascii="仿宋" w:hAnsi="仿宋" w:eastAsia="仿宋" w:cs="仿宋"/>
          <w:color w:val="auto"/>
          <w:sz w:val="24"/>
          <w:szCs w:val="24"/>
          <w:highlight w:val="none"/>
        </w:rPr>
      </w:pPr>
    </w:p>
    <w:p w14:paraId="033C0A5F">
      <w:pPr>
        <w:pStyle w:val="85"/>
        <w:rPr>
          <w:rFonts w:hint="eastAsia" w:ascii="仿宋" w:hAnsi="仿宋" w:eastAsia="仿宋" w:cs="仿宋"/>
          <w:color w:val="auto"/>
          <w:sz w:val="24"/>
          <w:szCs w:val="24"/>
          <w:highlight w:val="none"/>
        </w:rPr>
      </w:pPr>
    </w:p>
    <w:p w14:paraId="28C8542A">
      <w:pPr>
        <w:pStyle w:val="85"/>
        <w:rPr>
          <w:rFonts w:hint="eastAsia" w:ascii="仿宋" w:hAnsi="仿宋" w:eastAsia="仿宋" w:cs="仿宋"/>
          <w:color w:val="auto"/>
          <w:sz w:val="24"/>
          <w:szCs w:val="24"/>
          <w:highlight w:val="none"/>
        </w:rPr>
      </w:pPr>
    </w:p>
    <w:p w14:paraId="432C16E5">
      <w:pPr>
        <w:pStyle w:val="85"/>
        <w:rPr>
          <w:rFonts w:hint="eastAsia" w:ascii="仿宋" w:hAnsi="仿宋" w:eastAsia="仿宋" w:cs="仿宋"/>
          <w:color w:val="auto"/>
          <w:sz w:val="24"/>
          <w:szCs w:val="24"/>
          <w:highlight w:val="none"/>
        </w:rPr>
      </w:pPr>
    </w:p>
    <w:p w14:paraId="05B0ED2E">
      <w:pPr>
        <w:pStyle w:val="85"/>
        <w:rPr>
          <w:rFonts w:hint="eastAsia" w:ascii="仿宋" w:hAnsi="仿宋" w:eastAsia="仿宋" w:cs="仿宋"/>
          <w:color w:val="auto"/>
          <w:sz w:val="24"/>
          <w:szCs w:val="24"/>
          <w:highlight w:val="none"/>
        </w:rPr>
      </w:pPr>
    </w:p>
    <w:p w14:paraId="6A8EB75A">
      <w:pPr>
        <w:pStyle w:val="24"/>
        <w:rPr>
          <w:rFonts w:hint="eastAsia" w:ascii="仿宋" w:hAnsi="仿宋" w:eastAsia="仿宋" w:cs="仿宋"/>
          <w:color w:val="auto"/>
          <w:sz w:val="24"/>
          <w:szCs w:val="24"/>
          <w:highlight w:val="none"/>
        </w:rPr>
      </w:pPr>
    </w:p>
    <w:p w14:paraId="653A5E2F">
      <w:pPr>
        <w:rPr>
          <w:rFonts w:hint="eastAsia" w:ascii="仿宋" w:hAnsi="仿宋" w:eastAsia="仿宋" w:cs="仿宋"/>
          <w:color w:val="auto"/>
          <w:sz w:val="24"/>
          <w:szCs w:val="24"/>
          <w:highlight w:val="none"/>
        </w:rPr>
      </w:pPr>
    </w:p>
    <w:p w14:paraId="083DECA3">
      <w:pPr>
        <w:pStyle w:val="82"/>
        <w:rPr>
          <w:rFonts w:hint="eastAsia" w:ascii="仿宋" w:hAnsi="仿宋" w:eastAsia="仿宋" w:cs="仿宋"/>
          <w:color w:val="auto"/>
          <w:highlight w:val="none"/>
        </w:rPr>
      </w:pPr>
    </w:p>
    <w:p w14:paraId="625BB74D">
      <w:pPr>
        <w:pStyle w:val="85"/>
        <w:rPr>
          <w:rFonts w:hint="eastAsia" w:ascii="仿宋" w:hAnsi="仿宋" w:eastAsia="仿宋" w:cs="仿宋"/>
          <w:color w:val="auto"/>
          <w:sz w:val="24"/>
          <w:szCs w:val="24"/>
          <w:highlight w:val="none"/>
        </w:rPr>
      </w:pPr>
    </w:p>
    <w:p w14:paraId="2D468621">
      <w:pPr>
        <w:pStyle w:val="85"/>
        <w:rPr>
          <w:rFonts w:hint="eastAsia" w:ascii="仿宋" w:hAnsi="仿宋" w:eastAsia="仿宋" w:cs="仿宋"/>
          <w:color w:val="auto"/>
          <w:sz w:val="24"/>
          <w:szCs w:val="24"/>
          <w:highlight w:val="none"/>
        </w:rPr>
      </w:pPr>
    </w:p>
    <w:p w14:paraId="173910F5">
      <w:pPr>
        <w:spacing w:line="360" w:lineRule="auto"/>
        <w:ind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投标单位（单位公章）</w:t>
      </w:r>
      <w:r>
        <w:rPr>
          <w:rFonts w:hint="eastAsia" w:ascii="仿宋" w:hAnsi="仿宋" w:eastAsia="仿宋" w:cs="仿宋"/>
          <w:color w:val="auto"/>
          <w:sz w:val="24"/>
          <w:szCs w:val="24"/>
          <w:highlight w:val="none"/>
          <w:lang w:eastAsia="zh-CN"/>
        </w:rPr>
        <w:t>：</w:t>
      </w:r>
    </w:p>
    <w:p w14:paraId="1047F043">
      <w:pPr>
        <w:spacing w:line="360" w:lineRule="auto"/>
        <w:rPr>
          <w:rFonts w:hint="eastAsia" w:ascii="仿宋" w:hAnsi="仿宋" w:eastAsia="仿宋" w:cs="仿宋"/>
          <w:color w:val="auto"/>
          <w:sz w:val="24"/>
          <w:szCs w:val="24"/>
          <w:highlight w:val="none"/>
        </w:rPr>
      </w:pPr>
    </w:p>
    <w:p w14:paraId="32DD46D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0EF8D028">
      <w:pPr>
        <w:spacing w:line="360" w:lineRule="auto"/>
        <w:ind w:firstLine="3360" w:firstLineChars="1400"/>
        <w:rPr>
          <w:rFonts w:hint="eastAsia" w:ascii="仿宋" w:hAnsi="仿宋" w:eastAsia="仿宋" w:cs="仿宋"/>
          <w:color w:val="auto"/>
          <w:sz w:val="24"/>
          <w:szCs w:val="24"/>
          <w:highlight w:val="none"/>
        </w:rPr>
      </w:pPr>
    </w:p>
    <w:p w14:paraId="1C28B3F1">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bookmarkStart w:id="123" w:name="_Toc7164"/>
      <w:bookmarkStart w:id="124" w:name="_Toc22822"/>
      <w:bookmarkStart w:id="125" w:name="_Toc21183"/>
      <w:bookmarkStart w:id="126" w:name="_Toc2775"/>
      <w:bookmarkStart w:id="127" w:name="_Toc21652"/>
    </w:p>
    <w:p w14:paraId="35685807">
      <w:pPr>
        <w:spacing w:line="360" w:lineRule="auto"/>
        <w:ind w:firstLine="480" w:firstLineChars="200"/>
        <w:rPr>
          <w:rFonts w:hint="eastAsia" w:ascii="仿宋" w:hAnsi="仿宋" w:eastAsia="仿宋" w:cs="仿宋"/>
          <w:color w:val="auto"/>
          <w:sz w:val="24"/>
          <w:szCs w:val="24"/>
          <w:highlight w:val="none"/>
        </w:rPr>
      </w:pPr>
    </w:p>
    <w:p w14:paraId="53B3D0ED">
      <w:pPr>
        <w:spacing w:line="360" w:lineRule="auto"/>
        <w:ind w:firstLine="480" w:firstLineChars="200"/>
        <w:rPr>
          <w:rFonts w:hint="eastAsia" w:ascii="仿宋" w:hAnsi="仿宋" w:eastAsia="仿宋" w:cs="仿宋"/>
          <w:color w:val="auto"/>
          <w:sz w:val="24"/>
          <w:highlight w:val="none"/>
          <w:lang w:eastAsia="zh-CN"/>
        </w:rPr>
      </w:pPr>
    </w:p>
    <w:p w14:paraId="14C077E7">
      <w:pPr>
        <w:pStyle w:val="68"/>
        <w:rPr>
          <w:rFonts w:hint="eastAsia" w:ascii="仿宋" w:hAnsi="仿宋" w:eastAsia="仿宋" w:cs="仿宋"/>
          <w:color w:val="auto"/>
          <w:sz w:val="24"/>
          <w:highlight w:val="none"/>
          <w:lang w:eastAsia="zh-CN"/>
        </w:rPr>
      </w:pPr>
    </w:p>
    <w:p w14:paraId="0A309A04">
      <w:pPr>
        <w:rPr>
          <w:rFonts w:hint="eastAsia" w:ascii="仿宋" w:hAnsi="仿宋" w:eastAsia="仿宋" w:cs="仿宋"/>
          <w:color w:val="auto"/>
          <w:sz w:val="24"/>
          <w:highlight w:val="none"/>
          <w:lang w:eastAsia="zh-CN"/>
        </w:rPr>
      </w:pPr>
    </w:p>
    <w:p w14:paraId="322999D9">
      <w:pPr>
        <w:pStyle w:val="68"/>
        <w:rPr>
          <w:rFonts w:hint="eastAsia" w:ascii="仿宋" w:hAnsi="仿宋" w:eastAsia="仿宋" w:cs="仿宋"/>
          <w:color w:val="auto"/>
          <w:sz w:val="24"/>
          <w:highlight w:val="none"/>
          <w:lang w:eastAsia="zh-CN"/>
        </w:rPr>
      </w:pPr>
    </w:p>
    <w:p w14:paraId="3FB72DD3">
      <w:pPr>
        <w:rPr>
          <w:rFonts w:hint="eastAsia" w:ascii="仿宋" w:hAnsi="仿宋" w:eastAsia="仿宋" w:cs="仿宋"/>
          <w:color w:val="auto"/>
          <w:highlight w:val="none"/>
          <w:lang w:eastAsia="zh-CN"/>
        </w:rPr>
      </w:pPr>
    </w:p>
    <w:p w14:paraId="09000CB5">
      <w:pPr>
        <w:spacing w:line="360" w:lineRule="auto"/>
        <w:ind w:firstLine="480" w:firstLineChars="200"/>
        <w:rPr>
          <w:rFonts w:hint="eastAsia" w:ascii="仿宋" w:hAnsi="仿宋" w:eastAsia="仿宋" w:cs="仿宋"/>
          <w:color w:val="auto"/>
          <w:sz w:val="24"/>
          <w:highlight w:val="none"/>
        </w:rPr>
      </w:pPr>
    </w:p>
    <w:p w14:paraId="40E822E3">
      <w:pPr>
        <w:pStyle w:val="23"/>
        <w:rPr>
          <w:rFonts w:hint="eastAsia" w:ascii="仿宋" w:hAnsi="仿宋" w:eastAsia="仿宋" w:cs="仿宋"/>
          <w:color w:val="auto"/>
          <w:highlight w:val="none"/>
        </w:rPr>
      </w:pPr>
    </w:p>
    <w:p w14:paraId="01348C38">
      <w:pPr>
        <w:ind w:left="0" w:leftChars="0"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三、开标</w:t>
      </w:r>
      <w:r>
        <w:rPr>
          <w:rFonts w:hint="eastAsia" w:ascii="仿宋" w:hAnsi="仿宋" w:eastAsia="仿宋" w:cs="仿宋"/>
          <w:b/>
          <w:bCs/>
          <w:color w:val="auto"/>
          <w:sz w:val="28"/>
          <w:szCs w:val="28"/>
          <w:highlight w:val="none"/>
        </w:rPr>
        <w:t>一览表</w:t>
      </w:r>
      <w:bookmarkEnd w:id="123"/>
      <w:bookmarkEnd w:id="124"/>
      <w:bookmarkEnd w:id="125"/>
      <w:bookmarkEnd w:id="126"/>
      <w:bookmarkEnd w:id="127"/>
    </w:p>
    <w:p w14:paraId="2EBAAD25">
      <w:pPr>
        <w:spacing w:line="240" w:lineRule="auto"/>
        <w:ind w:firstLine="240" w:firstLineChars="100"/>
        <w:rPr>
          <w:rFonts w:hint="eastAsia" w:ascii="仿宋" w:hAnsi="仿宋" w:eastAsia="仿宋" w:cs="仿宋"/>
          <w:color w:val="auto"/>
          <w:sz w:val="24"/>
          <w:szCs w:val="24"/>
          <w:highlight w:val="none"/>
        </w:rPr>
      </w:pPr>
    </w:p>
    <w:p w14:paraId="6A29DA95">
      <w:pPr>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p>
    <w:p w14:paraId="2BCD2F12">
      <w:pPr>
        <w:spacing w:line="360" w:lineRule="auto"/>
        <w:ind w:firstLine="240" w:firstLineChars="100"/>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rPr>
        <w:t xml:space="preserve">项目编号：     </w:t>
      </w:r>
    </w:p>
    <w:tbl>
      <w:tblPr>
        <w:tblStyle w:val="29"/>
        <w:tblW w:w="103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9"/>
        <w:gridCol w:w="2465"/>
        <w:gridCol w:w="6686"/>
      </w:tblGrid>
      <w:tr w14:paraId="31223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149" w:type="dxa"/>
            <w:tcBorders>
              <w:top w:val="single" w:color="auto" w:sz="4" w:space="0"/>
              <w:left w:val="single" w:color="auto" w:sz="4" w:space="0"/>
              <w:right w:val="single" w:color="auto" w:sz="4" w:space="0"/>
            </w:tcBorders>
            <w:vAlign w:val="center"/>
          </w:tcPr>
          <w:p w14:paraId="5F217D76">
            <w:pPr>
              <w:snapToGrid w:val="0"/>
              <w:spacing w:line="40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序号</w:t>
            </w:r>
          </w:p>
        </w:tc>
        <w:tc>
          <w:tcPr>
            <w:tcW w:w="9151" w:type="dxa"/>
            <w:gridSpan w:val="2"/>
            <w:tcBorders>
              <w:top w:val="single" w:color="auto" w:sz="4" w:space="0"/>
              <w:left w:val="single" w:color="auto" w:sz="4" w:space="0"/>
              <w:right w:val="single" w:color="auto" w:sz="4" w:space="0"/>
            </w:tcBorders>
            <w:vAlign w:val="center"/>
          </w:tcPr>
          <w:p w14:paraId="79CB3A32">
            <w:pPr>
              <w:snapToGrid w:val="0"/>
              <w:spacing w:line="40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内</w:t>
            </w:r>
            <w:r>
              <w:rPr>
                <w:rFonts w:hint="eastAsia" w:ascii="仿宋" w:hAnsi="仿宋" w:eastAsia="仿宋" w:cs="仿宋"/>
                <w:b/>
                <w:bCs w:val="0"/>
                <w:color w:val="auto"/>
                <w:sz w:val="24"/>
                <w:szCs w:val="24"/>
                <w:highlight w:val="none"/>
                <w:lang w:val="en-US" w:eastAsia="zh-CN"/>
              </w:rPr>
              <w:t xml:space="preserve">  </w:t>
            </w:r>
            <w:r>
              <w:rPr>
                <w:rFonts w:hint="eastAsia" w:ascii="仿宋" w:hAnsi="仿宋" w:eastAsia="仿宋" w:cs="仿宋"/>
                <w:b/>
                <w:bCs w:val="0"/>
                <w:color w:val="auto"/>
                <w:sz w:val="24"/>
                <w:szCs w:val="24"/>
                <w:highlight w:val="none"/>
              </w:rPr>
              <w:t>容</w:t>
            </w:r>
          </w:p>
        </w:tc>
      </w:tr>
      <w:tr w14:paraId="739E2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149" w:type="dxa"/>
            <w:tcBorders>
              <w:top w:val="single" w:color="auto" w:sz="4" w:space="0"/>
              <w:left w:val="single" w:color="auto" w:sz="4" w:space="0"/>
              <w:right w:val="single" w:color="auto" w:sz="4" w:space="0"/>
            </w:tcBorders>
            <w:vAlign w:val="center"/>
          </w:tcPr>
          <w:p w14:paraId="4CA2A1E2">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465" w:type="dxa"/>
            <w:tcBorders>
              <w:top w:val="single" w:color="auto" w:sz="4" w:space="0"/>
              <w:left w:val="single" w:color="auto" w:sz="4" w:space="0"/>
              <w:right w:val="single" w:color="auto" w:sz="4" w:space="0"/>
            </w:tcBorders>
            <w:vAlign w:val="center"/>
          </w:tcPr>
          <w:p w14:paraId="268E5357">
            <w:pPr>
              <w:snapToGrid w:val="0"/>
              <w:spacing w:line="24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投标人名称</w:t>
            </w:r>
          </w:p>
        </w:tc>
        <w:tc>
          <w:tcPr>
            <w:tcW w:w="6686" w:type="dxa"/>
            <w:tcBorders>
              <w:top w:val="single" w:color="auto" w:sz="4" w:space="0"/>
              <w:left w:val="single" w:color="auto" w:sz="4" w:space="0"/>
              <w:right w:val="single" w:color="auto" w:sz="4" w:space="0"/>
            </w:tcBorders>
            <w:vAlign w:val="center"/>
          </w:tcPr>
          <w:p w14:paraId="720BD4D8">
            <w:pPr>
              <w:snapToGrid w:val="0"/>
              <w:spacing w:line="400" w:lineRule="exact"/>
              <w:rPr>
                <w:rFonts w:hint="eastAsia" w:ascii="仿宋" w:hAnsi="仿宋" w:eastAsia="仿宋" w:cs="仿宋"/>
                <w:b w:val="0"/>
                <w:bCs/>
                <w:color w:val="auto"/>
                <w:sz w:val="24"/>
                <w:szCs w:val="24"/>
                <w:highlight w:val="none"/>
              </w:rPr>
            </w:pPr>
          </w:p>
        </w:tc>
      </w:tr>
      <w:tr w14:paraId="26255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1" w:hRule="atLeast"/>
          <w:jc w:val="center"/>
        </w:trPr>
        <w:tc>
          <w:tcPr>
            <w:tcW w:w="1149" w:type="dxa"/>
            <w:tcBorders>
              <w:top w:val="single" w:color="auto" w:sz="4" w:space="0"/>
              <w:left w:val="single" w:color="auto" w:sz="4" w:space="0"/>
              <w:right w:val="single" w:color="auto" w:sz="4" w:space="0"/>
            </w:tcBorders>
            <w:vAlign w:val="center"/>
          </w:tcPr>
          <w:p w14:paraId="0400195B">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2465" w:type="dxa"/>
            <w:tcBorders>
              <w:top w:val="single" w:color="auto" w:sz="4" w:space="0"/>
              <w:left w:val="single" w:color="auto" w:sz="4" w:space="0"/>
              <w:bottom w:val="single" w:color="auto" w:sz="4" w:space="0"/>
              <w:right w:val="single" w:color="auto" w:sz="4" w:space="0"/>
            </w:tcBorders>
            <w:vAlign w:val="center"/>
          </w:tcPr>
          <w:p w14:paraId="7CA28F71">
            <w:pPr>
              <w:snapToGrid w:val="0"/>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投标</w:t>
            </w:r>
            <w:r>
              <w:rPr>
                <w:rFonts w:hint="eastAsia" w:ascii="仿宋" w:hAnsi="仿宋" w:eastAsia="仿宋" w:cs="仿宋"/>
                <w:b w:val="0"/>
                <w:bCs/>
                <w:color w:val="auto"/>
                <w:sz w:val="24"/>
                <w:szCs w:val="24"/>
                <w:highlight w:val="none"/>
                <w:lang w:val="en-US" w:eastAsia="zh-CN"/>
              </w:rPr>
              <w:t>报价</w:t>
            </w:r>
          </w:p>
          <w:p w14:paraId="4F6FDE13">
            <w:pPr>
              <w:snapToGrid w:val="0"/>
              <w:spacing w:line="240" w:lineRule="auto"/>
              <w:jc w:val="center"/>
              <w:rPr>
                <w:rFonts w:hint="eastAsia" w:ascii="仿宋" w:hAnsi="仿宋" w:eastAsia="仿宋" w:cs="仿宋"/>
                <w:b w:val="0"/>
                <w:bCs/>
                <w:color w:val="0000FF"/>
                <w:sz w:val="24"/>
                <w:szCs w:val="24"/>
                <w:highlight w:val="yellow"/>
                <w:lang w:eastAsia="zh-CN"/>
              </w:rPr>
            </w:pPr>
            <w:r>
              <w:rPr>
                <w:rFonts w:hint="eastAsia" w:ascii="仿宋" w:hAnsi="仿宋" w:eastAsia="仿宋" w:cs="仿宋"/>
                <w:b w:val="0"/>
                <w:bCs/>
                <w:color w:val="auto"/>
                <w:sz w:val="24"/>
                <w:szCs w:val="24"/>
                <w:highlight w:val="none"/>
                <w:lang w:eastAsia="zh-CN"/>
              </w:rPr>
              <w:t>（人民币）</w:t>
            </w:r>
          </w:p>
        </w:tc>
        <w:tc>
          <w:tcPr>
            <w:tcW w:w="6686" w:type="dxa"/>
            <w:tcBorders>
              <w:top w:val="single" w:color="auto" w:sz="4" w:space="0"/>
              <w:left w:val="single" w:color="auto" w:sz="4" w:space="0"/>
              <w:bottom w:val="single" w:color="auto" w:sz="4" w:space="0"/>
              <w:right w:val="single" w:color="auto" w:sz="4" w:space="0"/>
            </w:tcBorders>
            <w:vAlign w:val="center"/>
          </w:tcPr>
          <w:p w14:paraId="6608A523">
            <w:pPr>
              <w:snapToGrid w:val="0"/>
              <w:spacing w:line="360" w:lineRule="auto"/>
              <w:rPr>
                <w:rFonts w:hint="eastAsia" w:ascii="仿宋" w:hAnsi="仿宋" w:eastAsia="仿宋" w:cs="仿宋"/>
                <w:b w:val="0"/>
                <w:bCs/>
                <w:color w:val="auto"/>
                <w:sz w:val="24"/>
                <w:szCs w:val="24"/>
                <w:highlight w:val="none"/>
                <w:u w:val="single"/>
                <w:lang w:val="en-US"/>
              </w:rPr>
            </w:pPr>
            <w:r>
              <w:rPr>
                <w:rFonts w:hint="eastAsia" w:ascii="仿宋" w:hAnsi="仿宋" w:eastAsia="仿宋" w:cs="仿宋"/>
                <w:b w:val="0"/>
                <w:bCs/>
                <w:color w:val="auto"/>
                <w:sz w:val="24"/>
                <w:szCs w:val="24"/>
                <w:highlight w:val="none"/>
              </w:rPr>
              <w:t>小写：</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rPr>
              <w:t>元/年</w:t>
            </w:r>
          </w:p>
          <w:p w14:paraId="792B3B0A">
            <w:pPr>
              <w:snapToGrid w:val="0"/>
              <w:spacing w:line="360" w:lineRule="auto"/>
              <w:rPr>
                <w:rFonts w:hint="eastAsia" w:ascii="仿宋" w:hAnsi="仿宋" w:eastAsia="仿宋" w:cs="仿宋"/>
                <w:b w:val="0"/>
                <w:bCs/>
                <w:color w:val="0000FF"/>
                <w:sz w:val="24"/>
                <w:szCs w:val="24"/>
                <w:highlight w:val="yellow"/>
              </w:rPr>
            </w:pPr>
            <w:r>
              <w:rPr>
                <w:rFonts w:hint="eastAsia" w:ascii="仿宋" w:hAnsi="仿宋" w:eastAsia="仿宋" w:cs="仿宋"/>
                <w:b w:val="0"/>
                <w:bCs/>
                <w:color w:val="auto"/>
                <w:sz w:val="24"/>
                <w:szCs w:val="24"/>
                <w:highlight w:val="none"/>
              </w:rPr>
              <w:t>大写：</w:t>
            </w:r>
            <w:r>
              <w:rPr>
                <w:rFonts w:hint="eastAsia" w:ascii="仿宋" w:hAnsi="仿宋" w:eastAsia="仿宋" w:cs="仿宋"/>
                <w:b w:val="0"/>
                <w:bCs/>
                <w:color w:val="auto"/>
                <w:sz w:val="24"/>
                <w:szCs w:val="24"/>
                <w:highlight w:val="none"/>
                <w:u w:val="single"/>
                <w:lang w:val="en-US" w:eastAsia="zh-CN"/>
              </w:rPr>
              <w:t xml:space="preserve">                        </w:t>
            </w:r>
          </w:p>
        </w:tc>
      </w:tr>
      <w:tr w14:paraId="2C7A3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6070157F">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2465" w:type="dxa"/>
            <w:tcBorders>
              <w:top w:val="single" w:color="auto" w:sz="4" w:space="0"/>
              <w:left w:val="single" w:color="auto" w:sz="4" w:space="0"/>
              <w:bottom w:val="single" w:color="auto" w:sz="4" w:space="0"/>
              <w:right w:val="single" w:color="auto" w:sz="4" w:space="0"/>
            </w:tcBorders>
            <w:vAlign w:val="center"/>
          </w:tcPr>
          <w:p w14:paraId="68DF7A39">
            <w:pPr>
              <w:widowControl w:val="0"/>
              <w:wordWrap/>
              <w:adjustRightInd/>
              <w:snapToGrid w:val="0"/>
              <w:spacing w:line="300" w:lineRule="auto"/>
              <w:jc w:val="center"/>
              <w:textAlignment w:val="auto"/>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u w:val="none"/>
                <w:lang w:val="en-US" w:eastAsia="zh-CN"/>
              </w:rPr>
              <w:t>服务内容</w:t>
            </w:r>
          </w:p>
        </w:tc>
        <w:tc>
          <w:tcPr>
            <w:tcW w:w="6686" w:type="dxa"/>
            <w:tcBorders>
              <w:top w:val="single" w:color="auto" w:sz="4" w:space="0"/>
              <w:left w:val="single" w:color="auto" w:sz="4" w:space="0"/>
              <w:bottom w:val="single" w:color="auto" w:sz="4" w:space="0"/>
              <w:right w:val="single" w:color="auto" w:sz="4" w:space="0"/>
            </w:tcBorders>
            <w:vAlign w:val="center"/>
          </w:tcPr>
          <w:p w14:paraId="6C0BC251">
            <w:pPr>
              <w:widowControl w:val="0"/>
              <w:wordWrap/>
              <w:adjustRightInd/>
              <w:snapToGrid w:val="0"/>
              <w:spacing w:line="300" w:lineRule="auto"/>
              <w:jc w:val="left"/>
              <w:textAlignment w:val="auto"/>
              <w:rPr>
                <w:rFonts w:hint="eastAsia" w:ascii="仿宋" w:hAnsi="仿宋" w:eastAsia="仿宋" w:cs="仿宋"/>
                <w:b w:val="0"/>
                <w:bCs/>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对医院</w:t>
            </w:r>
            <w:r>
              <w:rPr>
                <w:rFonts w:hint="eastAsia" w:ascii="仿宋" w:hAnsi="仿宋" w:eastAsia="仿宋" w:cs="仿宋"/>
                <w:color w:val="auto"/>
                <w:kern w:val="2"/>
                <w:sz w:val="24"/>
                <w:szCs w:val="24"/>
                <w:highlight w:val="none"/>
                <w:lang w:val="en-US" w:eastAsia="zh-CN"/>
              </w:rPr>
              <w:t>安保服务</w:t>
            </w:r>
            <w:r>
              <w:rPr>
                <w:rFonts w:hint="eastAsia" w:ascii="仿宋" w:hAnsi="仿宋" w:eastAsia="仿宋" w:cs="仿宋"/>
                <w:color w:val="auto"/>
                <w:sz w:val="24"/>
                <w:szCs w:val="24"/>
                <w:highlight w:val="none"/>
                <w:lang w:val="en-US" w:eastAsia="zh-CN"/>
              </w:rPr>
              <w:t>进行采购</w:t>
            </w:r>
            <w:r>
              <w:rPr>
                <w:rFonts w:hint="eastAsia" w:ascii="仿宋" w:hAnsi="仿宋" w:eastAsia="仿宋" w:cs="仿宋"/>
                <w:b w:val="0"/>
                <w:bCs/>
                <w:color w:val="auto"/>
                <w:sz w:val="24"/>
                <w:szCs w:val="24"/>
                <w:highlight w:val="none"/>
                <w:u w:val="none"/>
                <w:lang w:val="en-US" w:eastAsia="zh-CN"/>
              </w:rPr>
              <w:t>。</w:t>
            </w:r>
          </w:p>
        </w:tc>
      </w:tr>
      <w:tr w14:paraId="061AA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8AA3C90">
            <w:pPr>
              <w:snapToGrid w:val="0"/>
              <w:spacing w:line="40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p>
        </w:tc>
        <w:tc>
          <w:tcPr>
            <w:tcW w:w="2465" w:type="dxa"/>
            <w:tcBorders>
              <w:top w:val="single" w:color="auto" w:sz="4" w:space="0"/>
              <w:left w:val="single" w:color="auto" w:sz="4" w:space="0"/>
              <w:bottom w:val="single" w:color="auto" w:sz="4" w:space="0"/>
              <w:right w:val="single" w:color="auto" w:sz="4" w:space="0"/>
            </w:tcBorders>
            <w:vAlign w:val="center"/>
          </w:tcPr>
          <w:p w14:paraId="3446BD1D">
            <w:pPr>
              <w:snapToGrid w:val="0"/>
              <w:spacing w:line="240" w:lineRule="auto"/>
              <w:jc w:val="center"/>
              <w:rPr>
                <w:rFonts w:hint="eastAsia" w:ascii="仿宋" w:hAnsi="仿宋" w:eastAsia="仿宋" w:cs="仿宋"/>
                <w:b w:val="0"/>
                <w:bCs/>
                <w:color w:val="auto"/>
                <w:sz w:val="24"/>
                <w:szCs w:val="24"/>
                <w:highlight w:val="none"/>
                <w:u w:val="none"/>
                <w:lang w:eastAsia="zh-CN"/>
              </w:rPr>
            </w:pPr>
            <w:r>
              <w:rPr>
                <w:rFonts w:hint="eastAsia" w:ascii="仿宋" w:hAnsi="仿宋" w:eastAsia="仿宋" w:cs="仿宋"/>
                <w:color w:val="auto"/>
                <w:sz w:val="24"/>
                <w:szCs w:val="24"/>
                <w:highlight w:val="none"/>
                <w:lang w:val="en-US" w:eastAsia="zh-CN"/>
              </w:rPr>
              <w:t>服务期限</w:t>
            </w:r>
          </w:p>
        </w:tc>
        <w:tc>
          <w:tcPr>
            <w:tcW w:w="6686" w:type="dxa"/>
            <w:tcBorders>
              <w:top w:val="single" w:color="auto" w:sz="4" w:space="0"/>
              <w:left w:val="single" w:color="auto" w:sz="4" w:space="0"/>
              <w:bottom w:val="single" w:color="auto" w:sz="4" w:space="0"/>
              <w:right w:val="single" w:color="auto" w:sz="4" w:space="0"/>
            </w:tcBorders>
            <w:vAlign w:val="center"/>
          </w:tcPr>
          <w:p w14:paraId="68D22695">
            <w:pPr>
              <w:snapToGrid w:val="0"/>
              <w:spacing w:line="360" w:lineRule="auto"/>
              <w:jc w:val="both"/>
              <w:rPr>
                <w:rFonts w:hint="eastAsia" w:ascii="仿宋" w:hAnsi="仿宋" w:eastAsia="仿宋" w:cs="仿宋"/>
                <w:b w:val="0"/>
                <w:bCs/>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合同签订之日起3年（</w:t>
            </w:r>
            <w:r>
              <w:rPr>
                <w:rFonts w:hint="eastAsia" w:ascii="仿宋" w:hAnsi="仿宋" w:eastAsia="仿宋" w:cs="仿宋"/>
                <w:color w:val="auto"/>
                <w:kern w:val="0"/>
                <w:sz w:val="24"/>
                <w:szCs w:val="24"/>
                <w:highlight w:val="none"/>
                <w:lang w:val="en-US" w:eastAsia="zh-CN" w:bidi="ar"/>
              </w:rPr>
              <w:t>合同一年一签</w:t>
            </w:r>
            <w:r>
              <w:rPr>
                <w:rFonts w:hint="eastAsia" w:ascii="仿宋" w:hAnsi="仿宋" w:eastAsia="仿宋" w:cs="仿宋"/>
                <w:b w:val="0"/>
                <w:bCs w:val="0"/>
                <w:color w:val="auto"/>
                <w:sz w:val="24"/>
                <w:szCs w:val="24"/>
                <w:highlight w:val="none"/>
                <w:lang w:val="en-US" w:eastAsia="zh-CN"/>
              </w:rPr>
              <w:t>）</w:t>
            </w:r>
          </w:p>
        </w:tc>
      </w:tr>
      <w:tr w14:paraId="0566A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188A62C3">
            <w:pPr>
              <w:snapToGrid w:val="0"/>
              <w:spacing w:line="400" w:lineRule="exact"/>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5</w:t>
            </w:r>
          </w:p>
        </w:tc>
        <w:tc>
          <w:tcPr>
            <w:tcW w:w="2465" w:type="dxa"/>
            <w:tcBorders>
              <w:top w:val="single" w:color="auto" w:sz="4" w:space="0"/>
              <w:left w:val="single" w:color="auto" w:sz="4" w:space="0"/>
              <w:bottom w:val="single" w:color="auto" w:sz="4" w:space="0"/>
              <w:right w:val="single" w:color="auto" w:sz="4" w:space="0"/>
            </w:tcBorders>
            <w:vAlign w:val="center"/>
          </w:tcPr>
          <w:p w14:paraId="342D42E5">
            <w:pPr>
              <w:snapToGrid w:val="0"/>
              <w:spacing w:line="24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其他事项申明</w:t>
            </w:r>
          </w:p>
        </w:tc>
        <w:tc>
          <w:tcPr>
            <w:tcW w:w="6686" w:type="dxa"/>
            <w:tcBorders>
              <w:top w:val="single" w:color="auto" w:sz="4" w:space="0"/>
              <w:left w:val="single" w:color="auto" w:sz="4" w:space="0"/>
              <w:bottom w:val="single" w:color="auto" w:sz="4" w:space="0"/>
              <w:right w:val="single" w:color="auto" w:sz="4" w:space="0"/>
            </w:tcBorders>
            <w:vAlign w:val="top"/>
          </w:tcPr>
          <w:p w14:paraId="48327CCE">
            <w:pPr>
              <w:snapToGrid w:val="0"/>
              <w:spacing w:line="400" w:lineRule="exact"/>
              <w:jc w:val="center"/>
              <w:rPr>
                <w:rFonts w:hint="eastAsia" w:ascii="仿宋" w:hAnsi="仿宋" w:eastAsia="仿宋" w:cs="仿宋"/>
                <w:b w:val="0"/>
                <w:bCs/>
                <w:color w:val="auto"/>
                <w:sz w:val="24"/>
                <w:szCs w:val="24"/>
                <w:highlight w:val="none"/>
              </w:rPr>
            </w:pPr>
          </w:p>
        </w:tc>
      </w:tr>
      <w:tr w14:paraId="6E5A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3614" w:type="dxa"/>
            <w:gridSpan w:val="2"/>
            <w:tcBorders>
              <w:top w:val="single" w:color="auto" w:sz="4" w:space="0"/>
              <w:left w:val="single" w:color="auto" w:sz="4" w:space="0"/>
              <w:bottom w:val="single" w:color="auto" w:sz="4" w:space="0"/>
              <w:right w:val="single" w:color="auto" w:sz="4" w:space="0"/>
            </w:tcBorders>
            <w:vAlign w:val="center"/>
          </w:tcPr>
          <w:p w14:paraId="6528EBAF">
            <w:pPr>
              <w:snapToGrid w:val="0"/>
              <w:spacing w:line="240" w:lineRule="auto"/>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备注</w:t>
            </w:r>
          </w:p>
        </w:tc>
        <w:tc>
          <w:tcPr>
            <w:tcW w:w="6686" w:type="dxa"/>
            <w:tcBorders>
              <w:top w:val="single" w:color="auto" w:sz="4" w:space="0"/>
              <w:left w:val="single" w:color="auto" w:sz="4" w:space="0"/>
              <w:bottom w:val="single" w:color="auto" w:sz="4" w:space="0"/>
              <w:right w:val="single" w:color="auto" w:sz="4" w:space="0"/>
            </w:tcBorders>
            <w:vAlign w:val="top"/>
          </w:tcPr>
          <w:p w14:paraId="707484C3">
            <w:pPr>
              <w:snapToGrid w:val="0"/>
              <w:spacing w:line="400" w:lineRule="exact"/>
              <w:rPr>
                <w:rFonts w:hint="eastAsia" w:ascii="仿宋" w:hAnsi="仿宋" w:eastAsia="仿宋" w:cs="仿宋"/>
                <w:b w:val="0"/>
                <w:bCs/>
                <w:color w:val="auto"/>
                <w:sz w:val="24"/>
                <w:szCs w:val="24"/>
                <w:highlight w:val="none"/>
              </w:rPr>
            </w:pPr>
          </w:p>
        </w:tc>
      </w:tr>
    </w:tbl>
    <w:p w14:paraId="06E321AD">
      <w:pPr>
        <w:spacing w:line="48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b w:val="0"/>
          <w:bCs w:val="0"/>
          <w:color w:val="auto"/>
          <w:sz w:val="24"/>
          <w:szCs w:val="24"/>
          <w:highlight w:val="none"/>
          <w:lang w:val="en-US" w:eastAsia="zh-CN"/>
        </w:rPr>
        <w:t>供应商严格按照规定的格式填写；投标总价为优惠后报价，并作为评审及定标的依据</w:t>
      </w:r>
      <w:r>
        <w:rPr>
          <w:rFonts w:hint="eastAsia" w:ascii="仿宋" w:hAnsi="仿宋" w:eastAsia="仿宋" w:cs="仿宋"/>
          <w:color w:val="auto"/>
          <w:sz w:val="24"/>
          <w:szCs w:val="24"/>
          <w:highlight w:val="none"/>
          <w:lang w:val="en-US" w:eastAsia="zh-CN"/>
        </w:rPr>
        <w:t>。</w:t>
      </w:r>
    </w:p>
    <w:p w14:paraId="4E32E425">
      <w:pPr>
        <w:numPr>
          <w:ilvl w:val="0"/>
          <w:numId w:val="0"/>
        </w:numPr>
        <w:spacing w:line="48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2.开标一览表中投标报价大小应写一致，如不一致以大写为准。</w:t>
      </w:r>
    </w:p>
    <w:p w14:paraId="18DE0FC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9C7E338">
      <w:pPr>
        <w:pStyle w:val="14"/>
        <w:rPr>
          <w:rFonts w:hint="eastAsia" w:ascii="仿宋" w:hAnsi="仿宋" w:eastAsia="仿宋" w:cs="仿宋"/>
          <w:color w:val="auto"/>
          <w:sz w:val="24"/>
          <w:szCs w:val="24"/>
          <w:highlight w:val="none"/>
        </w:rPr>
      </w:pPr>
    </w:p>
    <w:p w14:paraId="4A470BA2">
      <w:pPr>
        <w:rPr>
          <w:rFonts w:hint="eastAsia" w:ascii="仿宋" w:hAnsi="仿宋" w:eastAsia="仿宋" w:cs="仿宋"/>
          <w:color w:val="auto"/>
          <w:highlight w:val="none"/>
        </w:rPr>
      </w:pPr>
    </w:p>
    <w:p w14:paraId="44C17B77">
      <w:pPr>
        <w:pStyle w:val="82"/>
        <w:rPr>
          <w:rFonts w:hint="eastAsia" w:ascii="仿宋" w:hAnsi="仿宋" w:eastAsia="仿宋" w:cs="仿宋"/>
          <w:color w:val="auto"/>
          <w:highlight w:val="none"/>
        </w:rPr>
      </w:pPr>
    </w:p>
    <w:p w14:paraId="10E8022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投标单位（单位公章）：</w:t>
      </w:r>
    </w:p>
    <w:p w14:paraId="69815288">
      <w:pPr>
        <w:spacing w:line="360" w:lineRule="auto"/>
        <w:rPr>
          <w:rFonts w:hint="eastAsia" w:ascii="仿宋" w:hAnsi="仿宋" w:eastAsia="仿宋" w:cs="仿宋"/>
          <w:color w:val="auto"/>
          <w:sz w:val="24"/>
          <w:szCs w:val="24"/>
          <w:highlight w:val="none"/>
        </w:rPr>
      </w:pPr>
    </w:p>
    <w:p w14:paraId="3F36934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78A7C111">
      <w:pPr>
        <w:spacing w:line="360" w:lineRule="auto"/>
        <w:ind w:firstLine="3360" w:firstLineChars="1400"/>
        <w:rPr>
          <w:rFonts w:hint="eastAsia" w:ascii="仿宋" w:hAnsi="仿宋" w:eastAsia="仿宋" w:cs="仿宋"/>
          <w:color w:val="auto"/>
          <w:sz w:val="24"/>
          <w:szCs w:val="24"/>
          <w:highlight w:val="none"/>
        </w:rPr>
      </w:pPr>
    </w:p>
    <w:p w14:paraId="60DFAC90">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bookmarkStart w:id="128" w:name="_Toc21935"/>
      <w:bookmarkEnd w:id="128"/>
      <w:bookmarkStart w:id="129" w:name="_Toc12987"/>
      <w:bookmarkEnd w:id="129"/>
      <w:bookmarkStart w:id="130" w:name="_Toc32601"/>
      <w:bookmarkEnd w:id="130"/>
      <w:bookmarkStart w:id="131" w:name="_Toc4570"/>
      <w:bookmarkEnd w:id="131"/>
      <w:bookmarkStart w:id="132" w:name="_Toc4683"/>
      <w:bookmarkEnd w:id="132"/>
    </w:p>
    <w:p w14:paraId="38E6F7A3">
      <w:pPr>
        <w:widowControl w:val="0"/>
        <w:wordWrap/>
        <w:adjustRightInd/>
        <w:snapToGrid/>
        <w:spacing w:line="360" w:lineRule="auto"/>
        <w:ind w:firstLine="420" w:firstLineChars="200"/>
        <w:jc w:val="center"/>
        <w:textAlignment w:val="auto"/>
        <w:rPr>
          <w:rFonts w:hint="eastAsia" w:ascii="仿宋" w:hAnsi="仿宋" w:eastAsia="仿宋" w:cs="仿宋"/>
          <w:color w:val="auto"/>
          <w:highlight w:val="none"/>
        </w:rPr>
        <w:sectPr>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bookmarkStart w:id="133" w:name="_Toc248313661"/>
      <w:bookmarkStart w:id="134" w:name="_Toc329785083"/>
      <w:bookmarkStart w:id="135" w:name="_Toc25282"/>
      <w:bookmarkStart w:id="136" w:name="_Toc22433"/>
      <w:bookmarkStart w:id="137" w:name="_Toc19324"/>
      <w:bookmarkStart w:id="138" w:name="_Toc6647"/>
    </w:p>
    <w:p w14:paraId="6DE29C2E">
      <w:pPr>
        <w:widowControl w:val="0"/>
        <w:wordWrap/>
        <w:adjustRightInd/>
        <w:snapToGrid/>
        <w:spacing w:line="240" w:lineRule="auto"/>
        <w:ind w:firstLine="442" w:firstLineChars="200"/>
        <w:jc w:val="center"/>
        <w:textAlignment w:val="auto"/>
        <w:rPr>
          <w:rFonts w:hint="eastAsia" w:ascii="仿宋" w:hAnsi="仿宋" w:eastAsia="仿宋" w:cs="仿宋"/>
          <w:b/>
          <w:bCs/>
          <w:color w:val="auto"/>
          <w:kern w:val="0"/>
          <w:sz w:val="22"/>
          <w:szCs w:val="22"/>
          <w:highlight w:val="none"/>
          <w:lang w:val="en-US" w:eastAsia="zh-CN"/>
        </w:rPr>
      </w:pPr>
    </w:p>
    <w:p w14:paraId="3261CBCA">
      <w:pPr>
        <w:widowControl w:val="0"/>
        <w:wordWrap/>
        <w:adjustRightInd/>
        <w:snapToGrid/>
        <w:spacing w:line="552" w:lineRule="auto"/>
        <w:ind w:firstLine="562" w:firstLineChars="200"/>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四</w:t>
      </w:r>
      <w:r>
        <w:rPr>
          <w:rFonts w:hint="eastAsia" w:ascii="仿宋" w:hAnsi="仿宋" w:eastAsia="仿宋" w:cs="仿宋"/>
          <w:b/>
          <w:bCs/>
          <w:color w:val="auto"/>
          <w:kern w:val="0"/>
          <w:sz w:val="28"/>
          <w:szCs w:val="28"/>
          <w:highlight w:val="none"/>
        </w:rPr>
        <w:t>、法定代表人身份证明、法定代表人授权委托书</w:t>
      </w:r>
    </w:p>
    <w:p w14:paraId="044EF9F6">
      <w:pPr>
        <w:tabs>
          <w:tab w:val="left" w:pos="1813"/>
        </w:tabs>
        <w:autoSpaceDE w:val="0"/>
        <w:autoSpaceDN w:val="0"/>
        <w:adjustRightInd w:val="0"/>
        <w:spacing w:line="600" w:lineRule="auto"/>
        <w:jc w:val="center"/>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（一）法定代表人身份证明</w:t>
      </w:r>
    </w:p>
    <w:p w14:paraId="564BA261">
      <w:pPr>
        <w:tabs>
          <w:tab w:val="left" w:pos="1813"/>
        </w:tabs>
        <w:autoSpaceDE w:val="0"/>
        <w:autoSpaceDN w:val="0"/>
        <w:adjustRightInd w:val="0"/>
        <w:spacing w:line="240" w:lineRule="auto"/>
        <w:rPr>
          <w:rFonts w:hint="eastAsia" w:ascii="仿宋" w:hAnsi="仿宋" w:eastAsia="仿宋" w:cs="仿宋"/>
          <w:color w:val="auto"/>
          <w:kern w:val="0"/>
          <w:sz w:val="24"/>
          <w:szCs w:val="24"/>
          <w:highlight w:val="none"/>
        </w:rPr>
      </w:pPr>
    </w:p>
    <w:p w14:paraId="36E4024E">
      <w:pPr>
        <w:widowControl w:val="0"/>
        <w:wordWrap/>
        <w:adjustRightInd/>
        <w:snapToGrid/>
        <w:spacing w:line="48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采购单位名称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61C2CE0A">
      <w:pPr>
        <w:widowControl w:val="0"/>
        <w:wordWrap/>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公司法定代表人，代表我公司办理一切社会公务事宜，具有法律效力。 </w:t>
      </w:r>
    </w:p>
    <w:p w14:paraId="13C6D1DE">
      <w:pPr>
        <w:widowControl w:val="0"/>
        <w:wordWrap/>
        <w:adjustRightInd/>
        <w:snapToGrid/>
        <w:spacing w:line="48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附法定代表人基本情况： </w:t>
      </w:r>
    </w:p>
    <w:p w14:paraId="323537D4">
      <w:pPr>
        <w:widowControl w:val="0"/>
        <w:wordWrap/>
        <w:adjustRightInd/>
        <w:snapToGrid/>
        <w:spacing w:line="48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u w:val="single"/>
        </w:rPr>
        <w:t xml:space="preserve">         </w:t>
      </w:r>
    </w:p>
    <w:p w14:paraId="2FD212F7">
      <w:pPr>
        <w:widowControl w:val="0"/>
        <w:wordWrap/>
        <w:adjustRightInd/>
        <w:snapToGrid/>
        <w:spacing w:line="48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0D18D5BE">
      <w:pPr>
        <w:widowControl w:val="0"/>
        <w:wordWrap/>
        <w:adjustRightInd/>
        <w:snapToGrid/>
        <w:spacing w:line="48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w:t>
      </w:r>
    </w:p>
    <w:p w14:paraId="1DB77698">
      <w:pPr>
        <w:widowControl w:val="0"/>
        <w:wordWrap/>
        <w:adjustRightInd/>
        <w:snapToGrid/>
        <w:spacing w:line="48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电话号码：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41F0A00C">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bl>
      <w:tblPr>
        <w:tblStyle w:val="29"/>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3"/>
        <w:gridCol w:w="4287"/>
      </w:tblGrid>
      <w:tr w14:paraId="6666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4263" w:type="dxa"/>
            <w:tcBorders>
              <w:top w:val="single" w:color="auto" w:sz="4" w:space="0"/>
              <w:left w:val="single" w:color="auto" w:sz="4" w:space="0"/>
              <w:bottom w:val="single" w:color="auto" w:sz="4" w:space="0"/>
              <w:right w:val="single" w:color="auto" w:sz="4" w:space="0"/>
            </w:tcBorders>
            <w:vAlign w:val="center"/>
          </w:tcPr>
          <w:p w14:paraId="72E81A65">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粘贴法定代表人身份证复印件（正面）</w:t>
            </w:r>
          </w:p>
        </w:tc>
        <w:tc>
          <w:tcPr>
            <w:tcW w:w="4287" w:type="dxa"/>
            <w:tcBorders>
              <w:top w:val="single" w:color="auto" w:sz="4" w:space="0"/>
              <w:left w:val="single" w:color="auto" w:sz="4" w:space="0"/>
              <w:bottom w:val="single" w:color="auto" w:sz="4" w:space="0"/>
              <w:right w:val="single" w:color="auto" w:sz="4" w:space="0"/>
            </w:tcBorders>
            <w:vAlign w:val="center"/>
          </w:tcPr>
          <w:p w14:paraId="2D050E2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粘贴法定代表人身份证复印件（反面）</w:t>
            </w:r>
          </w:p>
        </w:tc>
      </w:tr>
    </w:tbl>
    <w:p w14:paraId="393E2AE6">
      <w:pPr>
        <w:shd w:val="clear" w:color="auto" w:fill="FFFFFF"/>
        <w:snapToGrid w:val="0"/>
        <w:spacing w:line="360" w:lineRule="auto"/>
        <w:rPr>
          <w:rFonts w:hint="eastAsia" w:ascii="仿宋" w:hAnsi="仿宋" w:eastAsia="仿宋" w:cs="仿宋"/>
          <w:color w:val="auto"/>
          <w:kern w:val="0"/>
          <w:sz w:val="24"/>
          <w:szCs w:val="24"/>
          <w:highlight w:val="none"/>
        </w:rPr>
      </w:pPr>
    </w:p>
    <w:p w14:paraId="363BC84D">
      <w:pPr>
        <w:shd w:val="clear" w:color="auto" w:fill="FFFFFF"/>
        <w:snapToGrid w:val="0"/>
        <w:spacing w:line="360" w:lineRule="auto"/>
        <w:ind w:firstLine="4800" w:firstLineChars="2000"/>
        <w:rPr>
          <w:rFonts w:hint="eastAsia" w:ascii="仿宋" w:hAnsi="仿宋" w:eastAsia="仿宋" w:cs="仿宋"/>
          <w:color w:val="auto"/>
          <w:sz w:val="24"/>
          <w:szCs w:val="24"/>
          <w:highlight w:val="none"/>
        </w:rPr>
      </w:pPr>
    </w:p>
    <w:p w14:paraId="338B4AF0">
      <w:pPr>
        <w:widowControl w:val="0"/>
        <w:wordWrap/>
        <w:adjustRightInd/>
        <w:snapToGrid/>
        <w:spacing w:line="528" w:lineRule="auto"/>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014E8166">
      <w:pPr>
        <w:widowControl w:val="0"/>
        <w:wordWrap/>
        <w:adjustRightInd/>
        <w:snapToGrid/>
        <w:spacing w:line="528"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4BC46A5C">
      <w:pPr>
        <w:widowControl w:val="0"/>
        <w:wordWrap/>
        <w:adjustRightInd/>
        <w:snapToGrid/>
        <w:spacing w:line="528" w:lineRule="auto"/>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0893D152">
      <w:pPr>
        <w:tabs>
          <w:tab w:val="left" w:pos="1813"/>
        </w:tabs>
        <w:autoSpaceDE w:val="0"/>
        <w:autoSpaceDN w:val="0"/>
        <w:adjustRightInd w:val="0"/>
        <w:spacing w:line="240" w:lineRule="auto"/>
        <w:ind w:firstLine="6480" w:firstLineChars="2700"/>
        <w:rPr>
          <w:rFonts w:hint="eastAsia" w:ascii="仿宋" w:hAnsi="仿宋" w:eastAsia="仿宋" w:cs="仿宋"/>
          <w:color w:val="auto"/>
          <w:kern w:val="0"/>
          <w:sz w:val="24"/>
          <w:szCs w:val="24"/>
          <w:highlight w:val="none"/>
        </w:rPr>
      </w:pPr>
    </w:p>
    <w:p w14:paraId="132769D4">
      <w:pPr>
        <w:tabs>
          <w:tab w:val="left" w:pos="1813"/>
        </w:tabs>
        <w:autoSpaceDE w:val="0"/>
        <w:autoSpaceDN w:val="0"/>
        <w:adjustRightInd w:val="0"/>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lang w:eastAsia="zh-CN"/>
        </w:rPr>
        <w:t>注：正面国徽、反面人像</w:t>
      </w:r>
      <w:r>
        <w:rPr>
          <w:rFonts w:hint="eastAsia" w:ascii="仿宋" w:hAnsi="仿宋" w:eastAsia="仿宋" w:cs="仿宋"/>
          <w:color w:val="auto"/>
          <w:kern w:val="0"/>
          <w:sz w:val="24"/>
          <w:szCs w:val="24"/>
          <w:highlight w:val="none"/>
        </w:rPr>
        <w:t xml:space="preserve">       </w:t>
      </w:r>
      <w:bookmarkEnd w:id="133"/>
      <w:bookmarkEnd w:id="134"/>
    </w:p>
    <w:p w14:paraId="129A6C97">
      <w:pPr>
        <w:numPr>
          <w:ilvl w:val="0"/>
          <w:numId w:val="20"/>
        </w:numPr>
        <w:tabs>
          <w:tab w:val="left" w:pos="1813"/>
        </w:tabs>
        <w:autoSpaceDE w:val="0"/>
        <w:autoSpaceDN w:val="0"/>
        <w:adjustRightInd w:val="0"/>
        <w:spacing w:line="60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法定代表人授权委托书</w:t>
      </w:r>
    </w:p>
    <w:p w14:paraId="0A0ABA8C">
      <w:pPr>
        <w:widowControl w:val="0"/>
        <w:wordWrap/>
        <w:snapToGrid/>
        <w:spacing w:line="39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采购单位名称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4E129B43">
      <w:pPr>
        <w:widowControl w:val="0"/>
        <w:wordWrap/>
        <w:autoSpaceDE w:val="0"/>
        <w:autoSpaceDN w:val="0"/>
        <w:adjustRightInd w:val="0"/>
        <w:snapToGrid/>
        <w:spacing w:line="396" w:lineRule="auto"/>
        <w:ind w:firstLine="960" w:firstLineChars="400"/>
        <w:jc w:val="left"/>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本授权委托书声明：我系</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（投标人名称）的法定代表人，现授权委托</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（投标人名称）的</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none"/>
          <w:lang w:eastAsia="zh-CN"/>
        </w:rPr>
        <w:t>（授权委托人名称）</w:t>
      </w:r>
      <w:r>
        <w:rPr>
          <w:rFonts w:hint="eastAsia" w:ascii="仿宋" w:hAnsi="仿宋" w:eastAsia="仿宋" w:cs="仿宋"/>
          <w:bCs/>
          <w:color w:val="auto"/>
          <w:kern w:val="0"/>
          <w:sz w:val="24"/>
          <w:szCs w:val="24"/>
          <w:highlight w:val="none"/>
        </w:rPr>
        <w:t>为我的代理人，以</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rPr>
        <w:t>（投标人名称）的名义参加招标项目的投标活动。代理人在参加整个招标投标活动所签署的一切文件和处理与之相关的一切</w:t>
      </w:r>
      <w:r>
        <w:rPr>
          <w:rFonts w:hint="eastAsia" w:ascii="仿宋" w:hAnsi="仿宋" w:eastAsia="仿宋" w:cs="仿宋"/>
          <w:bCs/>
          <w:color w:val="auto"/>
          <w:kern w:val="0"/>
          <w:sz w:val="24"/>
          <w:szCs w:val="24"/>
          <w:highlight w:val="none"/>
          <w:lang w:val="en-US" w:eastAsia="zh-CN"/>
        </w:rPr>
        <w:t>事务</w:t>
      </w:r>
      <w:r>
        <w:rPr>
          <w:rFonts w:hint="eastAsia" w:ascii="仿宋" w:hAnsi="仿宋" w:eastAsia="仿宋" w:cs="仿宋"/>
          <w:bCs/>
          <w:color w:val="auto"/>
          <w:kern w:val="0"/>
          <w:sz w:val="24"/>
          <w:szCs w:val="24"/>
          <w:highlight w:val="none"/>
        </w:rPr>
        <w:t>，我均予承认。</w:t>
      </w:r>
    </w:p>
    <w:p w14:paraId="35915CB0">
      <w:pPr>
        <w:widowControl w:val="0"/>
        <w:wordWrap/>
        <w:autoSpaceDE w:val="0"/>
        <w:autoSpaceDN w:val="0"/>
        <w:adjustRightInd w:val="0"/>
        <w:snapToGrid/>
        <w:spacing w:line="396" w:lineRule="auto"/>
        <w:ind w:firstLine="480" w:firstLineChars="200"/>
        <w:jc w:val="left"/>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代理人：</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性别：</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年龄：</w:t>
      </w:r>
      <w:r>
        <w:rPr>
          <w:rFonts w:hint="eastAsia" w:ascii="仿宋" w:hAnsi="仿宋" w:eastAsia="仿宋" w:cs="仿宋"/>
          <w:bCs/>
          <w:color w:val="auto"/>
          <w:kern w:val="0"/>
          <w:sz w:val="24"/>
          <w:szCs w:val="24"/>
          <w:highlight w:val="none"/>
          <w:u w:val="single"/>
        </w:rPr>
        <w:t xml:space="preserve">      </w:t>
      </w:r>
    </w:p>
    <w:p w14:paraId="5D7041AC">
      <w:pPr>
        <w:widowControl w:val="0"/>
        <w:wordWrap/>
        <w:autoSpaceDE w:val="0"/>
        <w:autoSpaceDN w:val="0"/>
        <w:adjustRightInd w:val="0"/>
        <w:snapToGrid/>
        <w:spacing w:line="396" w:lineRule="auto"/>
        <w:ind w:firstLine="480" w:firstLineChars="200"/>
        <w:jc w:val="left"/>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rPr>
        <w:t>部  门：</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职务：</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p>
    <w:p w14:paraId="7285258A">
      <w:pPr>
        <w:widowControl w:val="0"/>
        <w:wordWrap/>
        <w:snapToGrid/>
        <w:spacing w:line="396" w:lineRule="auto"/>
        <w:ind w:firstLine="720" w:firstLineChars="30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4"/>
          <w:szCs w:val="24"/>
          <w:highlight w:val="none"/>
          <w:u w:val="none"/>
        </w:rPr>
        <w:t>本授权书自出具之日起生效。</w:t>
      </w:r>
    </w:p>
    <w:tbl>
      <w:tblPr>
        <w:tblStyle w:val="29"/>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4129"/>
      </w:tblGrid>
      <w:tr w14:paraId="711B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4173" w:type="dxa"/>
            <w:tcBorders>
              <w:top w:val="single" w:color="auto" w:sz="4" w:space="0"/>
              <w:left w:val="single" w:color="auto" w:sz="4" w:space="0"/>
              <w:bottom w:val="single" w:color="auto" w:sz="4" w:space="0"/>
              <w:right w:val="single" w:color="auto" w:sz="4" w:space="0"/>
            </w:tcBorders>
            <w:vAlign w:val="top"/>
          </w:tcPr>
          <w:p w14:paraId="1414B3DA">
            <w:pPr>
              <w:spacing w:line="360" w:lineRule="auto"/>
              <w:ind w:firstLine="480" w:firstLineChars="200"/>
              <w:jc w:val="center"/>
              <w:rPr>
                <w:rFonts w:hint="eastAsia" w:ascii="仿宋" w:hAnsi="仿宋" w:eastAsia="仿宋" w:cs="仿宋"/>
                <w:color w:val="auto"/>
                <w:sz w:val="24"/>
                <w:szCs w:val="24"/>
                <w:highlight w:val="none"/>
              </w:rPr>
            </w:pPr>
          </w:p>
          <w:p w14:paraId="2FB1144F">
            <w:pPr>
              <w:spacing w:line="360" w:lineRule="auto"/>
              <w:jc w:val="both"/>
              <w:rPr>
                <w:rFonts w:hint="eastAsia" w:ascii="仿宋" w:hAnsi="仿宋" w:eastAsia="仿宋" w:cs="仿宋"/>
                <w:color w:val="auto"/>
                <w:sz w:val="24"/>
                <w:szCs w:val="24"/>
                <w:highlight w:val="none"/>
              </w:rPr>
            </w:pPr>
          </w:p>
          <w:p w14:paraId="587A45C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粘贴法定代表人身份证复印件（正面）</w:t>
            </w:r>
          </w:p>
        </w:tc>
        <w:tc>
          <w:tcPr>
            <w:tcW w:w="4129" w:type="dxa"/>
            <w:tcBorders>
              <w:top w:val="single" w:color="auto" w:sz="4" w:space="0"/>
              <w:left w:val="single" w:color="auto" w:sz="4" w:space="0"/>
              <w:bottom w:val="single" w:color="auto" w:sz="4" w:space="0"/>
              <w:right w:val="single" w:color="auto" w:sz="4" w:space="0"/>
            </w:tcBorders>
            <w:vAlign w:val="top"/>
          </w:tcPr>
          <w:p w14:paraId="47C99B05">
            <w:pPr>
              <w:spacing w:line="360" w:lineRule="auto"/>
              <w:ind w:firstLine="480" w:firstLineChars="200"/>
              <w:rPr>
                <w:rFonts w:hint="eastAsia" w:ascii="仿宋" w:hAnsi="仿宋" w:eastAsia="仿宋" w:cs="仿宋"/>
                <w:color w:val="auto"/>
                <w:sz w:val="24"/>
                <w:szCs w:val="24"/>
                <w:highlight w:val="none"/>
              </w:rPr>
            </w:pPr>
          </w:p>
          <w:p w14:paraId="194BD507">
            <w:pPr>
              <w:spacing w:line="360" w:lineRule="auto"/>
              <w:rPr>
                <w:rFonts w:hint="eastAsia" w:ascii="仿宋" w:hAnsi="仿宋" w:eastAsia="仿宋" w:cs="仿宋"/>
                <w:color w:val="auto"/>
                <w:sz w:val="24"/>
                <w:szCs w:val="24"/>
                <w:highlight w:val="none"/>
              </w:rPr>
            </w:pPr>
          </w:p>
          <w:p w14:paraId="1D6158C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粘贴法定代表人身份证复印件（反面）</w:t>
            </w:r>
          </w:p>
        </w:tc>
      </w:tr>
    </w:tbl>
    <w:p w14:paraId="3000121E">
      <w:pPr>
        <w:spacing w:line="240" w:lineRule="auto"/>
        <w:ind w:left="1260"/>
        <w:rPr>
          <w:rFonts w:hint="eastAsia" w:ascii="仿宋" w:hAnsi="仿宋" w:eastAsia="仿宋" w:cs="仿宋"/>
          <w:color w:val="auto"/>
          <w:sz w:val="24"/>
          <w:szCs w:val="24"/>
          <w:highlight w:val="none"/>
        </w:rPr>
      </w:pPr>
    </w:p>
    <w:tbl>
      <w:tblPr>
        <w:tblStyle w:val="29"/>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8"/>
        <w:gridCol w:w="4175"/>
      </w:tblGrid>
      <w:tr w14:paraId="0834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4138" w:type="dxa"/>
            <w:tcBorders>
              <w:top w:val="single" w:color="auto" w:sz="4" w:space="0"/>
              <w:left w:val="single" w:color="auto" w:sz="4" w:space="0"/>
              <w:bottom w:val="single" w:color="auto" w:sz="4" w:space="0"/>
              <w:right w:val="single" w:color="auto" w:sz="4" w:space="0"/>
            </w:tcBorders>
            <w:vAlign w:val="top"/>
          </w:tcPr>
          <w:p w14:paraId="3E5B2DC5">
            <w:pPr>
              <w:spacing w:line="360" w:lineRule="auto"/>
              <w:ind w:firstLine="480" w:firstLineChars="200"/>
              <w:jc w:val="center"/>
              <w:rPr>
                <w:rFonts w:hint="eastAsia" w:ascii="仿宋" w:hAnsi="仿宋" w:eastAsia="仿宋" w:cs="仿宋"/>
                <w:color w:val="auto"/>
                <w:sz w:val="24"/>
                <w:szCs w:val="24"/>
                <w:highlight w:val="none"/>
              </w:rPr>
            </w:pPr>
          </w:p>
          <w:p w14:paraId="489EFA80">
            <w:pPr>
              <w:spacing w:line="360" w:lineRule="auto"/>
              <w:jc w:val="both"/>
              <w:rPr>
                <w:rFonts w:hint="eastAsia" w:ascii="仿宋" w:hAnsi="仿宋" w:eastAsia="仿宋" w:cs="仿宋"/>
                <w:color w:val="auto"/>
                <w:sz w:val="24"/>
                <w:szCs w:val="24"/>
                <w:highlight w:val="none"/>
              </w:rPr>
            </w:pPr>
          </w:p>
          <w:p w14:paraId="39BECCE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粘贴授权委托人身份证复印件（正面）</w:t>
            </w:r>
          </w:p>
        </w:tc>
        <w:tc>
          <w:tcPr>
            <w:tcW w:w="4175" w:type="dxa"/>
            <w:tcBorders>
              <w:top w:val="single" w:color="auto" w:sz="4" w:space="0"/>
              <w:left w:val="single" w:color="auto" w:sz="4" w:space="0"/>
              <w:bottom w:val="single" w:color="auto" w:sz="4" w:space="0"/>
              <w:right w:val="single" w:color="auto" w:sz="4" w:space="0"/>
            </w:tcBorders>
            <w:vAlign w:val="top"/>
          </w:tcPr>
          <w:p w14:paraId="354B2954">
            <w:pPr>
              <w:spacing w:line="360" w:lineRule="auto"/>
              <w:ind w:firstLine="480" w:firstLineChars="200"/>
              <w:rPr>
                <w:rFonts w:hint="eastAsia" w:ascii="仿宋" w:hAnsi="仿宋" w:eastAsia="仿宋" w:cs="仿宋"/>
                <w:color w:val="auto"/>
                <w:sz w:val="24"/>
                <w:szCs w:val="24"/>
                <w:highlight w:val="none"/>
              </w:rPr>
            </w:pPr>
          </w:p>
          <w:p w14:paraId="3B8F3134">
            <w:pPr>
              <w:spacing w:line="360" w:lineRule="auto"/>
              <w:rPr>
                <w:rFonts w:hint="eastAsia" w:ascii="仿宋" w:hAnsi="仿宋" w:eastAsia="仿宋" w:cs="仿宋"/>
                <w:color w:val="auto"/>
                <w:sz w:val="24"/>
                <w:szCs w:val="24"/>
                <w:highlight w:val="none"/>
              </w:rPr>
            </w:pPr>
          </w:p>
          <w:p w14:paraId="6C63468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粘贴授权委托人身份证复印件（反面）</w:t>
            </w:r>
          </w:p>
        </w:tc>
      </w:tr>
    </w:tbl>
    <w:p w14:paraId="74CA551F">
      <w:pPr>
        <w:widowControl w:val="0"/>
        <w:wordWrap/>
        <w:adjustRightInd/>
        <w:snapToGrid/>
        <w:spacing w:line="240" w:lineRule="auto"/>
        <w:ind w:firstLine="720" w:firstLineChars="300"/>
        <w:textAlignment w:val="auto"/>
        <w:rPr>
          <w:rFonts w:hint="eastAsia" w:ascii="仿宋" w:hAnsi="仿宋" w:eastAsia="仿宋" w:cs="仿宋"/>
          <w:color w:val="auto"/>
          <w:sz w:val="24"/>
          <w:szCs w:val="24"/>
          <w:highlight w:val="none"/>
        </w:rPr>
      </w:pPr>
    </w:p>
    <w:p w14:paraId="7C784872">
      <w:pPr>
        <w:widowControl w:val="0"/>
        <w:wordWrap/>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1DD1D6C2">
      <w:pPr>
        <w:widowControl w:val="0"/>
        <w:wordWrap/>
        <w:adjustRightInd/>
        <w:snapToGrid/>
        <w:spacing w:line="480" w:lineRule="auto"/>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法定代表人（签字或盖章）： </w:t>
      </w:r>
    </w:p>
    <w:p w14:paraId="1AED98B9">
      <w:pPr>
        <w:widowControl w:val="0"/>
        <w:wordWrap/>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授权委托人（签字）：                          </w:t>
      </w:r>
    </w:p>
    <w:p w14:paraId="202DB05E">
      <w:pPr>
        <w:widowControl w:val="0"/>
        <w:wordWrap/>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5F33D75A">
      <w:pPr>
        <w:widowControl w:val="0"/>
        <w:wordWrap/>
        <w:adjustRightInd/>
        <w:snapToGrid/>
        <w:spacing w:line="384" w:lineRule="auto"/>
        <w:ind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注：正面国徽、反面人像</w:t>
      </w:r>
    </w:p>
    <w:p w14:paraId="1C1D8842">
      <w:pPr>
        <w:jc w:val="center"/>
        <w:rPr>
          <w:rFonts w:hint="eastAsia" w:ascii="仿宋" w:hAnsi="仿宋" w:eastAsia="仿宋" w:cs="仿宋"/>
          <w:b/>
          <w:bCs/>
          <w:color w:val="auto"/>
          <w:kern w:val="2"/>
          <w:sz w:val="24"/>
          <w:szCs w:val="24"/>
          <w:highlight w:val="none"/>
          <w:lang w:val="en-US" w:eastAsia="zh-CN" w:bidi="ar-SA"/>
        </w:rPr>
      </w:pPr>
    </w:p>
    <w:p w14:paraId="77269EFE">
      <w:pPr>
        <w:spacing w:line="720" w:lineRule="auto"/>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五、投标保证金缴纳凭证</w:t>
      </w:r>
    </w:p>
    <w:p w14:paraId="02C5A20B">
      <w:pPr>
        <w:spacing w:line="72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（投标保证金缴纳凭证，复印件加盖公章）</w:t>
      </w:r>
    </w:p>
    <w:p w14:paraId="20D4FAC9">
      <w:pPr>
        <w:spacing w:line="440" w:lineRule="exact"/>
        <w:jc w:val="center"/>
        <w:rPr>
          <w:rFonts w:hint="eastAsia" w:ascii="仿宋" w:hAnsi="仿宋" w:eastAsia="仿宋" w:cs="仿宋"/>
          <w:b/>
          <w:bCs/>
          <w:color w:val="auto"/>
          <w:kern w:val="2"/>
          <w:sz w:val="28"/>
          <w:szCs w:val="32"/>
          <w:highlight w:val="none"/>
          <w:lang w:val="en-US" w:eastAsia="zh-CN" w:bidi="ar-SA"/>
        </w:rPr>
      </w:pPr>
    </w:p>
    <w:p w14:paraId="755105C7">
      <w:pPr>
        <w:spacing w:line="440" w:lineRule="exact"/>
        <w:jc w:val="center"/>
        <w:rPr>
          <w:rFonts w:hint="eastAsia" w:ascii="仿宋" w:hAnsi="仿宋" w:eastAsia="仿宋" w:cs="仿宋"/>
          <w:b/>
          <w:bCs/>
          <w:color w:val="auto"/>
          <w:kern w:val="2"/>
          <w:sz w:val="28"/>
          <w:szCs w:val="32"/>
          <w:highlight w:val="none"/>
          <w:lang w:val="en-US" w:eastAsia="zh-CN" w:bidi="ar-SA"/>
        </w:rPr>
      </w:pPr>
    </w:p>
    <w:p w14:paraId="2F330EC2">
      <w:pPr>
        <w:spacing w:line="440" w:lineRule="exact"/>
        <w:jc w:val="center"/>
        <w:rPr>
          <w:rFonts w:hint="eastAsia" w:ascii="仿宋" w:hAnsi="仿宋" w:eastAsia="仿宋" w:cs="仿宋"/>
          <w:b/>
          <w:bCs/>
          <w:color w:val="auto"/>
          <w:kern w:val="2"/>
          <w:sz w:val="28"/>
          <w:szCs w:val="32"/>
          <w:highlight w:val="none"/>
          <w:lang w:val="en-US" w:eastAsia="zh-CN" w:bidi="ar-SA"/>
        </w:rPr>
      </w:pPr>
    </w:p>
    <w:p w14:paraId="2A958DB2">
      <w:pPr>
        <w:spacing w:line="440" w:lineRule="exact"/>
        <w:jc w:val="center"/>
        <w:rPr>
          <w:rFonts w:hint="eastAsia" w:ascii="仿宋" w:hAnsi="仿宋" w:eastAsia="仿宋" w:cs="仿宋"/>
          <w:b/>
          <w:bCs/>
          <w:color w:val="auto"/>
          <w:kern w:val="2"/>
          <w:sz w:val="28"/>
          <w:szCs w:val="32"/>
          <w:highlight w:val="none"/>
          <w:lang w:val="en-US" w:eastAsia="zh-CN" w:bidi="ar-SA"/>
        </w:rPr>
      </w:pPr>
    </w:p>
    <w:p w14:paraId="49681B6E">
      <w:pPr>
        <w:spacing w:line="440" w:lineRule="exact"/>
        <w:jc w:val="center"/>
        <w:rPr>
          <w:rFonts w:hint="eastAsia" w:ascii="仿宋" w:hAnsi="仿宋" w:eastAsia="仿宋" w:cs="仿宋"/>
          <w:b/>
          <w:bCs/>
          <w:color w:val="auto"/>
          <w:kern w:val="2"/>
          <w:sz w:val="28"/>
          <w:szCs w:val="32"/>
          <w:highlight w:val="none"/>
          <w:lang w:val="en-US" w:eastAsia="zh-CN" w:bidi="ar-SA"/>
        </w:rPr>
      </w:pPr>
    </w:p>
    <w:p w14:paraId="4885F9AB">
      <w:pPr>
        <w:spacing w:line="440" w:lineRule="exact"/>
        <w:jc w:val="center"/>
        <w:rPr>
          <w:rFonts w:hint="eastAsia" w:ascii="仿宋" w:hAnsi="仿宋" w:eastAsia="仿宋" w:cs="仿宋"/>
          <w:b/>
          <w:bCs/>
          <w:color w:val="auto"/>
          <w:kern w:val="2"/>
          <w:sz w:val="28"/>
          <w:szCs w:val="32"/>
          <w:highlight w:val="none"/>
          <w:lang w:val="en-US" w:eastAsia="zh-CN" w:bidi="ar-SA"/>
        </w:rPr>
      </w:pPr>
    </w:p>
    <w:p w14:paraId="3FBB92BC">
      <w:pPr>
        <w:spacing w:line="440" w:lineRule="exact"/>
        <w:jc w:val="center"/>
        <w:rPr>
          <w:rFonts w:hint="eastAsia" w:ascii="仿宋" w:hAnsi="仿宋" w:eastAsia="仿宋" w:cs="仿宋"/>
          <w:b/>
          <w:bCs/>
          <w:color w:val="auto"/>
          <w:kern w:val="2"/>
          <w:sz w:val="28"/>
          <w:szCs w:val="32"/>
          <w:highlight w:val="none"/>
          <w:lang w:val="en-US" w:eastAsia="zh-CN" w:bidi="ar-SA"/>
        </w:rPr>
      </w:pPr>
    </w:p>
    <w:p w14:paraId="029B0DB7">
      <w:pPr>
        <w:spacing w:line="440" w:lineRule="exact"/>
        <w:jc w:val="center"/>
        <w:rPr>
          <w:rFonts w:hint="eastAsia" w:ascii="仿宋" w:hAnsi="仿宋" w:eastAsia="仿宋" w:cs="仿宋"/>
          <w:b/>
          <w:bCs/>
          <w:color w:val="auto"/>
          <w:kern w:val="2"/>
          <w:sz w:val="28"/>
          <w:szCs w:val="32"/>
          <w:highlight w:val="none"/>
          <w:lang w:val="en-US" w:eastAsia="zh-CN" w:bidi="ar-SA"/>
        </w:rPr>
      </w:pPr>
    </w:p>
    <w:p w14:paraId="7AB916CD">
      <w:pPr>
        <w:spacing w:line="440" w:lineRule="exact"/>
        <w:jc w:val="center"/>
        <w:rPr>
          <w:rFonts w:hint="eastAsia" w:ascii="仿宋" w:hAnsi="仿宋" w:eastAsia="仿宋" w:cs="仿宋"/>
          <w:b/>
          <w:bCs/>
          <w:color w:val="auto"/>
          <w:kern w:val="2"/>
          <w:sz w:val="28"/>
          <w:szCs w:val="32"/>
          <w:highlight w:val="none"/>
          <w:lang w:val="en-US" w:eastAsia="zh-CN" w:bidi="ar-SA"/>
        </w:rPr>
      </w:pPr>
    </w:p>
    <w:p w14:paraId="4F358971">
      <w:pPr>
        <w:spacing w:line="440" w:lineRule="exact"/>
        <w:jc w:val="center"/>
        <w:rPr>
          <w:rFonts w:hint="eastAsia" w:ascii="仿宋" w:hAnsi="仿宋" w:eastAsia="仿宋" w:cs="仿宋"/>
          <w:b/>
          <w:bCs/>
          <w:color w:val="auto"/>
          <w:kern w:val="2"/>
          <w:sz w:val="28"/>
          <w:szCs w:val="32"/>
          <w:highlight w:val="none"/>
          <w:lang w:val="en-US" w:eastAsia="zh-CN" w:bidi="ar-SA"/>
        </w:rPr>
      </w:pPr>
    </w:p>
    <w:p w14:paraId="19C5DA8E">
      <w:pPr>
        <w:spacing w:line="440" w:lineRule="exact"/>
        <w:jc w:val="center"/>
        <w:rPr>
          <w:rFonts w:hint="eastAsia" w:ascii="仿宋" w:hAnsi="仿宋" w:eastAsia="仿宋" w:cs="仿宋"/>
          <w:b/>
          <w:bCs/>
          <w:color w:val="auto"/>
          <w:kern w:val="2"/>
          <w:sz w:val="28"/>
          <w:szCs w:val="32"/>
          <w:highlight w:val="none"/>
          <w:lang w:val="en-US" w:eastAsia="zh-CN" w:bidi="ar-SA"/>
        </w:rPr>
      </w:pPr>
    </w:p>
    <w:p w14:paraId="6A5E9C7E">
      <w:pPr>
        <w:spacing w:line="440" w:lineRule="exact"/>
        <w:jc w:val="center"/>
        <w:rPr>
          <w:rFonts w:hint="eastAsia" w:ascii="仿宋" w:hAnsi="仿宋" w:eastAsia="仿宋" w:cs="仿宋"/>
          <w:b/>
          <w:bCs/>
          <w:color w:val="auto"/>
          <w:kern w:val="2"/>
          <w:sz w:val="28"/>
          <w:szCs w:val="32"/>
          <w:highlight w:val="none"/>
          <w:lang w:val="en-US" w:eastAsia="zh-CN" w:bidi="ar-SA"/>
        </w:rPr>
      </w:pPr>
    </w:p>
    <w:p w14:paraId="42B613A8">
      <w:pPr>
        <w:spacing w:line="440" w:lineRule="exact"/>
        <w:jc w:val="center"/>
        <w:rPr>
          <w:rFonts w:hint="eastAsia" w:ascii="仿宋" w:hAnsi="仿宋" w:eastAsia="仿宋" w:cs="仿宋"/>
          <w:b/>
          <w:bCs/>
          <w:color w:val="auto"/>
          <w:kern w:val="2"/>
          <w:sz w:val="28"/>
          <w:szCs w:val="32"/>
          <w:highlight w:val="none"/>
          <w:lang w:val="en-US" w:eastAsia="zh-CN" w:bidi="ar-SA"/>
        </w:rPr>
      </w:pPr>
    </w:p>
    <w:p w14:paraId="44EEFCA0">
      <w:pPr>
        <w:spacing w:line="440" w:lineRule="exact"/>
        <w:jc w:val="center"/>
        <w:rPr>
          <w:rFonts w:hint="eastAsia" w:ascii="仿宋" w:hAnsi="仿宋" w:eastAsia="仿宋" w:cs="仿宋"/>
          <w:b/>
          <w:bCs/>
          <w:color w:val="auto"/>
          <w:kern w:val="2"/>
          <w:sz w:val="28"/>
          <w:szCs w:val="32"/>
          <w:highlight w:val="none"/>
          <w:lang w:val="en-US" w:eastAsia="zh-CN" w:bidi="ar-SA"/>
        </w:rPr>
      </w:pPr>
    </w:p>
    <w:p w14:paraId="39B49F42">
      <w:pPr>
        <w:spacing w:line="440" w:lineRule="exact"/>
        <w:jc w:val="center"/>
        <w:rPr>
          <w:rFonts w:hint="eastAsia" w:ascii="仿宋" w:hAnsi="仿宋" w:eastAsia="仿宋" w:cs="仿宋"/>
          <w:b/>
          <w:bCs/>
          <w:color w:val="auto"/>
          <w:kern w:val="2"/>
          <w:sz w:val="28"/>
          <w:szCs w:val="32"/>
          <w:highlight w:val="none"/>
          <w:lang w:val="en-US" w:eastAsia="zh-CN" w:bidi="ar-SA"/>
        </w:rPr>
      </w:pPr>
    </w:p>
    <w:p w14:paraId="15AECFDC">
      <w:pPr>
        <w:spacing w:line="440" w:lineRule="exact"/>
        <w:jc w:val="center"/>
        <w:rPr>
          <w:rFonts w:hint="eastAsia" w:ascii="仿宋" w:hAnsi="仿宋" w:eastAsia="仿宋" w:cs="仿宋"/>
          <w:b/>
          <w:bCs/>
          <w:color w:val="auto"/>
          <w:kern w:val="2"/>
          <w:sz w:val="28"/>
          <w:szCs w:val="32"/>
          <w:highlight w:val="none"/>
          <w:lang w:val="en-US" w:eastAsia="zh-CN" w:bidi="ar-SA"/>
        </w:rPr>
      </w:pPr>
    </w:p>
    <w:p w14:paraId="5B61C889">
      <w:pPr>
        <w:spacing w:line="440" w:lineRule="exact"/>
        <w:jc w:val="center"/>
        <w:rPr>
          <w:rFonts w:hint="eastAsia" w:ascii="仿宋" w:hAnsi="仿宋" w:eastAsia="仿宋" w:cs="仿宋"/>
          <w:b/>
          <w:bCs/>
          <w:color w:val="auto"/>
          <w:kern w:val="2"/>
          <w:sz w:val="28"/>
          <w:szCs w:val="32"/>
          <w:highlight w:val="none"/>
          <w:lang w:val="en-US" w:eastAsia="zh-CN" w:bidi="ar-SA"/>
        </w:rPr>
      </w:pPr>
    </w:p>
    <w:p w14:paraId="13EC2B24">
      <w:pPr>
        <w:spacing w:line="440" w:lineRule="exact"/>
        <w:jc w:val="center"/>
        <w:rPr>
          <w:rFonts w:hint="eastAsia" w:ascii="仿宋" w:hAnsi="仿宋" w:eastAsia="仿宋" w:cs="仿宋"/>
          <w:b/>
          <w:bCs/>
          <w:color w:val="auto"/>
          <w:kern w:val="2"/>
          <w:sz w:val="28"/>
          <w:szCs w:val="32"/>
          <w:highlight w:val="none"/>
          <w:lang w:val="en-US" w:eastAsia="zh-CN" w:bidi="ar-SA"/>
        </w:rPr>
      </w:pPr>
    </w:p>
    <w:p w14:paraId="084BBBF0">
      <w:pPr>
        <w:spacing w:line="440" w:lineRule="exact"/>
        <w:jc w:val="center"/>
        <w:rPr>
          <w:rFonts w:hint="eastAsia" w:ascii="仿宋" w:hAnsi="仿宋" w:eastAsia="仿宋" w:cs="仿宋"/>
          <w:b/>
          <w:bCs/>
          <w:color w:val="auto"/>
          <w:kern w:val="2"/>
          <w:sz w:val="28"/>
          <w:szCs w:val="32"/>
          <w:highlight w:val="none"/>
          <w:lang w:val="en-US" w:eastAsia="zh-CN" w:bidi="ar-SA"/>
        </w:rPr>
      </w:pPr>
    </w:p>
    <w:p w14:paraId="222916CE">
      <w:pPr>
        <w:spacing w:line="440" w:lineRule="exact"/>
        <w:jc w:val="center"/>
        <w:rPr>
          <w:rFonts w:hint="eastAsia" w:ascii="仿宋" w:hAnsi="仿宋" w:eastAsia="仿宋" w:cs="仿宋"/>
          <w:b/>
          <w:bCs/>
          <w:color w:val="auto"/>
          <w:kern w:val="2"/>
          <w:sz w:val="28"/>
          <w:szCs w:val="32"/>
          <w:highlight w:val="none"/>
          <w:lang w:val="en-US" w:eastAsia="zh-CN" w:bidi="ar-SA"/>
        </w:rPr>
      </w:pPr>
    </w:p>
    <w:p w14:paraId="3D23C63E">
      <w:pPr>
        <w:spacing w:line="440" w:lineRule="exact"/>
        <w:jc w:val="center"/>
        <w:rPr>
          <w:rFonts w:hint="eastAsia" w:ascii="仿宋" w:hAnsi="仿宋" w:eastAsia="仿宋" w:cs="仿宋"/>
          <w:b/>
          <w:bCs/>
          <w:color w:val="auto"/>
          <w:kern w:val="2"/>
          <w:sz w:val="28"/>
          <w:szCs w:val="32"/>
          <w:highlight w:val="none"/>
          <w:lang w:val="en-US" w:eastAsia="zh-CN" w:bidi="ar-SA"/>
        </w:rPr>
      </w:pPr>
    </w:p>
    <w:p w14:paraId="12DC129B">
      <w:pPr>
        <w:pStyle w:val="14"/>
        <w:tabs>
          <w:tab w:val="left" w:pos="9214"/>
        </w:tabs>
        <w:rPr>
          <w:rFonts w:hint="eastAsia" w:ascii="仿宋" w:hAnsi="仿宋" w:eastAsia="仿宋" w:cs="仿宋"/>
          <w:color w:val="auto"/>
          <w:highlight w:val="none"/>
          <w:lang w:val="en-US" w:eastAsia="zh-CN"/>
        </w:rPr>
      </w:pPr>
    </w:p>
    <w:p w14:paraId="316064EC">
      <w:pPr>
        <w:spacing w:line="440" w:lineRule="exact"/>
        <w:jc w:val="center"/>
        <w:rPr>
          <w:rFonts w:hint="eastAsia" w:ascii="仿宋" w:hAnsi="仿宋" w:eastAsia="仿宋" w:cs="仿宋"/>
          <w:b/>
          <w:bCs/>
          <w:color w:val="auto"/>
          <w:kern w:val="2"/>
          <w:sz w:val="28"/>
          <w:szCs w:val="32"/>
          <w:highlight w:val="none"/>
          <w:lang w:val="en-US" w:eastAsia="zh-CN" w:bidi="ar-SA"/>
        </w:rPr>
      </w:pPr>
    </w:p>
    <w:p w14:paraId="1315792A">
      <w:pPr>
        <w:spacing w:line="440" w:lineRule="exact"/>
        <w:jc w:val="center"/>
        <w:rPr>
          <w:rFonts w:hint="eastAsia" w:ascii="仿宋" w:hAnsi="仿宋" w:eastAsia="仿宋" w:cs="仿宋"/>
          <w:b/>
          <w:bCs/>
          <w:color w:val="auto"/>
          <w:kern w:val="2"/>
          <w:sz w:val="28"/>
          <w:szCs w:val="32"/>
          <w:highlight w:val="none"/>
          <w:lang w:val="en-US" w:eastAsia="zh-CN" w:bidi="ar-SA"/>
        </w:rPr>
      </w:pPr>
    </w:p>
    <w:bookmarkEnd w:id="135"/>
    <w:bookmarkEnd w:id="136"/>
    <w:bookmarkEnd w:id="137"/>
    <w:bookmarkEnd w:id="138"/>
    <w:p w14:paraId="567160E8">
      <w:pPr>
        <w:spacing w:line="440" w:lineRule="exact"/>
        <w:ind w:left="0" w:leftChars="0" w:firstLine="0" w:firstLineChars="0"/>
        <w:jc w:val="both"/>
        <w:rPr>
          <w:rFonts w:hint="eastAsia" w:ascii="仿宋" w:hAnsi="仿宋" w:eastAsia="仿宋" w:cs="仿宋"/>
          <w:b/>
          <w:bCs/>
          <w:color w:val="auto"/>
          <w:kern w:val="2"/>
          <w:sz w:val="28"/>
          <w:szCs w:val="32"/>
          <w:highlight w:val="none"/>
          <w:lang w:val="en-US" w:eastAsia="zh-CN" w:bidi="ar-SA"/>
        </w:rPr>
      </w:pPr>
    </w:p>
    <w:p w14:paraId="3FFC3A3C">
      <w:pPr>
        <w:pStyle w:val="3"/>
        <w:jc w:val="center"/>
        <w:rPr>
          <w:rFonts w:hint="eastAsia" w:ascii="仿宋" w:hAnsi="仿宋" w:eastAsia="仿宋" w:cs="仿宋"/>
          <w:b/>
          <w:bCs/>
          <w:color w:val="auto"/>
          <w:sz w:val="28"/>
          <w:highlight w:val="none"/>
        </w:rPr>
      </w:pPr>
      <w:bookmarkStart w:id="139" w:name="_Toc13218"/>
      <w:bookmarkStart w:id="140" w:name="_Toc23139"/>
      <w:bookmarkStart w:id="141" w:name="_Toc14367"/>
      <w:bookmarkStart w:id="142" w:name="_Toc23111"/>
      <w:bookmarkStart w:id="143" w:name="_Toc27405"/>
      <w:r>
        <w:rPr>
          <w:rFonts w:hint="eastAsia" w:ascii="仿宋" w:hAnsi="仿宋" w:eastAsia="仿宋" w:cs="仿宋"/>
          <w:b/>
          <w:bCs/>
          <w:color w:val="auto"/>
          <w:sz w:val="28"/>
          <w:highlight w:val="none"/>
          <w:lang w:val="en-US" w:eastAsia="zh-CN"/>
        </w:rPr>
        <w:t>六、</w:t>
      </w:r>
      <w:r>
        <w:rPr>
          <w:rFonts w:hint="eastAsia" w:ascii="仿宋" w:hAnsi="仿宋" w:eastAsia="仿宋" w:cs="仿宋"/>
          <w:b/>
          <w:bCs/>
          <w:color w:val="auto"/>
          <w:sz w:val="28"/>
          <w:highlight w:val="none"/>
        </w:rPr>
        <w:t>商务条款偏离表</w:t>
      </w:r>
      <w:bookmarkEnd w:id="139"/>
      <w:bookmarkEnd w:id="140"/>
      <w:bookmarkEnd w:id="141"/>
      <w:bookmarkEnd w:id="142"/>
      <w:bookmarkEnd w:id="143"/>
    </w:p>
    <w:p w14:paraId="18E970C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3D4D2211">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tbl>
      <w:tblPr>
        <w:tblStyle w:val="2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919"/>
        <w:gridCol w:w="2743"/>
        <w:gridCol w:w="1706"/>
        <w:gridCol w:w="1179"/>
      </w:tblGrid>
      <w:tr w14:paraId="148D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68" w:type="dxa"/>
            <w:vAlign w:val="center"/>
          </w:tcPr>
          <w:p w14:paraId="1C27C78E">
            <w:pPr>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919" w:type="dxa"/>
            <w:vAlign w:val="center"/>
          </w:tcPr>
          <w:p w14:paraId="63D9B621">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招标文件的商务条款</w:t>
            </w:r>
          </w:p>
        </w:tc>
        <w:tc>
          <w:tcPr>
            <w:tcW w:w="2743" w:type="dxa"/>
            <w:vAlign w:val="center"/>
          </w:tcPr>
          <w:p w14:paraId="118A70B8">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投标文件的商务条款</w:t>
            </w:r>
          </w:p>
        </w:tc>
        <w:tc>
          <w:tcPr>
            <w:tcW w:w="1706" w:type="dxa"/>
            <w:vAlign w:val="center"/>
          </w:tcPr>
          <w:p w14:paraId="6A5BC2A3">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响应与偏离</w:t>
            </w:r>
          </w:p>
        </w:tc>
        <w:tc>
          <w:tcPr>
            <w:tcW w:w="1179" w:type="dxa"/>
            <w:vAlign w:val="center"/>
          </w:tcPr>
          <w:p w14:paraId="6B3EB174">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w:t>
            </w:r>
          </w:p>
        </w:tc>
      </w:tr>
      <w:tr w14:paraId="38B2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8" w:type="dxa"/>
            <w:vAlign w:val="center"/>
          </w:tcPr>
          <w:p w14:paraId="3F80382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919" w:type="dxa"/>
            <w:vAlign w:val="center"/>
          </w:tcPr>
          <w:p w14:paraId="18DAEC73">
            <w:pPr>
              <w:spacing w:line="360" w:lineRule="auto"/>
              <w:jc w:val="center"/>
              <w:rPr>
                <w:rFonts w:hint="eastAsia" w:ascii="仿宋" w:hAnsi="仿宋" w:eastAsia="仿宋" w:cs="仿宋"/>
                <w:color w:val="auto"/>
                <w:sz w:val="24"/>
                <w:szCs w:val="24"/>
                <w:highlight w:val="none"/>
              </w:rPr>
            </w:pPr>
          </w:p>
        </w:tc>
        <w:tc>
          <w:tcPr>
            <w:tcW w:w="2743" w:type="dxa"/>
            <w:vAlign w:val="center"/>
          </w:tcPr>
          <w:p w14:paraId="6F48B3D8">
            <w:pPr>
              <w:spacing w:line="360" w:lineRule="auto"/>
              <w:jc w:val="center"/>
              <w:rPr>
                <w:rFonts w:hint="eastAsia" w:ascii="仿宋" w:hAnsi="仿宋" w:eastAsia="仿宋" w:cs="仿宋"/>
                <w:color w:val="auto"/>
                <w:sz w:val="24"/>
                <w:szCs w:val="24"/>
                <w:highlight w:val="none"/>
              </w:rPr>
            </w:pPr>
          </w:p>
        </w:tc>
        <w:tc>
          <w:tcPr>
            <w:tcW w:w="1706" w:type="dxa"/>
            <w:vAlign w:val="center"/>
          </w:tcPr>
          <w:p w14:paraId="581441AF">
            <w:pPr>
              <w:spacing w:line="360" w:lineRule="auto"/>
              <w:jc w:val="center"/>
              <w:rPr>
                <w:rFonts w:hint="eastAsia" w:ascii="仿宋" w:hAnsi="仿宋" w:eastAsia="仿宋" w:cs="仿宋"/>
                <w:color w:val="auto"/>
                <w:sz w:val="24"/>
                <w:szCs w:val="24"/>
                <w:highlight w:val="none"/>
              </w:rPr>
            </w:pPr>
          </w:p>
        </w:tc>
        <w:tc>
          <w:tcPr>
            <w:tcW w:w="1179" w:type="dxa"/>
            <w:vAlign w:val="center"/>
          </w:tcPr>
          <w:p w14:paraId="149D9307">
            <w:pPr>
              <w:spacing w:line="360" w:lineRule="auto"/>
              <w:jc w:val="center"/>
              <w:rPr>
                <w:rFonts w:hint="eastAsia" w:ascii="仿宋" w:hAnsi="仿宋" w:eastAsia="仿宋" w:cs="仿宋"/>
                <w:color w:val="auto"/>
                <w:sz w:val="24"/>
                <w:szCs w:val="24"/>
                <w:highlight w:val="none"/>
              </w:rPr>
            </w:pPr>
          </w:p>
        </w:tc>
      </w:tr>
      <w:tr w14:paraId="444A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8" w:type="dxa"/>
            <w:vAlign w:val="center"/>
          </w:tcPr>
          <w:p w14:paraId="4B6FE6D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919" w:type="dxa"/>
            <w:vAlign w:val="center"/>
          </w:tcPr>
          <w:p w14:paraId="08DB7134">
            <w:pPr>
              <w:spacing w:line="360" w:lineRule="auto"/>
              <w:jc w:val="center"/>
              <w:rPr>
                <w:rFonts w:hint="eastAsia" w:ascii="仿宋" w:hAnsi="仿宋" w:eastAsia="仿宋" w:cs="仿宋"/>
                <w:color w:val="auto"/>
                <w:sz w:val="24"/>
                <w:szCs w:val="24"/>
                <w:highlight w:val="none"/>
              </w:rPr>
            </w:pPr>
          </w:p>
        </w:tc>
        <w:tc>
          <w:tcPr>
            <w:tcW w:w="2743" w:type="dxa"/>
            <w:vAlign w:val="center"/>
          </w:tcPr>
          <w:p w14:paraId="7456BA8E">
            <w:pPr>
              <w:spacing w:line="360" w:lineRule="auto"/>
              <w:jc w:val="center"/>
              <w:rPr>
                <w:rFonts w:hint="eastAsia" w:ascii="仿宋" w:hAnsi="仿宋" w:eastAsia="仿宋" w:cs="仿宋"/>
                <w:color w:val="auto"/>
                <w:sz w:val="24"/>
                <w:szCs w:val="24"/>
                <w:highlight w:val="none"/>
              </w:rPr>
            </w:pPr>
          </w:p>
        </w:tc>
        <w:tc>
          <w:tcPr>
            <w:tcW w:w="1706" w:type="dxa"/>
            <w:vAlign w:val="center"/>
          </w:tcPr>
          <w:p w14:paraId="21D0297A">
            <w:pPr>
              <w:spacing w:line="360" w:lineRule="auto"/>
              <w:jc w:val="center"/>
              <w:rPr>
                <w:rFonts w:hint="eastAsia" w:ascii="仿宋" w:hAnsi="仿宋" w:eastAsia="仿宋" w:cs="仿宋"/>
                <w:color w:val="auto"/>
                <w:sz w:val="24"/>
                <w:szCs w:val="24"/>
                <w:highlight w:val="none"/>
              </w:rPr>
            </w:pPr>
          </w:p>
        </w:tc>
        <w:tc>
          <w:tcPr>
            <w:tcW w:w="1179" w:type="dxa"/>
            <w:vAlign w:val="center"/>
          </w:tcPr>
          <w:p w14:paraId="4FBC3463">
            <w:pPr>
              <w:spacing w:line="360" w:lineRule="auto"/>
              <w:jc w:val="center"/>
              <w:rPr>
                <w:rFonts w:hint="eastAsia" w:ascii="仿宋" w:hAnsi="仿宋" w:eastAsia="仿宋" w:cs="仿宋"/>
                <w:color w:val="auto"/>
                <w:sz w:val="24"/>
                <w:szCs w:val="24"/>
                <w:highlight w:val="none"/>
              </w:rPr>
            </w:pPr>
          </w:p>
        </w:tc>
      </w:tr>
      <w:tr w14:paraId="49B3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68" w:type="dxa"/>
            <w:vAlign w:val="center"/>
          </w:tcPr>
          <w:p w14:paraId="6940FD1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919" w:type="dxa"/>
            <w:vAlign w:val="center"/>
          </w:tcPr>
          <w:p w14:paraId="20CB9070">
            <w:pPr>
              <w:spacing w:line="360" w:lineRule="auto"/>
              <w:jc w:val="center"/>
              <w:rPr>
                <w:rFonts w:hint="eastAsia" w:ascii="仿宋" w:hAnsi="仿宋" w:eastAsia="仿宋" w:cs="仿宋"/>
                <w:color w:val="auto"/>
                <w:sz w:val="24"/>
                <w:szCs w:val="24"/>
                <w:highlight w:val="none"/>
              </w:rPr>
            </w:pPr>
          </w:p>
        </w:tc>
        <w:tc>
          <w:tcPr>
            <w:tcW w:w="2743" w:type="dxa"/>
            <w:vAlign w:val="center"/>
          </w:tcPr>
          <w:p w14:paraId="24ABB837">
            <w:pPr>
              <w:spacing w:line="360" w:lineRule="auto"/>
              <w:jc w:val="center"/>
              <w:rPr>
                <w:rFonts w:hint="eastAsia" w:ascii="仿宋" w:hAnsi="仿宋" w:eastAsia="仿宋" w:cs="仿宋"/>
                <w:color w:val="auto"/>
                <w:sz w:val="24"/>
                <w:szCs w:val="24"/>
                <w:highlight w:val="none"/>
              </w:rPr>
            </w:pPr>
          </w:p>
        </w:tc>
        <w:tc>
          <w:tcPr>
            <w:tcW w:w="1706" w:type="dxa"/>
            <w:vAlign w:val="center"/>
          </w:tcPr>
          <w:p w14:paraId="2749A682">
            <w:pPr>
              <w:spacing w:line="360" w:lineRule="auto"/>
              <w:jc w:val="center"/>
              <w:rPr>
                <w:rFonts w:hint="eastAsia" w:ascii="仿宋" w:hAnsi="仿宋" w:eastAsia="仿宋" w:cs="仿宋"/>
                <w:color w:val="auto"/>
                <w:sz w:val="24"/>
                <w:szCs w:val="24"/>
                <w:highlight w:val="none"/>
              </w:rPr>
            </w:pPr>
          </w:p>
        </w:tc>
        <w:tc>
          <w:tcPr>
            <w:tcW w:w="1179" w:type="dxa"/>
            <w:vAlign w:val="center"/>
          </w:tcPr>
          <w:p w14:paraId="35C7DA54">
            <w:pPr>
              <w:spacing w:line="360" w:lineRule="auto"/>
              <w:jc w:val="center"/>
              <w:rPr>
                <w:rFonts w:hint="eastAsia" w:ascii="仿宋" w:hAnsi="仿宋" w:eastAsia="仿宋" w:cs="仿宋"/>
                <w:color w:val="auto"/>
                <w:sz w:val="24"/>
                <w:szCs w:val="24"/>
                <w:highlight w:val="none"/>
              </w:rPr>
            </w:pPr>
          </w:p>
        </w:tc>
      </w:tr>
      <w:tr w14:paraId="50B4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68" w:type="dxa"/>
            <w:vAlign w:val="center"/>
          </w:tcPr>
          <w:p w14:paraId="2EC5A94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919" w:type="dxa"/>
            <w:vAlign w:val="center"/>
          </w:tcPr>
          <w:p w14:paraId="07A09004">
            <w:pPr>
              <w:spacing w:line="360" w:lineRule="auto"/>
              <w:jc w:val="center"/>
              <w:rPr>
                <w:rFonts w:hint="eastAsia" w:ascii="仿宋" w:hAnsi="仿宋" w:eastAsia="仿宋" w:cs="仿宋"/>
                <w:color w:val="auto"/>
                <w:sz w:val="24"/>
                <w:szCs w:val="24"/>
                <w:highlight w:val="none"/>
              </w:rPr>
            </w:pPr>
          </w:p>
        </w:tc>
        <w:tc>
          <w:tcPr>
            <w:tcW w:w="2743" w:type="dxa"/>
            <w:vAlign w:val="center"/>
          </w:tcPr>
          <w:p w14:paraId="04BB794D">
            <w:pPr>
              <w:spacing w:line="360" w:lineRule="auto"/>
              <w:jc w:val="center"/>
              <w:rPr>
                <w:rFonts w:hint="eastAsia" w:ascii="仿宋" w:hAnsi="仿宋" w:eastAsia="仿宋" w:cs="仿宋"/>
                <w:color w:val="auto"/>
                <w:sz w:val="24"/>
                <w:szCs w:val="24"/>
                <w:highlight w:val="none"/>
              </w:rPr>
            </w:pPr>
          </w:p>
        </w:tc>
        <w:tc>
          <w:tcPr>
            <w:tcW w:w="1706" w:type="dxa"/>
            <w:vAlign w:val="center"/>
          </w:tcPr>
          <w:p w14:paraId="24448905">
            <w:pPr>
              <w:spacing w:line="360" w:lineRule="auto"/>
              <w:jc w:val="center"/>
              <w:rPr>
                <w:rFonts w:hint="eastAsia" w:ascii="仿宋" w:hAnsi="仿宋" w:eastAsia="仿宋" w:cs="仿宋"/>
                <w:color w:val="auto"/>
                <w:sz w:val="24"/>
                <w:szCs w:val="24"/>
                <w:highlight w:val="none"/>
              </w:rPr>
            </w:pPr>
          </w:p>
        </w:tc>
        <w:tc>
          <w:tcPr>
            <w:tcW w:w="1179" w:type="dxa"/>
            <w:vAlign w:val="center"/>
          </w:tcPr>
          <w:p w14:paraId="599191ED">
            <w:pPr>
              <w:spacing w:line="360" w:lineRule="auto"/>
              <w:jc w:val="center"/>
              <w:rPr>
                <w:rFonts w:hint="eastAsia" w:ascii="仿宋" w:hAnsi="仿宋" w:eastAsia="仿宋" w:cs="仿宋"/>
                <w:color w:val="auto"/>
                <w:sz w:val="24"/>
                <w:szCs w:val="24"/>
                <w:highlight w:val="none"/>
              </w:rPr>
            </w:pPr>
          </w:p>
        </w:tc>
      </w:tr>
      <w:tr w14:paraId="607B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68" w:type="dxa"/>
            <w:vAlign w:val="center"/>
          </w:tcPr>
          <w:p w14:paraId="4D753284">
            <w:pPr>
              <w:spacing w:line="360" w:lineRule="auto"/>
              <w:jc w:val="center"/>
              <w:rPr>
                <w:rFonts w:hint="eastAsia" w:ascii="仿宋" w:hAnsi="仿宋" w:eastAsia="仿宋" w:cs="仿宋"/>
                <w:color w:val="auto"/>
                <w:sz w:val="24"/>
                <w:szCs w:val="24"/>
                <w:highlight w:val="none"/>
              </w:rPr>
            </w:pPr>
          </w:p>
        </w:tc>
        <w:tc>
          <w:tcPr>
            <w:tcW w:w="2919" w:type="dxa"/>
            <w:vAlign w:val="center"/>
          </w:tcPr>
          <w:p w14:paraId="7778A398">
            <w:pPr>
              <w:spacing w:line="360" w:lineRule="auto"/>
              <w:jc w:val="center"/>
              <w:rPr>
                <w:rFonts w:hint="eastAsia" w:ascii="仿宋" w:hAnsi="仿宋" w:eastAsia="仿宋" w:cs="仿宋"/>
                <w:color w:val="auto"/>
                <w:sz w:val="24"/>
                <w:szCs w:val="24"/>
                <w:highlight w:val="none"/>
              </w:rPr>
            </w:pPr>
          </w:p>
        </w:tc>
        <w:tc>
          <w:tcPr>
            <w:tcW w:w="2743" w:type="dxa"/>
            <w:vAlign w:val="center"/>
          </w:tcPr>
          <w:p w14:paraId="2BB6D903">
            <w:pPr>
              <w:spacing w:line="360" w:lineRule="auto"/>
              <w:jc w:val="center"/>
              <w:rPr>
                <w:rFonts w:hint="eastAsia" w:ascii="仿宋" w:hAnsi="仿宋" w:eastAsia="仿宋" w:cs="仿宋"/>
                <w:color w:val="auto"/>
                <w:sz w:val="24"/>
                <w:szCs w:val="24"/>
                <w:highlight w:val="none"/>
              </w:rPr>
            </w:pPr>
          </w:p>
        </w:tc>
        <w:tc>
          <w:tcPr>
            <w:tcW w:w="1706" w:type="dxa"/>
            <w:vAlign w:val="center"/>
          </w:tcPr>
          <w:p w14:paraId="113D4F2A">
            <w:pPr>
              <w:spacing w:line="360" w:lineRule="auto"/>
              <w:jc w:val="center"/>
              <w:rPr>
                <w:rFonts w:hint="eastAsia" w:ascii="仿宋" w:hAnsi="仿宋" w:eastAsia="仿宋" w:cs="仿宋"/>
                <w:color w:val="auto"/>
                <w:sz w:val="24"/>
                <w:szCs w:val="24"/>
                <w:highlight w:val="none"/>
              </w:rPr>
            </w:pPr>
          </w:p>
        </w:tc>
        <w:tc>
          <w:tcPr>
            <w:tcW w:w="1179" w:type="dxa"/>
            <w:vAlign w:val="center"/>
          </w:tcPr>
          <w:p w14:paraId="2EAA19D4">
            <w:pPr>
              <w:spacing w:line="360" w:lineRule="auto"/>
              <w:jc w:val="center"/>
              <w:rPr>
                <w:rFonts w:hint="eastAsia" w:ascii="仿宋" w:hAnsi="仿宋" w:eastAsia="仿宋" w:cs="仿宋"/>
                <w:color w:val="auto"/>
                <w:sz w:val="24"/>
                <w:szCs w:val="24"/>
                <w:highlight w:val="none"/>
              </w:rPr>
            </w:pPr>
          </w:p>
        </w:tc>
      </w:tr>
      <w:tr w14:paraId="509B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68" w:type="dxa"/>
            <w:vAlign w:val="center"/>
          </w:tcPr>
          <w:p w14:paraId="1EB061AE">
            <w:pPr>
              <w:spacing w:line="360" w:lineRule="auto"/>
              <w:jc w:val="center"/>
              <w:rPr>
                <w:rFonts w:hint="eastAsia" w:ascii="仿宋" w:hAnsi="仿宋" w:eastAsia="仿宋" w:cs="仿宋"/>
                <w:color w:val="auto"/>
                <w:sz w:val="24"/>
                <w:szCs w:val="24"/>
                <w:highlight w:val="none"/>
              </w:rPr>
            </w:pPr>
          </w:p>
        </w:tc>
        <w:tc>
          <w:tcPr>
            <w:tcW w:w="2919" w:type="dxa"/>
            <w:vAlign w:val="center"/>
          </w:tcPr>
          <w:p w14:paraId="46D1930E">
            <w:pPr>
              <w:spacing w:line="360" w:lineRule="auto"/>
              <w:jc w:val="center"/>
              <w:rPr>
                <w:rFonts w:hint="eastAsia" w:ascii="仿宋" w:hAnsi="仿宋" w:eastAsia="仿宋" w:cs="仿宋"/>
                <w:color w:val="auto"/>
                <w:sz w:val="24"/>
                <w:szCs w:val="24"/>
                <w:highlight w:val="none"/>
              </w:rPr>
            </w:pPr>
          </w:p>
        </w:tc>
        <w:tc>
          <w:tcPr>
            <w:tcW w:w="2743" w:type="dxa"/>
            <w:vAlign w:val="center"/>
          </w:tcPr>
          <w:p w14:paraId="08B1C706">
            <w:pPr>
              <w:spacing w:line="360" w:lineRule="auto"/>
              <w:jc w:val="center"/>
              <w:rPr>
                <w:rFonts w:hint="eastAsia" w:ascii="仿宋" w:hAnsi="仿宋" w:eastAsia="仿宋" w:cs="仿宋"/>
                <w:color w:val="auto"/>
                <w:sz w:val="24"/>
                <w:szCs w:val="24"/>
                <w:highlight w:val="none"/>
              </w:rPr>
            </w:pPr>
          </w:p>
        </w:tc>
        <w:tc>
          <w:tcPr>
            <w:tcW w:w="1706" w:type="dxa"/>
            <w:vAlign w:val="center"/>
          </w:tcPr>
          <w:p w14:paraId="51F53540">
            <w:pPr>
              <w:spacing w:line="360" w:lineRule="auto"/>
              <w:jc w:val="center"/>
              <w:rPr>
                <w:rFonts w:hint="eastAsia" w:ascii="仿宋" w:hAnsi="仿宋" w:eastAsia="仿宋" w:cs="仿宋"/>
                <w:color w:val="auto"/>
                <w:sz w:val="24"/>
                <w:szCs w:val="24"/>
                <w:highlight w:val="none"/>
              </w:rPr>
            </w:pPr>
          </w:p>
        </w:tc>
        <w:tc>
          <w:tcPr>
            <w:tcW w:w="1179" w:type="dxa"/>
            <w:vAlign w:val="center"/>
          </w:tcPr>
          <w:p w14:paraId="6076DAEC">
            <w:pPr>
              <w:spacing w:line="360" w:lineRule="auto"/>
              <w:jc w:val="center"/>
              <w:rPr>
                <w:rFonts w:hint="eastAsia" w:ascii="仿宋" w:hAnsi="仿宋" w:eastAsia="仿宋" w:cs="仿宋"/>
                <w:color w:val="auto"/>
                <w:sz w:val="24"/>
                <w:szCs w:val="24"/>
                <w:highlight w:val="none"/>
              </w:rPr>
            </w:pPr>
          </w:p>
        </w:tc>
      </w:tr>
      <w:tr w14:paraId="2A03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68" w:type="dxa"/>
            <w:vAlign w:val="center"/>
          </w:tcPr>
          <w:p w14:paraId="34C28E98">
            <w:pPr>
              <w:spacing w:line="360" w:lineRule="auto"/>
              <w:jc w:val="center"/>
              <w:rPr>
                <w:rFonts w:hint="eastAsia" w:ascii="仿宋" w:hAnsi="仿宋" w:eastAsia="仿宋" w:cs="仿宋"/>
                <w:color w:val="auto"/>
                <w:sz w:val="24"/>
                <w:szCs w:val="24"/>
                <w:highlight w:val="none"/>
              </w:rPr>
            </w:pPr>
          </w:p>
        </w:tc>
        <w:tc>
          <w:tcPr>
            <w:tcW w:w="2919" w:type="dxa"/>
            <w:vAlign w:val="center"/>
          </w:tcPr>
          <w:p w14:paraId="4246B230">
            <w:pPr>
              <w:spacing w:line="360" w:lineRule="auto"/>
              <w:jc w:val="center"/>
              <w:rPr>
                <w:rFonts w:hint="eastAsia" w:ascii="仿宋" w:hAnsi="仿宋" w:eastAsia="仿宋" w:cs="仿宋"/>
                <w:color w:val="auto"/>
                <w:sz w:val="24"/>
                <w:szCs w:val="24"/>
                <w:highlight w:val="none"/>
              </w:rPr>
            </w:pPr>
          </w:p>
        </w:tc>
        <w:tc>
          <w:tcPr>
            <w:tcW w:w="2743" w:type="dxa"/>
            <w:vAlign w:val="center"/>
          </w:tcPr>
          <w:p w14:paraId="58504552">
            <w:pPr>
              <w:spacing w:line="360" w:lineRule="auto"/>
              <w:jc w:val="center"/>
              <w:rPr>
                <w:rFonts w:hint="eastAsia" w:ascii="仿宋" w:hAnsi="仿宋" w:eastAsia="仿宋" w:cs="仿宋"/>
                <w:color w:val="auto"/>
                <w:sz w:val="24"/>
                <w:szCs w:val="24"/>
                <w:highlight w:val="none"/>
              </w:rPr>
            </w:pPr>
          </w:p>
        </w:tc>
        <w:tc>
          <w:tcPr>
            <w:tcW w:w="1706" w:type="dxa"/>
            <w:vAlign w:val="center"/>
          </w:tcPr>
          <w:p w14:paraId="490E6C54">
            <w:pPr>
              <w:spacing w:line="360" w:lineRule="auto"/>
              <w:jc w:val="center"/>
              <w:rPr>
                <w:rFonts w:hint="eastAsia" w:ascii="仿宋" w:hAnsi="仿宋" w:eastAsia="仿宋" w:cs="仿宋"/>
                <w:color w:val="auto"/>
                <w:sz w:val="24"/>
                <w:szCs w:val="24"/>
                <w:highlight w:val="none"/>
              </w:rPr>
            </w:pPr>
          </w:p>
        </w:tc>
        <w:tc>
          <w:tcPr>
            <w:tcW w:w="1179" w:type="dxa"/>
            <w:vAlign w:val="center"/>
          </w:tcPr>
          <w:p w14:paraId="539F626A">
            <w:pPr>
              <w:spacing w:line="360" w:lineRule="auto"/>
              <w:jc w:val="center"/>
              <w:rPr>
                <w:rFonts w:hint="eastAsia" w:ascii="仿宋" w:hAnsi="仿宋" w:eastAsia="仿宋" w:cs="仿宋"/>
                <w:color w:val="auto"/>
                <w:sz w:val="24"/>
                <w:szCs w:val="24"/>
                <w:highlight w:val="none"/>
              </w:rPr>
            </w:pPr>
          </w:p>
        </w:tc>
      </w:tr>
    </w:tbl>
    <w:p w14:paraId="4269DE5D">
      <w:pP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上表</w:t>
      </w:r>
      <w:r>
        <w:rPr>
          <w:rFonts w:hint="eastAsia" w:ascii="仿宋" w:hAnsi="仿宋" w:eastAsia="仿宋" w:cs="仿宋"/>
          <w:color w:val="auto"/>
          <w:sz w:val="24"/>
          <w:szCs w:val="24"/>
          <w:highlight w:val="none"/>
        </w:rPr>
        <w:t>应与招标文件要求的实质性条款对应填写，如投标企业填写无偏离或此表空白，则视为完全响应招标文件。</w:t>
      </w:r>
    </w:p>
    <w:p w14:paraId="47D6CC4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2、本表如填写不完，可以续页。</w:t>
      </w:r>
    </w:p>
    <w:p w14:paraId="114F16E3">
      <w:pPr>
        <w:spacing w:line="360" w:lineRule="auto"/>
        <w:rPr>
          <w:rFonts w:hint="eastAsia" w:ascii="仿宋" w:hAnsi="仿宋" w:eastAsia="仿宋" w:cs="仿宋"/>
          <w:color w:val="auto"/>
          <w:sz w:val="24"/>
          <w:szCs w:val="24"/>
          <w:highlight w:val="none"/>
        </w:rPr>
      </w:pPr>
    </w:p>
    <w:p w14:paraId="098A7D87">
      <w:pPr>
        <w:pStyle w:val="14"/>
        <w:rPr>
          <w:rFonts w:hint="eastAsia" w:ascii="仿宋" w:hAnsi="仿宋" w:eastAsia="仿宋" w:cs="仿宋"/>
          <w:color w:val="auto"/>
          <w:highlight w:val="none"/>
        </w:rPr>
      </w:pPr>
    </w:p>
    <w:p w14:paraId="41C56549">
      <w:pPr>
        <w:pStyle w:val="26"/>
        <w:rPr>
          <w:rFonts w:hint="eastAsia" w:ascii="仿宋" w:hAnsi="仿宋" w:eastAsia="仿宋" w:cs="仿宋"/>
          <w:color w:val="auto"/>
          <w:highlight w:val="none"/>
        </w:rPr>
      </w:pPr>
    </w:p>
    <w:p w14:paraId="3871942C">
      <w:pPr>
        <w:rPr>
          <w:rFonts w:hint="eastAsia" w:ascii="仿宋" w:hAnsi="仿宋" w:eastAsia="仿宋" w:cs="仿宋"/>
          <w:color w:val="auto"/>
          <w:highlight w:val="none"/>
        </w:rPr>
      </w:pPr>
    </w:p>
    <w:p w14:paraId="1AE108F7">
      <w:pPr>
        <w:rPr>
          <w:rFonts w:hint="eastAsia" w:ascii="仿宋" w:hAnsi="仿宋" w:eastAsia="仿宋" w:cs="仿宋"/>
          <w:color w:val="auto"/>
          <w:highlight w:val="none"/>
        </w:rPr>
      </w:pPr>
    </w:p>
    <w:p w14:paraId="366A22E8">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54F15A4A">
      <w:pPr>
        <w:spacing w:line="360" w:lineRule="auto"/>
        <w:ind w:firstLine="4080" w:firstLineChars="1700"/>
        <w:rPr>
          <w:rFonts w:hint="eastAsia" w:ascii="仿宋" w:hAnsi="仿宋" w:eastAsia="仿宋" w:cs="仿宋"/>
          <w:color w:val="auto"/>
          <w:sz w:val="24"/>
          <w:szCs w:val="24"/>
          <w:highlight w:val="none"/>
        </w:rPr>
      </w:pPr>
    </w:p>
    <w:p w14:paraId="7863E6C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5B683CB5">
      <w:pPr>
        <w:spacing w:line="360" w:lineRule="auto"/>
        <w:rPr>
          <w:rFonts w:hint="eastAsia" w:ascii="仿宋" w:hAnsi="仿宋" w:eastAsia="仿宋" w:cs="仿宋"/>
          <w:color w:val="auto"/>
          <w:sz w:val="24"/>
          <w:szCs w:val="24"/>
          <w:highlight w:val="none"/>
        </w:rPr>
      </w:pPr>
    </w:p>
    <w:p w14:paraId="10FCE28B">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56D6DFA2">
      <w:pPr>
        <w:pStyle w:val="68"/>
        <w:rPr>
          <w:rFonts w:hint="eastAsia" w:ascii="仿宋" w:hAnsi="仿宋" w:eastAsia="仿宋" w:cs="仿宋"/>
          <w:color w:val="auto"/>
          <w:highlight w:val="none"/>
        </w:rPr>
      </w:pPr>
    </w:p>
    <w:p w14:paraId="7C6519C1">
      <w:pPr>
        <w:spacing w:line="360" w:lineRule="auto"/>
        <w:jc w:val="both"/>
        <w:rPr>
          <w:rFonts w:hint="eastAsia" w:ascii="仿宋" w:hAnsi="仿宋" w:eastAsia="仿宋" w:cs="仿宋"/>
          <w:b/>
          <w:bCs/>
          <w:color w:val="auto"/>
          <w:kern w:val="2"/>
          <w:sz w:val="28"/>
          <w:szCs w:val="32"/>
          <w:highlight w:val="none"/>
          <w:lang w:val="en-US" w:eastAsia="zh-CN" w:bidi="ar-SA"/>
        </w:rPr>
      </w:pPr>
    </w:p>
    <w:p w14:paraId="52F8CB94">
      <w:pPr>
        <w:spacing w:line="240" w:lineRule="auto"/>
        <w:jc w:val="center"/>
        <w:rPr>
          <w:rFonts w:hint="eastAsia" w:ascii="仿宋" w:hAnsi="仿宋" w:eastAsia="仿宋" w:cs="仿宋"/>
          <w:b/>
          <w:bCs/>
          <w:color w:val="auto"/>
          <w:kern w:val="2"/>
          <w:sz w:val="24"/>
          <w:szCs w:val="28"/>
          <w:highlight w:val="none"/>
          <w:lang w:val="en-US" w:eastAsia="zh-CN" w:bidi="ar-SA"/>
        </w:rPr>
      </w:pPr>
    </w:p>
    <w:p w14:paraId="3A48A1AF">
      <w:pPr>
        <w:spacing w:line="360" w:lineRule="auto"/>
        <w:jc w:val="center"/>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七、近三年类似业绩及相关证明材料</w:t>
      </w:r>
    </w:p>
    <w:p w14:paraId="046A5479">
      <w:pPr>
        <w:spacing w:line="240" w:lineRule="auto"/>
        <w:rPr>
          <w:rFonts w:hint="eastAsia" w:ascii="仿宋" w:hAnsi="仿宋" w:eastAsia="仿宋" w:cs="仿宋"/>
          <w:color w:val="auto"/>
          <w:sz w:val="24"/>
          <w:szCs w:val="24"/>
          <w:highlight w:val="none"/>
        </w:rPr>
      </w:pPr>
    </w:p>
    <w:p w14:paraId="58E4BBF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0E7F0477">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tbl>
      <w:tblPr>
        <w:tblStyle w:val="29"/>
        <w:tblW w:w="10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8"/>
        <w:gridCol w:w="1596"/>
        <w:gridCol w:w="1700"/>
        <w:gridCol w:w="1615"/>
        <w:gridCol w:w="1258"/>
        <w:gridCol w:w="1823"/>
        <w:gridCol w:w="1200"/>
        <w:gridCol w:w="720"/>
      </w:tblGrid>
      <w:tr w14:paraId="7C7B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708" w:type="dxa"/>
            <w:tcBorders>
              <w:top w:val="single" w:color="auto" w:sz="6" w:space="0"/>
              <w:left w:val="single" w:color="auto" w:sz="6" w:space="0"/>
              <w:bottom w:val="single" w:color="auto" w:sz="6" w:space="0"/>
              <w:right w:val="single" w:color="auto" w:sz="6" w:space="0"/>
            </w:tcBorders>
            <w:vAlign w:val="center"/>
          </w:tcPr>
          <w:p w14:paraId="32ABF53A">
            <w:pPr>
              <w:pStyle w:val="12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596" w:type="dxa"/>
            <w:tcBorders>
              <w:top w:val="single" w:color="auto" w:sz="6" w:space="0"/>
              <w:left w:val="single" w:color="auto" w:sz="6" w:space="0"/>
              <w:bottom w:val="single" w:color="auto" w:sz="6" w:space="0"/>
              <w:right w:val="single" w:color="auto" w:sz="6" w:space="0"/>
            </w:tcBorders>
            <w:vAlign w:val="center"/>
          </w:tcPr>
          <w:p w14:paraId="31C63FAF">
            <w:pPr>
              <w:pStyle w:val="12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w:t>
            </w:r>
          </w:p>
        </w:tc>
        <w:tc>
          <w:tcPr>
            <w:tcW w:w="1700" w:type="dxa"/>
            <w:tcBorders>
              <w:top w:val="single" w:color="auto" w:sz="6" w:space="0"/>
              <w:left w:val="single" w:color="auto" w:sz="6" w:space="0"/>
              <w:bottom w:val="single" w:color="auto" w:sz="6" w:space="0"/>
              <w:right w:val="single" w:color="auto" w:sz="6" w:space="0"/>
            </w:tcBorders>
            <w:vAlign w:val="center"/>
          </w:tcPr>
          <w:p w14:paraId="70F3A899">
            <w:pPr>
              <w:pStyle w:val="12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项目单位名称</w:t>
            </w:r>
          </w:p>
        </w:tc>
        <w:tc>
          <w:tcPr>
            <w:tcW w:w="1615" w:type="dxa"/>
            <w:tcBorders>
              <w:top w:val="single" w:color="auto" w:sz="6" w:space="0"/>
              <w:left w:val="single" w:color="auto" w:sz="6" w:space="0"/>
              <w:bottom w:val="single" w:color="auto" w:sz="6" w:space="0"/>
              <w:right w:val="single" w:color="auto" w:sz="6" w:space="0"/>
            </w:tcBorders>
            <w:vAlign w:val="center"/>
          </w:tcPr>
          <w:p w14:paraId="4A9D051E">
            <w:pPr>
              <w:pStyle w:val="12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项目内容</w:t>
            </w:r>
          </w:p>
        </w:tc>
        <w:tc>
          <w:tcPr>
            <w:tcW w:w="1258" w:type="dxa"/>
            <w:tcBorders>
              <w:top w:val="single" w:color="auto" w:sz="6" w:space="0"/>
              <w:left w:val="single" w:color="auto" w:sz="6" w:space="0"/>
              <w:bottom w:val="single" w:color="auto" w:sz="6" w:space="0"/>
              <w:right w:val="single" w:color="auto" w:sz="6" w:space="0"/>
            </w:tcBorders>
            <w:vAlign w:val="center"/>
          </w:tcPr>
          <w:p w14:paraId="56DA4D00">
            <w:pPr>
              <w:pStyle w:val="12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合同金额</w:t>
            </w:r>
          </w:p>
        </w:tc>
        <w:tc>
          <w:tcPr>
            <w:tcW w:w="1823" w:type="dxa"/>
            <w:tcBorders>
              <w:top w:val="single" w:color="auto" w:sz="6" w:space="0"/>
              <w:left w:val="single" w:color="auto" w:sz="6" w:space="0"/>
              <w:bottom w:val="single" w:color="auto" w:sz="6" w:space="0"/>
              <w:right w:val="single" w:color="auto" w:sz="6" w:space="0"/>
            </w:tcBorders>
            <w:vAlign w:val="center"/>
          </w:tcPr>
          <w:p w14:paraId="3D971B7F">
            <w:pPr>
              <w:pStyle w:val="12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项目单位联系人及联系方式</w:t>
            </w:r>
          </w:p>
        </w:tc>
        <w:tc>
          <w:tcPr>
            <w:tcW w:w="1200" w:type="dxa"/>
            <w:tcBorders>
              <w:top w:val="single" w:color="auto" w:sz="6" w:space="0"/>
              <w:left w:val="single" w:color="auto" w:sz="6" w:space="0"/>
              <w:bottom w:val="single" w:color="auto" w:sz="6" w:space="0"/>
              <w:right w:val="single" w:color="auto" w:sz="6" w:space="0"/>
            </w:tcBorders>
            <w:vAlign w:val="center"/>
          </w:tcPr>
          <w:p w14:paraId="1E904ECC">
            <w:pPr>
              <w:pStyle w:val="121"/>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服务期限</w:t>
            </w:r>
          </w:p>
        </w:tc>
        <w:tc>
          <w:tcPr>
            <w:tcW w:w="720" w:type="dxa"/>
            <w:tcBorders>
              <w:top w:val="single" w:color="auto" w:sz="6" w:space="0"/>
              <w:left w:val="single" w:color="auto" w:sz="6" w:space="0"/>
              <w:bottom w:val="single" w:color="auto" w:sz="6" w:space="0"/>
              <w:right w:val="single" w:color="auto" w:sz="6" w:space="0"/>
            </w:tcBorders>
            <w:vAlign w:val="center"/>
          </w:tcPr>
          <w:p w14:paraId="6533C08C">
            <w:pPr>
              <w:pStyle w:val="12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51B8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vAlign w:val="top"/>
          </w:tcPr>
          <w:p w14:paraId="6E2BC56C">
            <w:pPr>
              <w:pStyle w:val="121"/>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vAlign w:val="top"/>
          </w:tcPr>
          <w:p w14:paraId="398880BA">
            <w:pPr>
              <w:pStyle w:val="121"/>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top"/>
          </w:tcPr>
          <w:p w14:paraId="095ED484">
            <w:pPr>
              <w:pStyle w:val="121"/>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vAlign w:val="top"/>
          </w:tcPr>
          <w:p w14:paraId="0532630D">
            <w:pPr>
              <w:pStyle w:val="121"/>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vAlign w:val="top"/>
          </w:tcPr>
          <w:p w14:paraId="63BD307D">
            <w:pPr>
              <w:pStyle w:val="121"/>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vAlign w:val="top"/>
          </w:tcPr>
          <w:p w14:paraId="35DE600C">
            <w:pPr>
              <w:pStyle w:val="121"/>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vAlign w:val="top"/>
          </w:tcPr>
          <w:p w14:paraId="0D175389">
            <w:pPr>
              <w:pStyle w:val="121"/>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vAlign w:val="top"/>
          </w:tcPr>
          <w:p w14:paraId="40201826">
            <w:pPr>
              <w:pStyle w:val="121"/>
              <w:rPr>
                <w:rFonts w:hint="eastAsia" w:ascii="仿宋" w:hAnsi="仿宋" w:eastAsia="仿宋" w:cs="仿宋"/>
                <w:color w:val="auto"/>
                <w:sz w:val="24"/>
                <w:szCs w:val="24"/>
                <w:highlight w:val="none"/>
              </w:rPr>
            </w:pPr>
          </w:p>
        </w:tc>
      </w:tr>
      <w:tr w14:paraId="10A1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vAlign w:val="top"/>
          </w:tcPr>
          <w:p w14:paraId="1840F6B9">
            <w:pPr>
              <w:pStyle w:val="121"/>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vAlign w:val="top"/>
          </w:tcPr>
          <w:p w14:paraId="3469F6E2">
            <w:pPr>
              <w:pStyle w:val="121"/>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top"/>
          </w:tcPr>
          <w:p w14:paraId="63EC6092">
            <w:pPr>
              <w:pStyle w:val="121"/>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vAlign w:val="top"/>
          </w:tcPr>
          <w:p w14:paraId="0525FA40">
            <w:pPr>
              <w:pStyle w:val="121"/>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vAlign w:val="top"/>
          </w:tcPr>
          <w:p w14:paraId="7A6C7C5E">
            <w:pPr>
              <w:pStyle w:val="121"/>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vAlign w:val="top"/>
          </w:tcPr>
          <w:p w14:paraId="4C0E2B3A">
            <w:pPr>
              <w:pStyle w:val="121"/>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vAlign w:val="top"/>
          </w:tcPr>
          <w:p w14:paraId="2BDE2EFE">
            <w:pPr>
              <w:pStyle w:val="121"/>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vAlign w:val="top"/>
          </w:tcPr>
          <w:p w14:paraId="6ACAD986">
            <w:pPr>
              <w:pStyle w:val="121"/>
              <w:rPr>
                <w:rFonts w:hint="eastAsia" w:ascii="仿宋" w:hAnsi="仿宋" w:eastAsia="仿宋" w:cs="仿宋"/>
                <w:color w:val="auto"/>
                <w:sz w:val="24"/>
                <w:szCs w:val="24"/>
                <w:highlight w:val="none"/>
              </w:rPr>
            </w:pPr>
          </w:p>
        </w:tc>
      </w:tr>
      <w:tr w14:paraId="0B6D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vAlign w:val="top"/>
          </w:tcPr>
          <w:p w14:paraId="2B171080">
            <w:pPr>
              <w:pStyle w:val="121"/>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vAlign w:val="top"/>
          </w:tcPr>
          <w:p w14:paraId="0F79F3C4">
            <w:pPr>
              <w:pStyle w:val="121"/>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top"/>
          </w:tcPr>
          <w:p w14:paraId="67F7ED71">
            <w:pPr>
              <w:pStyle w:val="121"/>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vAlign w:val="top"/>
          </w:tcPr>
          <w:p w14:paraId="26310CD7">
            <w:pPr>
              <w:pStyle w:val="121"/>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vAlign w:val="top"/>
          </w:tcPr>
          <w:p w14:paraId="59A0A298">
            <w:pPr>
              <w:pStyle w:val="121"/>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vAlign w:val="top"/>
          </w:tcPr>
          <w:p w14:paraId="4499835F">
            <w:pPr>
              <w:pStyle w:val="121"/>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vAlign w:val="top"/>
          </w:tcPr>
          <w:p w14:paraId="1CF83093">
            <w:pPr>
              <w:pStyle w:val="121"/>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vAlign w:val="top"/>
          </w:tcPr>
          <w:p w14:paraId="0228B33F">
            <w:pPr>
              <w:pStyle w:val="121"/>
              <w:rPr>
                <w:rFonts w:hint="eastAsia" w:ascii="仿宋" w:hAnsi="仿宋" w:eastAsia="仿宋" w:cs="仿宋"/>
                <w:color w:val="auto"/>
                <w:sz w:val="24"/>
                <w:szCs w:val="24"/>
                <w:highlight w:val="none"/>
              </w:rPr>
            </w:pPr>
          </w:p>
        </w:tc>
      </w:tr>
      <w:tr w14:paraId="0DD6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vAlign w:val="top"/>
          </w:tcPr>
          <w:p w14:paraId="0236FF41">
            <w:pPr>
              <w:pStyle w:val="121"/>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vAlign w:val="top"/>
          </w:tcPr>
          <w:p w14:paraId="730CED2B">
            <w:pPr>
              <w:pStyle w:val="121"/>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top"/>
          </w:tcPr>
          <w:p w14:paraId="5815BCAA">
            <w:pPr>
              <w:pStyle w:val="121"/>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vAlign w:val="top"/>
          </w:tcPr>
          <w:p w14:paraId="5A0DFAF4">
            <w:pPr>
              <w:pStyle w:val="121"/>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vAlign w:val="top"/>
          </w:tcPr>
          <w:p w14:paraId="577DF34E">
            <w:pPr>
              <w:pStyle w:val="121"/>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vAlign w:val="top"/>
          </w:tcPr>
          <w:p w14:paraId="3105B1AE">
            <w:pPr>
              <w:pStyle w:val="121"/>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vAlign w:val="top"/>
          </w:tcPr>
          <w:p w14:paraId="1F4A053C">
            <w:pPr>
              <w:pStyle w:val="121"/>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vAlign w:val="top"/>
          </w:tcPr>
          <w:p w14:paraId="565C9D52">
            <w:pPr>
              <w:pStyle w:val="121"/>
              <w:rPr>
                <w:rFonts w:hint="eastAsia" w:ascii="仿宋" w:hAnsi="仿宋" w:eastAsia="仿宋" w:cs="仿宋"/>
                <w:color w:val="auto"/>
                <w:sz w:val="24"/>
                <w:szCs w:val="24"/>
                <w:highlight w:val="none"/>
              </w:rPr>
            </w:pPr>
          </w:p>
        </w:tc>
      </w:tr>
      <w:tr w14:paraId="2945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vAlign w:val="top"/>
          </w:tcPr>
          <w:p w14:paraId="5702401C">
            <w:pPr>
              <w:pStyle w:val="121"/>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vAlign w:val="top"/>
          </w:tcPr>
          <w:p w14:paraId="2BBBF705">
            <w:pPr>
              <w:pStyle w:val="121"/>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top"/>
          </w:tcPr>
          <w:p w14:paraId="4E0A714F">
            <w:pPr>
              <w:pStyle w:val="121"/>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vAlign w:val="top"/>
          </w:tcPr>
          <w:p w14:paraId="77F57D4D">
            <w:pPr>
              <w:pStyle w:val="121"/>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vAlign w:val="top"/>
          </w:tcPr>
          <w:p w14:paraId="24B7D37E">
            <w:pPr>
              <w:pStyle w:val="121"/>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vAlign w:val="top"/>
          </w:tcPr>
          <w:p w14:paraId="0235341D">
            <w:pPr>
              <w:pStyle w:val="121"/>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vAlign w:val="top"/>
          </w:tcPr>
          <w:p w14:paraId="657C18C7">
            <w:pPr>
              <w:pStyle w:val="121"/>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vAlign w:val="top"/>
          </w:tcPr>
          <w:p w14:paraId="448D74A9">
            <w:pPr>
              <w:pStyle w:val="121"/>
              <w:rPr>
                <w:rFonts w:hint="eastAsia" w:ascii="仿宋" w:hAnsi="仿宋" w:eastAsia="仿宋" w:cs="仿宋"/>
                <w:color w:val="auto"/>
                <w:sz w:val="24"/>
                <w:szCs w:val="24"/>
                <w:highlight w:val="none"/>
              </w:rPr>
            </w:pPr>
          </w:p>
        </w:tc>
      </w:tr>
      <w:tr w14:paraId="708E6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vAlign w:val="top"/>
          </w:tcPr>
          <w:p w14:paraId="2DE0F815">
            <w:pPr>
              <w:pStyle w:val="121"/>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vAlign w:val="top"/>
          </w:tcPr>
          <w:p w14:paraId="22CBE1CB">
            <w:pPr>
              <w:pStyle w:val="121"/>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top"/>
          </w:tcPr>
          <w:p w14:paraId="6B6FC63C">
            <w:pPr>
              <w:pStyle w:val="121"/>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vAlign w:val="top"/>
          </w:tcPr>
          <w:p w14:paraId="77B100E5">
            <w:pPr>
              <w:pStyle w:val="121"/>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vAlign w:val="top"/>
          </w:tcPr>
          <w:p w14:paraId="360D8611">
            <w:pPr>
              <w:pStyle w:val="121"/>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vAlign w:val="top"/>
          </w:tcPr>
          <w:p w14:paraId="1C087F58">
            <w:pPr>
              <w:pStyle w:val="121"/>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vAlign w:val="top"/>
          </w:tcPr>
          <w:p w14:paraId="004F7EDD">
            <w:pPr>
              <w:pStyle w:val="121"/>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vAlign w:val="top"/>
          </w:tcPr>
          <w:p w14:paraId="07CCFE4D">
            <w:pPr>
              <w:pStyle w:val="121"/>
              <w:rPr>
                <w:rFonts w:hint="eastAsia" w:ascii="仿宋" w:hAnsi="仿宋" w:eastAsia="仿宋" w:cs="仿宋"/>
                <w:color w:val="auto"/>
                <w:sz w:val="24"/>
                <w:szCs w:val="24"/>
                <w:highlight w:val="none"/>
              </w:rPr>
            </w:pPr>
          </w:p>
        </w:tc>
      </w:tr>
      <w:tr w14:paraId="5D09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vAlign w:val="top"/>
          </w:tcPr>
          <w:p w14:paraId="472556FE">
            <w:pPr>
              <w:pStyle w:val="121"/>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vAlign w:val="top"/>
          </w:tcPr>
          <w:p w14:paraId="065A0C91">
            <w:pPr>
              <w:pStyle w:val="121"/>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top"/>
          </w:tcPr>
          <w:p w14:paraId="3EECB994">
            <w:pPr>
              <w:pStyle w:val="121"/>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vAlign w:val="top"/>
          </w:tcPr>
          <w:p w14:paraId="63C0F78A">
            <w:pPr>
              <w:pStyle w:val="121"/>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vAlign w:val="top"/>
          </w:tcPr>
          <w:p w14:paraId="168C1A5C">
            <w:pPr>
              <w:pStyle w:val="121"/>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vAlign w:val="top"/>
          </w:tcPr>
          <w:p w14:paraId="0100C268">
            <w:pPr>
              <w:pStyle w:val="121"/>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vAlign w:val="top"/>
          </w:tcPr>
          <w:p w14:paraId="6DC325C1">
            <w:pPr>
              <w:pStyle w:val="121"/>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vAlign w:val="top"/>
          </w:tcPr>
          <w:p w14:paraId="5EA1F9F9">
            <w:pPr>
              <w:pStyle w:val="121"/>
              <w:rPr>
                <w:rFonts w:hint="eastAsia" w:ascii="仿宋" w:hAnsi="仿宋" w:eastAsia="仿宋" w:cs="仿宋"/>
                <w:color w:val="auto"/>
                <w:sz w:val="24"/>
                <w:szCs w:val="24"/>
                <w:highlight w:val="none"/>
              </w:rPr>
            </w:pPr>
          </w:p>
        </w:tc>
      </w:tr>
      <w:tr w14:paraId="4F12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vAlign w:val="top"/>
          </w:tcPr>
          <w:p w14:paraId="5827F683">
            <w:pPr>
              <w:pStyle w:val="121"/>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vAlign w:val="top"/>
          </w:tcPr>
          <w:p w14:paraId="00F1BE9C">
            <w:pPr>
              <w:pStyle w:val="121"/>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top"/>
          </w:tcPr>
          <w:p w14:paraId="4AB1905C">
            <w:pPr>
              <w:pStyle w:val="121"/>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vAlign w:val="top"/>
          </w:tcPr>
          <w:p w14:paraId="6A7803F4">
            <w:pPr>
              <w:pStyle w:val="121"/>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vAlign w:val="top"/>
          </w:tcPr>
          <w:p w14:paraId="71D60C9D">
            <w:pPr>
              <w:pStyle w:val="121"/>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vAlign w:val="top"/>
          </w:tcPr>
          <w:p w14:paraId="39910E22">
            <w:pPr>
              <w:pStyle w:val="121"/>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vAlign w:val="top"/>
          </w:tcPr>
          <w:p w14:paraId="46496541">
            <w:pPr>
              <w:pStyle w:val="121"/>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vAlign w:val="top"/>
          </w:tcPr>
          <w:p w14:paraId="4DE79DF7">
            <w:pPr>
              <w:pStyle w:val="121"/>
              <w:rPr>
                <w:rFonts w:hint="eastAsia" w:ascii="仿宋" w:hAnsi="仿宋" w:eastAsia="仿宋" w:cs="仿宋"/>
                <w:color w:val="auto"/>
                <w:sz w:val="24"/>
                <w:szCs w:val="24"/>
                <w:highlight w:val="none"/>
              </w:rPr>
            </w:pPr>
          </w:p>
        </w:tc>
      </w:tr>
      <w:tr w14:paraId="055A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vAlign w:val="top"/>
          </w:tcPr>
          <w:p w14:paraId="3215B5B1">
            <w:pPr>
              <w:pStyle w:val="121"/>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vAlign w:val="top"/>
          </w:tcPr>
          <w:p w14:paraId="37C87F81">
            <w:pPr>
              <w:pStyle w:val="121"/>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top"/>
          </w:tcPr>
          <w:p w14:paraId="78C1B7E8">
            <w:pPr>
              <w:pStyle w:val="121"/>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vAlign w:val="top"/>
          </w:tcPr>
          <w:p w14:paraId="446B52E3">
            <w:pPr>
              <w:pStyle w:val="121"/>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vAlign w:val="top"/>
          </w:tcPr>
          <w:p w14:paraId="64394980">
            <w:pPr>
              <w:pStyle w:val="121"/>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vAlign w:val="top"/>
          </w:tcPr>
          <w:p w14:paraId="34C4FD9E">
            <w:pPr>
              <w:pStyle w:val="121"/>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vAlign w:val="top"/>
          </w:tcPr>
          <w:p w14:paraId="02A7F391">
            <w:pPr>
              <w:pStyle w:val="121"/>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vAlign w:val="top"/>
          </w:tcPr>
          <w:p w14:paraId="16806C56">
            <w:pPr>
              <w:pStyle w:val="121"/>
              <w:rPr>
                <w:rFonts w:hint="eastAsia" w:ascii="仿宋" w:hAnsi="仿宋" w:eastAsia="仿宋" w:cs="仿宋"/>
                <w:color w:val="auto"/>
                <w:sz w:val="24"/>
                <w:szCs w:val="24"/>
                <w:highlight w:val="none"/>
              </w:rPr>
            </w:pPr>
          </w:p>
        </w:tc>
      </w:tr>
      <w:tr w14:paraId="0109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vAlign w:val="top"/>
          </w:tcPr>
          <w:p w14:paraId="59799E2D">
            <w:pPr>
              <w:pStyle w:val="121"/>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vAlign w:val="top"/>
          </w:tcPr>
          <w:p w14:paraId="1C12D640">
            <w:pPr>
              <w:pStyle w:val="121"/>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top"/>
          </w:tcPr>
          <w:p w14:paraId="76955659">
            <w:pPr>
              <w:pStyle w:val="121"/>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vAlign w:val="top"/>
          </w:tcPr>
          <w:p w14:paraId="05081B73">
            <w:pPr>
              <w:pStyle w:val="121"/>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vAlign w:val="top"/>
          </w:tcPr>
          <w:p w14:paraId="2D4ADE94">
            <w:pPr>
              <w:pStyle w:val="121"/>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vAlign w:val="top"/>
          </w:tcPr>
          <w:p w14:paraId="1170424E">
            <w:pPr>
              <w:pStyle w:val="121"/>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vAlign w:val="top"/>
          </w:tcPr>
          <w:p w14:paraId="49AB36F5">
            <w:pPr>
              <w:pStyle w:val="121"/>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vAlign w:val="top"/>
          </w:tcPr>
          <w:p w14:paraId="1FFABBA8">
            <w:pPr>
              <w:pStyle w:val="121"/>
              <w:rPr>
                <w:rFonts w:hint="eastAsia" w:ascii="仿宋" w:hAnsi="仿宋" w:eastAsia="仿宋" w:cs="仿宋"/>
                <w:color w:val="auto"/>
                <w:sz w:val="24"/>
                <w:szCs w:val="24"/>
                <w:highlight w:val="none"/>
              </w:rPr>
            </w:pPr>
          </w:p>
        </w:tc>
      </w:tr>
      <w:tr w14:paraId="04F4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vAlign w:val="top"/>
          </w:tcPr>
          <w:p w14:paraId="6C03467D">
            <w:pPr>
              <w:pStyle w:val="121"/>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vAlign w:val="top"/>
          </w:tcPr>
          <w:p w14:paraId="102C7F67">
            <w:pPr>
              <w:pStyle w:val="121"/>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top"/>
          </w:tcPr>
          <w:p w14:paraId="385DDE61">
            <w:pPr>
              <w:pStyle w:val="121"/>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vAlign w:val="top"/>
          </w:tcPr>
          <w:p w14:paraId="621916B2">
            <w:pPr>
              <w:pStyle w:val="121"/>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vAlign w:val="top"/>
          </w:tcPr>
          <w:p w14:paraId="5F158234">
            <w:pPr>
              <w:pStyle w:val="121"/>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vAlign w:val="top"/>
          </w:tcPr>
          <w:p w14:paraId="2BFC7701">
            <w:pPr>
              <w:pStyle w:val="121"/>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vAlign w:val="top"/>
          </w:tcPr>
          <w:p w14:paraId="245DFFD8">
            <w:pPr>
              <w:pStyle w:val="121"/>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vAlign w:val="top"/>
          </w:tcPr>
          <w:p w14:paraId="2B154988">
            <w:pPr>
              <w:pStyle w:val="121"/>
              <w:rPr>
                <w:rFonts w:hint="eastAsia" w:ascii="仿宋" w:hAnsi="仿宋" w:eastAsia="仿宋" w:cs="仿宋"/>
                <w:color w:val="auto"/>
                <w:sz w:val="24"/>
                <w:szCs w:val="24"/>
                <w:highlight w:val="none"/>
              </w:rPr>
            </w:pPr>
          </w:p>
        </w:tc>
      </w:tr>
      <w:tr w14:paraId="66583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vAlign w:val="top"/>
          </w:tcPr>
          <w:p w14:paraId="001C4E5D">
            <w:pPr>
              <w:pStyle w:val="121"/>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vAlign w:val="top"/>
          </w:tcPr>
          <w:p w14:paraId="49E969F4">
            <w:pPr>
              <w:pStyle w:val="121"/>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top"/>
          </w:tcPr>
          <w:p w14:paraId="1857C2A8">
            <w:pPr>
              <w:pStyle w:val="121"/>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vAlign w:val="top"/>
          </w:tcPr>
          <w:p w14:paraId="66AE9DBE">
            <w:pPr>
              <w:pStyle w:val="121"/>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vAlign w:val="top"/>
          </w:tcPr>
          <w:p w14:paraId="5EE859BA">
            <w:pPr>
              <w:pStyle w:val="121"/>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vAlign w:val="top"/>
          </w:tcPr>
          <w:p w14:paraId="39A475A3">
            <w:pPr>
              <w:pStyle w:val="121"/>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vAlign w:val="top"/>
          </w:tcPr>
          <w:p w14:paraId="5B887662">
            <w:pPr>
              <w:pStyle w:val="121"/>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vAlign w:val="top"/>
          </w:tcPr>
          <w:p w14:paraId="789102C3">
            <w:pPr>
              <w:pStyle w:val="121"/>
              <w:rPr>
                <w:rFonts w:hint="eastAsia" w:ascii="仿宋" w:hAnsi="仿宋" w:eastAsia="仿宋" w:cs="仿宋"/>
                <w:color w:val="auto"/>
                <w:sz w:val="24"/>
                <w:szCs w:val="24"/>
                <w:highlight w:val="none"/>
              </w:rPr>
            </w:pPr>
          </w:p>
        </w:tc>
      </w:tr>
    </w:tbl>
    <w:p w14:paraId="2D609409">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color w:val="auto"/>
          <w:sz w:val="24"/>
          <w:szCs w:val="24"/>
          <w:highlight w:val="none"/>
        </w:rPr>
        <w:t>以上业绩</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rPr>
        <w:t>附相关证明材料</w:t>
      </w:r>
      <w:r>
        <w:rPr>
          <w:rFonts w:hint="eastAsia" w:ascii="仿宋" w:hAnsi="仿宋" w:eastAsia="仿宋" w:cs="仿宋"/>
          <w:color w:val="auto"/>
          <w:sz w:val="24"/>
          <w:szCs w:val="24"/>
          <w:highlight w:val="none"/>
          <w:lang w:eastAsia="zh-CN"/>
        </w:rPr>
        <w:t>（具体详见评标标准）</w:t>
      </w:r>
      <w:r>
        <w:rPr>
          <w:rFonts w:hint="eastAsia" w:ascii="仿宋" w:hAnsi="仿宋" w:eastAsia="仿宋" w:cs="仿宋"/>
          <w:color w:val="auto"/>
          <w:sz w:val="24"/>
          <w:szCs w:val="24"/>
          <w:highlight w:val="none"/>
        </w:rPr>
        <w:t>，否则专家在评审时将不予采信；</w:t>
      </w:r>
    </w:p>
    <w:p w14:paraId="6AC0D7B6">
      <w:pPr>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项目内容请详细说明所承担的具体采购内容</w:t>
      </w:r>
      <w:r>
        <w:rPr>
          <w:rFonts w:hint="eastAsia" w:ascii="仿宋" w:hAnsi="仿宋" w:eastAsia="仿宋" w:cs="仿宋"/>
          <w:color w:val="auto"/>
          <w:sz w:val="24"/>
          <w:szCs w:val="24"/>
          <w:highlight w:val="none"/>
          <w:lang w:eastAsia="zh-CN"/>
        </w:rPr>
        <w:t>。</w:t>
      </w:r>
    </w:p>
    <w:p w14:paraId="2693D3CF">
      <w:pPr>
        <w:spacing w:line="360" w:lineRule="auto"/>
        <w:jc w:val="both"/>
        <w:rPr>
          <w:rFonts w:hint="eastAsia" w:ascii="仿宋" w:hAnsi="仿宋" w:eastAsia="仿宋" w:cs="仿宋"/>
          <w:color w:val="auto"/>
          <w:sz w:val="24"/>
          <w:szCs w:val="24"/>
          <w:highlight w:val="none"/>
        </w:rPr>
      </w:pPr>
    </w:p>
    <w:p w14:paraId="58D38023">
      <w:pPr>
        <w:pStyle w:val="14"/>
        <w:rPr>
          <w:rFonts w:hint="eastAsia" w:ascii="仿宋" w:hAnsi="仿宋" w:eastAsia="仿宋" w:cs="仿宋"/>
          <w:color w:val="auto"/>
          <w:highlight w:val="none"/>
        </w:rPr>
      </w:pPr>
    </w:p>
    <w:p w14:paraId="55CBE6EE">
      <w:pPr>
        <w:rPr>
          <w:rFonts w:hint="eastAsia" w:ascii="仿宋" w:hAnsi="仿宋" w:eastAsia="仿宋" w:cs="仿宋"/>
          <w:color w:val="auto"/>
          <w:highlight w:val="none"/>
        </w:rPr>
      </w:pPr>
    </w:p>
    <w:p w14:paraId="541E73D4">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3BEF09DB">
      <w:pPr>
        <w:spacing w:line="360" w:lineRule="auto"/>
        <w:ind w:firstLine="4080" w:firstLineChars="1700"/>
        <w:rPr>
          <w:rFonts w:hint="eastAsia" w:ascii="仿宋" w:hAnsi="仿宋" w:eastAsia="仿宋" w:cs="仿宋"/>
          <w:color w:val="auto"/>
          <w:sz w:val="24"/>
          <w:szCs w:val="24"/>
          <w:highlight w:val="none"/>
        </w:rPr>
      </w:pPr>
    </w:p>
    <w:p w14:paraId="457EDA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4B780F41">
      <w:pPr>
        <w:spacing w:line="360" w:lineRule="auto"/>
        <w:rPr>
          <w:rFonts w:hint="eastAsia" w:ascii="仿宋" w:hAnsi="仿宋" w:eastAsia="仿宋" w:cs="仿宋"/>
          <w:color w:val="auto"/>
          <w:sz w:val="24"/>
          <w:szCs w:val="24"/>
          <w:highlight w:val="none"/>
        </w:rPr>
      </w:pPr>
    </w:p>
    <w:p w14:paraId="5E527A72">
      <w:pPr>
        <w:spacing w:line="360" w:lineRule="auto"/>
        <w:ind w:firstLine="960" w:firstLineChars="4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14:paraId="69BA160C">
      <w:pPr>
        <w:pStyle w:val="3"/>
        <w:numPr>
          <w:ilvl w:val="0"/>
          <w:numId w:val="0"/>
        </w:numPr>
        <w:spacing w:before="156" w:after="156" w:line="360" w:lineRule="auto"/>
        <w:jc w:val="center"/>
        <w:rPr>
          <w:rFonts w:hint="eastAsia" w:ascii="仿宋" w:hAnsi="仿宋" w:eastAsia="仿宋" w:cs="仿宋"/>
          <w:color w:val="auto"/>
          <w:highlight w:val="none"/>
        </w:rPr>
        <w:sectPr>
          <w:headerReference r:id="rId6" w:type="default"/>
          <w:footerReference r:id="rId7" w:type="default"/>
          <w:pgSz w:w="11906" w:h="16838"/>
          <w:pgMar w:top="1191" w:right="1417" w:bottom="1191" w:left="1417" w:header="737" w:footer="737" w:gutter="0"/>
          <w:pgBorders>
            <w:top w:val="none" w:sz="0" w:space="0"/>
            <w:left w:val="none" w:sz="0" w:space="0"/>
            <w:bottom w:val="none" w:sz="0" w:space="0"/>
            <w:right w:val="none" w:sz="0" w:space="0"/>
          </w:pgBorders>
          <w:pgNumType w:fmt="decimal"/>
          <w:cols w:space="720" w:num="1"/>
          <w:rtlGutter w:val="0"/>
          <w:docGrid w:linePitch="312" w:charSpace="0"/>
        </w:sectPr>
      </w:pPr>
    </w:p>
    <w:p w14:paraId="07E30777">
      <w:pPr>
        <w:pStyle w:val="14"/>
        <w:numPr>
          <w:ilvl w:val="0"/>
          <w:numId w:val="0"/>
        </w:numPr>
        <w:jc w:val="center"/>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八、项目负责人简介表</w:t>
      </w:r>
    </w:p>
    <w:p w14:paraId="77D4C69C">
      <w:pPr>
        <w:pStyle w:val="14"/>
        <w:numPr>
          <w:ilvl w:val="0"/>
          <w:numId w:val="0"/>
        </w:numPr>
        <w:spacing w:line="240" w:lineRule="auto"/>
        <w:jc w:val="both"/>
        <w:rPr>
          <w:rFonts w:hint="eastAsia" w:ascii="仿宋" w:hAnsi="仿宋" w:eastAsia="仿宋" w:cs="仿宋"/>
          <w:b/>
          <w:bCs/>
          <w:color w:val="auto"/>
          <w:kern w:val="2"/>
          <w:sz w:val="22"/>
          <w:szCs w:val="24"/>
          <w:highlight w:val="none"/>
          <w:lang w:val="en-US" w:eastAsia="zh-CN" w:bidi="ar-SA"/>
        </w:rPr>
      </w:pPr>
    </w:p>
    <w:tbl>
      <w:tblPr>
        <w:tblStyle w:val="29"/>
        <w:tblW w:w="9288" w:type="dxa"/>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autofit"/>
        <w:tblCellMar>
          <w:top w:w="15" w:type="dxa"/>
          <w:left w:w="15" w:type="dxa"/>
          <w:bottom w:w="15" w:type="dxa"/>
          <w:right w:w="15" w:type="dxa"/>
        </w:tblCellMar>
      </w:tblPr>
      <w:tblGrid>
        <w:gridCol w:w="681"/>
        <w:gridCol w:w="1640"/>
        <w:gridCol w:w="3826"/>
        <w:gridCol w:w="3141"/>
      </w:tblGrid>
      <w:tr w14:paraId="6F5EE8A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0" w:hRule="atLeast"/>
          <w:jc w:val="center"/>
        </w:trPr>
        <w:tc>
          <w:tcPr>
            <w:tcW w:w="681" w:type="dxa"/>
            <w:tcBorders>
              <w:tl2br w:val="nil"/>
              <w:tr2bl w:val="nil"/>
            </w:tcBorders>
            <w:shd w:val="clear" w:color="auto" w:fill="auto"/>
            <w:tcMar>
              <w:top w:w="120" w:type="dxa"/>
              <w:left w:w="120" w:type="dxa"/>
              <w:bottom w:w="120" w:type="dxa"/>
              <w:right w:w="120" w:type="dxa"/>
            </w:tcMar>
            <w:vAlign w:val="center"/>
          </w:tcPr>
          <w:p w14:paraId="70FF2B0B">
            <w:pPr>
              <w:pStyle w:val="14"/>
              <w:rPr>
                <w:rFonts w:hint="eastAsia" w:ascii="仿宋" w:hAnsi="仿宋" w:eastAsia="仿宋" w:cs="仿宋"/>
                <w:b/>
                <w:bCs/>
                <w:color w:val="auto"/>
                <w:sz w:val="24"/>
                <w:highlight w:val="none"/>
              </w:rPr>
            </w:pPr>
            <w:r>
              <w:rPr>
                <w:rFonts w:hint="eastAsia" w:ascii="仿宋" w:hAnsi="仿宋" w:eastAsia="仿宋" w:cs="仿宋"/>
                <w:b/>
                <w:bCs/>
                <w:color w:val="auto"/>
                <w:kern w:val="0"/>
                <w:sz w:val="24"/>
                <w:szCs w:val="24"/>
                <w:highlight w:val="none"/>
                <w:lang w:val="en-US" w:eastAsia="zh-CN" w:bidi="ar"/>
              </w:rPr>
              <w:t>序号</w:t>
            </w:r>
          </w:p>
        </w:tc>
        <w:tc>
          <w:tcPr>
            <w:tcW w:w="1640" w:type="dxa"/>
            <w:tcBorders>
              <w:tl2br w:val="nil"/>
              <w:tr2bl w:val="nil"/>
            </w:tcBorders>
            <w:shd w:val="clear" w:color="auto" w:fill="auto"/>
            <w:tcMar>
              <w:top w:w="120" w:type="dxa"/>
              <w:left w:w="120" w:type="dxa"/>
              <w:bottom w:w="120" w:type="dxa"/>
              <w:right w:w="120" w:type="dxa"/>
            </w:tcMar>
            <w:vAlign w:val="center"/>
          </w:tcPr>
          <w:p w14:paraId="6A25CF34">
            <w:pPr>
              <w:keepNext w:val="0"/>
              <w:keepLines w:val="0"/>
              <w:widowControl/>
              <w:suppressLineNumbers w:val="0"/>
              <w:snapToGrid w:val="0"/>
              <w:ind w:left="0" w:leftChars="0" w:right="0" w:rightChars="0" w:firstLine="0" w:firstLineChars="0"/>
              <w:jc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szCs w:val="24"/>
                <w:highlight w:val="none"/>
                <w:lang w:val="en-US" w:eastAsia="zh-CN" w:bidi="ar"/>
              </w:rPr>
              <w:t>填报项</w:t>
            </w:r>
          </w:p>
        </w:tc>
        <w:tc>
          <w:tcPr>
            <w:tcW w:w="3826" w:type="dxa"/>
            <w:tcBorders>
              <w:tl2br w:val="nil"/>
              <w:tr2bl w:val="nil"/>
            </w:tcBorders>
            <w:shd w:val="clear" w:color="auto" w:fill="auto"/>
            <w:tcMar>
              <w:top w:w="120" w:type="dxa"/>
              <w:left w:w="120" w:type="dxa"/>
              <w:bottom w:w="120" w:type="dxa"/>
              <w:right w:w="120" w:type="dxa"/>
            </w:tcMar>
            <w:vAlign w:val="center"/>
          </w:tcPr>
          <w:p w14:paraId="7BD41AD4">
            <w:pPr>
              <w:keepNext w:val="0"/>
              <w:keepLines w:val="0"/>
              <w:widowControl/>
              <w:suppressLineNumbers w:val="0"/>
              <w:snapToGrid w:val="0"/>
              <w:ind w:left="0" w:leftChars="0" w:right="0" w:rightChars="0" w:firstLine="0" w:firstLineChars="0"/>
              <w:jc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szCs w:val="24"/>
                <w:highlight w:val="none"/>
                <w:lang w:val="en-US" w:eastAsia="zh-CN" w:bidi="ar"/>
              </w:rPr>
              <w:t>具体内容</w:t>
            </w:r>
          </w:p>
        </w:tc>
        <w:tc>
          <w:tcPr>
            <w:tcW w:w="3141" w:type="dxa"/>
            <w:tcBorders>
              <w:tl2br w:val="nil"/>
              <w:tr2bl w:val="nil"/>
            </w:tcBorders>
            <w:shd w:val="clear" w:color="auto" w:fill="auto"/>
            <w:tcMar>
              <w:top w:w="120" w:type="dxa"/>
              <w:left w:w="120" w:type="dxa"/>
              <w:bottom w:w="120" w:type="dxa"/>
              <w:right w:w="120" w:type="dxa"/>
            </w:tcMar>
            <w:vAlign w:val="center"/>
          </w:tcPr>
          <w:p w14:paraId="34561388">
            <w:pPr>
              <w:keepNext w:val="0"/>
              <w:keepLines w:val="0"/>
              <w:widowControl/>
              <w:suppressLineNumbers w:val="0"/>
              <w:snapToGrid w:val="0"/>
              <w:ind w:left="0" w:leftChars="0" w:right="0" w:rightChars="0" w:firstLine="0" w:firstLineChars="0"/>
              <w:jc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szCs w:val="24"/>
                <w:highlight w:val="none"/>
                <w:lang w:val="en-US" w:eastAsia="zh-CN" w:bidi="ar"/>
              </w:rPr>
              <w:t>备注（附证明材料页码索引）</w:t>
            </w:r>
          </w:p>
        </w:tc>
      </w:tr>
      <w:tr w14:paraId="53991BB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jc w:val="center"/>
        </w:trPr>
        <w:tc>
          <w:tcPr>
            <w:tcW w:w="681" w:type="dxa"/>
            <w:tcBorders>
              <w:tl2br w:val="nil"/>
              <w:tr2bl w:val="nil"/>
            </w:tcBorders>
            <w:shd w:val="clear" w:color="auto" w:fill="auto"/>
            <w:tcMar>
              <w:top w:w="120" w:type="dxa"/>
              <w:left w:w="120" w:type="dxa"/>
              <w:bottom w:w="120" w:type="dxa"/>
              <w:right w:w="120" w:type="dxa"/>
            </w:tcMar>
            <w:vAlign w:val="center"/>
          </w:tcPr>
          <w:p w14:paraId="3926E5E6">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1</w:t>
            </w:r>
          </w:p>
        </w:tc>
        <w:tc>
          <w:tcPr>
            <w:tcW w:w="1640" w:type="dxa"/>
            <w:tcBorders>
              <w:tl2br w:val="nil"/>
              <w:tr2bl w:val="nil"/>
            </w:tcBorders>
            <w:shd w:val="clear" w:color="auto" w:fill="auto"/>
            <w:tcMar>
              <w:top w:w="120" w:type="dxa"/>
              <w:left w:w="120" w:type="dxa"/>
              <w:bottom w:w="120" w:type="dxa"/>
              <w:right w:w="120" w:type="dxa"/>
            </w:tcMar>
            <w:vAlign w:val="center"/>
          </w:tcPr>
          <w:p w14:paraId="12711A2B">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姓名</w:t>
            </w:r>
          </w:p>
        </w:tc>
        <w:tc>
          <w:tcPr>
            <w:tcW w:w="3826" w:type="dxa"/>
            <w:tcBorders>
              <w:tl2br w:val="nil"/>
              <w:tr2bl w:val="nil"/>
            </w:tcBorders>
            <w:shd w:val="clear" w:color="auto" w:fill="auto"/>
            <w:tcMar>
              <w:top w:w="120" w:type="dxa"/>
              <w:left w:w="120" w:type="dxa"/>
              <w:bottom w:w="120" w:type="dxa"/>
              <w:right w:w="120" w:type="dxa"/>
            </w:tcMar>
            <w:vAlign w:val="center"/>
          </w:tcPr>
          <w:p w14:paraId="000268D2">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p>
        </w:tc>
        <w:tc>
          <w:tcPr>
            <w:tcW w:w="3141" w:type="dxa"/>
            <w:tcBorders>
              <w:tl2br w:val="nil"/>
              <w:tr2bl w:val="nil"/>
            </w:tcBorders>
            <w:shd w:val="clear" w:color="auto" w:fill="auto"/>
            <w:tcMar>
              <w:top w:w="120" w:type="dxa"/>
              <w:left w:w="120" w:type="dxa"/>
              <w:bottom w:w="120" w:type="dxa"/>
              <w:right w:w="120" w:type="dxa"/>
            </w:tcMar>
            <w:vAlign w:val="center"/>
          </w:tcPr>
          <w:p w14:paraId="179D8A5A">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身份证复印件附后</w:t>
            </w:r>
          </w:p>
        </w:tc>
      </w:tr>
      <w:tr w14:paraId="5487C52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jc w:val="center"/>
        </w:trPr>
        <w:tc>
          <w:tcPr>
            <w:tcW w:w="681" w:type="dxa"/>
            <w:tcBorders>
              <w:tl2br w:val="nil"/>
              <w:tr2bl w:val="nil"/>
            </w:tcBorders>
            <w:shd w:val="clear" w:color="auto" w:fill="auto"/>
            <w:tcMar>
              <w:top w:w="120" w:type="dxa"/>
              <w:left w:w="120" w:type="dxa"/>
              <w:bottom w:w="120" w:type="dxa"/>
              <w:right w:w="120" w:type="dxa"/>
            </w:tcMar>
            <w:vAlign w:val="center"/>
          </w:tcPr>
          <w:p w14:paraId="49E0BECC">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2</w:t>
            </w:r>
          </w:p>
        </w:tc>
        <w:tc>
          <w:tcPr>
            <w:tcW w:w="1640" w:type="dxa"/>
            <w:tcBorders>
              <w:tl2br w:val="nil"/>
              <w:tr2bl w:val="nil"/>
            </w:tcBorders>
            <w:shd w:val="clear" w:color="auto" w:fill="auto"/>
            <w:tcMar>
              <w:top w:w="120" w:type="dxa"/>
              <w:left w:w="120" w:type="dxa"/>
              <w:bottom w:w="120" w:type="dxa"/>
              <w:right w:w="120" w:type="dxa"/>
            </w:tcMar>
            <w:vAlign w:val="center"/>
          </w:tcPr>
          <w:p w14:paraId="774A0C85">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性别</w:t>
            </w:r>
          </w:p>
        </w:tc>
        <w:tc>
          <w:tcPr>
            <w:tcW w:w="3826" w:type="dxa"/>
            <w:tcBorders>
              <w:tl2br w:val="nil"/>
              <w:tr2bl w:val="nil"/>
            </w:tcBorders>
            <w:shd w:val="clear" w:color="auto" w:fill="auto"/>
            <w:tcMar>
              <w:top w:w="120" w:type="dxa"/>
              <w:left w:w="120" w:type="dxa"/>
              <w:bottom w:w="120" w:type="dxa"/>
              <w:right w:w="120" w:type="dxa"/>
            </w:tcMar>
            <w:vAlign w:val="center"/>
          </w:tcPr>
          <w:p w14:paraId="58541F40">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p>
        </w:tc>
        <w:tc>
          <w:tcPr>
            <w:tcW w:w="3141" w:type="dxa"/>
            <w:tcBorders>
              <w:tl2br w:val="nil"/>
              <w:tr2bl w:val="nil"/>
            </w:tcBorders>
            <w:shd w:val="clear" w:color="auto" w:fill="auto"/>
            <w:tcMar>
              <w:top w:w="120" w:type="dxa"/>
              <w:left w:w="120" w:type="dxa"/>
              <w:bottom w:w="120" w:type="dxa"/>
              <w:right w:w="120" w:type="dxa"/>
            </w:tcMar>
            <w:vAlign w:val="center"/>
          </w:tcPr>
          <w:p w14:paraId="4A87411C">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w:t>
            </w:r>
          </w:p>
        </w:tc>
      </w:tr>
      <w:tr w14:paraId="09C8485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jc w:val="center"/>
        </w:trPr>
        <w:tc>
          <w:tcPr>
            <w:tcW w:w="681" w:type="dxa"/>
            <w:tcBorders>
              <w:tl2br w:val="nil"/>
              <w:tr2bl w:val="nil"/>
            </w:tcBorders>
            <w:shd w:val="clear" w:color="auto" w:fill="auto"/>
            <w:tcMar>
              <w:top w:w="120" w:type="dxa"/>
              <w:left w:w="120" w:type="dxa"/>
              <w:bottom w:w="120" w:type="dxa"/>
              <w:right w:w="120" w:type="dxa"/>
            </w:tcMar>
            <w:vAlign w:val="center"/>
          </w:tcPr>
          <w:p w14:paraId="195745F2">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3</w:t>
            </w:r>
          </w:p>
        </w:tc>
        <w:tc>
          <w:tcPr>
            <w:tcW w:w="1640" w:type="dxa"/>
            <w:tcBorders>
              <w:tl2br w:val="nil"/>
              <w:tr2bl w:val="nil"/>
            </w:tcBorders>
            <w:shd w:val="clear" w:color="auto" w:fill="auto"/>
            <w:tcMar>
              <w:top w:w="120" w:type="dxa"/>
              <w:left w:w="120" w:type="dxa"/>
              <w:bottom w:w="120" w:type="dxa"/>
              <w:right w:w="120" w:type="dxa"/>
            </w:tcMar>
            <w:vAlign w:val="center"/>
          </w:tcPr>
          <w:p w14:paraId="7D9C9E98">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年龄</w:t>
            </w:r>
          </w:p>
        </w:tc>
        <w:tc>
          <w:tcPr>
            <w:tcW w:w="3826" w:type="dxa"/>
            <w:tcBorders>
              <w:tl2br w:val="nil"/>
              <w:tr2bl w:val="nil"/>
            </w:tcBorders>
            <w:shd w:val="clear" w:color="auto" w:fill="auto"/>
            <w:tcMar>
              <w:top w:w="120" w:type="dxa"/>
              <w:left w:w="120" w:type="dxa"/>
              <w:bottom w:w="120" w:type="dxa"/>
              <w:right w:w="120" w:type="dxa"/>
            </w:tcMar>
            <w:vAlign w:val="center"/>
          </w:tcPr>
          <w:p w14:paraId="23B4C0FD">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p>
        </w:tc>
        <w:tc>
          <w:tcPr>
            <w:tcW w:w="3141" w:type="dxa"/>
            <w:tcBorders>
              <w:tl2br w:val="nil"/>
              <w:tr2bl w:val="nil"/>
            </w:tcBorders>
            <w:shd w:val="clear" w:color="auto" w:fill="auto"/>
            <w:tcMar>
              <w:top w:w="120" w:type="dxa"/>
              <w:left w:w="120" w:type="dxa"/>
              <w:bottom w:w="120" w:type="dxa"/>
              <w:right w:w="120" w:type="dxa"/>
            </w:tcMar>
            <w:vAlign w:val="center"/>
          </w:tcPr>
          <w:p w14:paraId="778B9D17">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身份证复印件附后</w:t>
            </w:r>
          </w:p>
        </w:tc>
      </w:tr>
      <w:tr w14:paraId="2EE5630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0" w:hRule="atLeast"/>
          <w:jc w:val="center"/>
        </w:trPr>
        <w:tc>
          <w:tcPr>
            <w:tcW w:w="681" w:type="dxa"/>
            <w:tcBorders>
              <w:tl2br w:val="nil"/>
              <w:tr2bl w:val="nil"/>
            </w:tcBorders>
            <w:shd w:val="clear" w:color="auto" w:fill="auto"/>
            <w:tcMar>
              <w:top w:w="120" w:type="dxa"/>
              <w:left w:w="120" w:type="dxa"/>
              <w:bottom w:w="120" w:type="dxa"/>
              <w:right w:w="120" w:type="dxa"/>
            </w:tcMar>
            <w:vAlign w:val="center"/>
          </w:tcPr>
          <w:p w14:paraId="052760B8">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4</w:t>
            </w:r>
          </w:p>
        </w:tc>
        <w:tc>
          <w:tcPr>
            <w:tcW w:w="1640" w:type="dxa"/>
            <w:tcBorders>
              <w:tl2br w:val="nil"/>
              <w:tr2bl w:val="nil"/>
            </w:tcBorders>
            <w:shd w:val="clear" w:color="auto" w:fill="auto"/>
            <w:tcMar>
              <w:top w:w="120" w:type="dxa"/>
              <w:left w:w="120" w:type="dxa"/>
              <w:bottom w:w="120" w:type="dxa"/>
              <w:right w:w="120" w:type="dxa"/>
            </w:tcMar>
            <w:vAlign w:val="center"/>
          </w:tcPr>
          <w:p w14:paraId="134C7F9F">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民族</w:t>
            </w:r>
          </w:p>
        </w:tc>
        <w:tc>
          <w:tcPr>
            <w:tcW w:w="3826" w:type="dxa"/>
            <w:tcBorders>
              <w:tl2br w:val="nil"/>
              <w:tr2bl w:val="nil"/>
            </w:tcBorders>
            <w:shd w:val="clear" w:color="auto" w:fill="auto"/>
            <w:tcMar>
              <w:top w:w="120" w:type="dxa"/>
              <w:left w:w="120" w:type="dxa"/>
              <w:bottom w:w="120" w:type="dxa"/>
              <w:right w:w="120" w:type="dxa"/>
            </w:tcMar>
            <w:vAlign w:val="center"/>
          </w:tcPr>
          <w:p w14:paraId="01B04F38">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p>
        </w:tc>
        <w:tc>
          <w:tcPr>
            <w:tcW w:w="3141" w:type="dxa"/>
            <w:tcBorders>
              <w:tl2br w:val="nil"/>
              <w:tr2bl w:val="nil"/>
            </w:tcBorders>
            <w:shd w:val="clear" w:color="auto" w:fill="auto"/>
            <w:tcMar>
              <w:top w:w="120" w:type="dxa"/>
              <w:left w:w="120" w:type="dxa"/>
              <w:bottom w:w="120" w:type="dxa"/>
              <w:right w:w="120" w:type="dxa"/>
            </w:tcMar>
            <w:vAlign w:val="center"/>
          </w:tcPr>
          <w:p w14:paraId="2A73488E">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w:t>
            </w:r>
          </w:p>
        </w:tc>
      </w:tr>
      <w:tr w14:paraId="130D57E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jc w:val="center"/>
        </w:trPr>
        <w:tc>
          <w:tcPr>
            <w:tcW w:w="681" w:type="dxa"/>
            <w:tcBorders>
              <w:tl2br w:val="nil"/>
              <w:tr2bl w:val="nil"/>
            </w:tcBorders>
            <w:shd w:val="clear" w:color="auto" w:fill="auto"/>
            <w:tcMar>
              <w:top w:w="120" w:type="dxa"/>
              <w:left w:w="120" w:type="dxa"/>
              <w:bottom w:w="120" w:type="dxa"/>
              <w:right w:w="120" w:type="dxa"/>
            </w:tcMar>
            <w:vAlign w:val="center"/>
          </w:tcPr>
          <w:p w14:paraId="34CE0792">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5</w:t>
            </w:r>
          </w:p>
        </w:tc>
        <w:tc>
          <w:tcPr>
            <w:tcW w:w="1640" w:type="dxa"/>
            <w:tcBorders>
              <w:tl2br w:val="nil"/>
              <w:tr2bl w:val="nil"/>
            </w:tcBorders>
            <w:shd w:val="clear" w:color="auto" w:fill="auto"/>
            <w:tcMar>
              <w:top w:w="120" w:type="dxa"/>
              <w:left w:w="120" w:type="dxa"/>
              <w:bottom w:w="120" w:type="dxa"/>
              <w:right w:w="120" w:type="dxa"/>
            </w:tcMar>
            <w:vAlign w:val="center"/>
          </w:tcPr>
          <w:p w14:paraId="7803DA1C">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联系电话</w:t>
            </w:r>
          </w:p>
        </w:tc>
        <w:tc>
          <w:tcPr>
            <w:tcW w:w="3826" w:type="dxa"/>
            <w:tcBorders>
              <w:tl2br w:val="nil"/>
              <w:tr2bl w:val="nil"/>
            </w:tcBorders>
            <w:shd w:val="clear" w:color="auto" w:fill="auto"/>
            <w:tcMar>
              <w:top w:w="120" w:type="dxa"/>
              <w:left w:w="120" w:type="dxa"/>
              <w:bottom w:w="120" w:type="dxa"/>
              <w:right w:w="120" w:type="dxa"/>
            </w:tcMar>
            <w:vAlign w:val="center"/>
          </w:tcPr>
          <w:p w14:paraId="7C2FCBC9">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p>
        </w:tc>
        <w:tc>
          <w:tcPr>
            <w:tcW w:w="3141" w:type="dxa"/>
            <w:tcBorders>
              <w:tl2br w:val="nil"/>
              <w:tr2bl w:val="nil"/>
            </w:tcBorders>
            <w:shd w:val="clear" w:color="auto" w:fill="auto"/>
            <w:tcMar>
              <w:top w:w="120" w:type="dxa"/>
              <w:left w:w="120" w:type="dxa"/>
              <w:bottom w:w="120" w:type="dxa"/>
              <w:right w:w="120" w:type="dxa"/>
            </w:tcMar>
            <w:vAlign w:val="center"/>
          </w:tcPr>
          <w:p w14:paraId="1C210832">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p>
        </w:tc>
      </w:tr>
      <w:tr w14:paraId="56E1B66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0" w:hRule="atLeast"/>
          <w:jc w:val="center"/>
        </w:trPr>
        <w:tc>
          <w:tcPr>
            <w:tcW w:w="681" w:type="dxa"/>
            <w:tcBorders>
              <w:tl2br w:val="nil"/>
              <w:tr2bl w:val="nil"/>
            </w:tcBorders>
            <w:shd w:val="clear" w:color="auto" w:fill="auto"/>
            <w:tcMar>
              <w:top w:w="120" w:type="dxa"/>
              <w:left w:w="120" w:type="dxa"/>
              <w:bottom w:w="120" w:type="dxa"/>
              <w:right w:w="120" w:type="dxa"/>
            </w:tcMar>
            <w:vAlign w:val="center"/>
          </w:tcPr>
          <w:p w14:paraId="24984751">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6</w:t>
            </w:r>
          </w:p>
        </w:tc>
        <w:tc>
          <w:tcPr>
            <w:tcW w:w="1640" w:type="dxa"/>
            <w:tcBorders>
              <w:tl2br w:val="nil"/>
              <w:tr2bl w:val="nil"/>
            </w:tcBorders>
            <w:shd w:val="clear" w:color="auto" w:fill="auto"/>
            <w:tcMar>
              <w:top w:w="120" w:type="dxa"/>
              <w:left w:w="120" w:type="dxa"/>
              <w:bottom w:w="120" w:type="dxa"/>
              <w:right w:w="120" w:type="dxa"/>
            </w:tcMar>
            <w:vAlign w:val="center"/>
          </w:tcPr>
          <w:p w14:paraId="6517D364">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学历 / 专业</w:t>
            </w:r>
          </w:p>
        </w:tc>
        <w:tc>
          <w:tcPr>
            <w:tcW w:w="3826" w:type="dxa"/>
            <w:tcBorders>
              <w:tl2br w:val="nil"/>
              <w:tr2bl w:val="nil"/>
            </w:tcBorders>
            <w:shd w:val="clear" w:color="auto" w:fill="auto"/>
            <w:tcMar>
              <w:top w:w="120" w:type="dxa"/>
              <w:left w:w="120" w:type="dxa"/>
              <w:bottom w:w="120" w:type="dxa"/>
              <w:right w:w="120" w:type="dxa"/>
            </w:tcMar>
            <w:vAlign w:val="center"/>
          </w:tcPr>
          <w:p w14:paraId="1CB620FE">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p>
        </w:tc>
        <w:tc>
          <w:tcPr>
            <w:tcW w:w="3141" w:type="dxa"/>
            <w:tcBorders>
              <w:tl2br w:val="nil"/>
              <w:tr2bl w:val="nil"/>
            </w:tcBorders>
            <w:shd w:val="clear" w:color="auto" w:fill="auto"/>
            <w:tcMar>
              <w:top w:w="120" w:type="dxa"/>
              <w:left w:w="120" w:type="dxa"/>
              <w:bottom w:w="120" w:type="dxa"/>
              <w:right w:w="120" w:type="dxa"/>
            </w:tcMar>
            <w:vAlign w:val="center"/>
          </w:tcPr>
          <w:p w14:paraId="77AA3F43">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学历证书复印件附后</w:t>
            </w:r>
          </w:p>
        </w:tc>
      </w:tr>
      <w:tr w14:paraId="2E66FFF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jc w:val="center"/>
        </w:trPr>
        <w:tc>
          <w:tcPr>
            <w:tcW w:w="681" w:type="dxa"/>
            <w:tcBorders>
              <w:tl2br w:val="nil"/>
              <w:tr2bl w:val="nil"/>
            </w:tcBorders>
            <w:shd w:val="clear" w:color="auto" w:fill="auto"/>
            <w:tcMar>
              <w:top w:w="120" w:type="dxa"/>
              <w:left w:w="120" w:type="dxa"/>
              <w:bottom w:w="120" w:type="dxa"/>
              <w:right w:w="120" w:type="dxa"/>
            </w:tcMar>
            <w:vAlign w:val="center"/>
          </w:tcPr>
          <w:p w14:paraId="3BD4884F">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7</w:t>
            </w:r>
          </w:p>
        </w:tc>
        <w:tc>
          <w:tcPr>
            <w:tcW w:w="1640" w:type="dxa"/>
            <w:tcBorders>
              <w:tl2br w:val="nil"/>
              <w:tr2bl w:val="nil"/>
            </w:tcBorders>
            <w:shd w:val="clear" w:color="auto" w:fill="auto"/>
            <w:tcMar>
              <w:top w:w="120" w:type="dxa"/>
              <w:left w:w="120" w:type="dxa"/>
              <w:bottom w:w="120" w:type="dxa"/>
              <w:right w:w="120" w:type="dxa"/>
            </w:tcMar>
            <w:vAlign w:val="center"/>
          </w:tcPr>
          <w:p w14:paraId="5F4E2BD7">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职称 / 资质</w:t>
            </w:r>
          </w:p>
        </w:tc>
        <w:tc>
          <w:tcPr>
            <w:tcW w:w="3826" w:type="dxa"/>
            <w:tcBorders>
              <w:tl2br w:val="nil"/>
              <w:tr2bl w:val="nil"/>
            </w:tcBorders>
            <w:shd w:val="clear" w:color="auto" w:fill="auto"/>
            <w:tcMar>
              <w:top w:w="120" w:type="dxa"/>
              <w:left w:w="120" w:type="dxa"/>
              <w:bottom w:w="120" w:type="dxa"/>
              <w:right w:w="120" w:type="dxa"/>
            </w:tcMar>
            <w:vAlign w:val="center"/>
          </w:tcPr>
          <w:p w14:paraId="0D4E4A36">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p>
        </w:tc>
        <w:tc>
          <w:tcPr>
            <w:tcW w:w="3141" w:type="dxa"/>
            <w:tcBorders>
              <w:tl2br w:val="nil"/>
              <w:tr2bl w:val="nil"/>
            </w:tcBorders>
            <w:shd w:val="clear" w:color="auto" w:fill="auto"/>
            <w:tcMar>
              <w:top w:w="120" w:type="dxa"/>
              <w:left w:w="120" w:type="dxa"/>
              <w:bottom w:w="120" w:type="dxa"/>
              <w:right w:w="120" w:type="dxa"/>
            </w:tcMar>
            <w:vAlign w:val="center"/>
          </w:tcPr>
          <w:p w14:paraId="3FC75017">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保安员证（等级）、其他相关证书复印件附后</w:t>
            </w:r>
          </w:p>
        </w:tc>
      </w:tr>
      <w:tr w14:paraId="418CBF9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jc w:val="center"/>
        </w:trPr>
        <w:tc>
          <w:tcPr>
            <w:tcW w:w="681" w:type="dxa"/>
            <w:tcBorders>
              <w:tl2br w:val="nil"/>
              <w:tr2bl w:val="nil"/>
            </w:tcBorders>
            <w:shd w:val="clear" w:color="auto" w:fill="auto"/>
            <w:tcMar>
              <w:top w:w="120" w:type="dxa"/>
              <w:left w:w="120" w:type="dxa"/>
              <w:bottom w:w="120" w:type="dxa"/>
              <w:right w:w="120" w:type="dxa"/>
            </w:tcMar>
            <w:vAlign w:val="center"/>
          </w:tcPr>
          <w:p w14:paraId="2B1F3927">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8</w:t>
            </w:r>
          </w:p>
        </w:tc>
        <w:tc>
          <w:tcPr>
            <w:tcW w:w="1640" w:type="dxa"/>
            <w:tcBorders>
              <w:tl2br w:val="nil"/>
              <w:tr2bl w:val="nil"/>
            </w:tcBorders>
            <w:shd w:val="clear" w:color="auto" w:fill="auto"/>
            <w:tcMar>
              <w:top w:w="120" w:type="dxa"/>
              <w:left w:w="120" w:type="dxa"/>
              <w:bottom w:w="120" w:type="dxa"/>
              <w:right w:w="120" w:type="dxa"/>
            </w:tcMar>
            <w:vAlign w:val="center"/>
          </w:tcPr>
          <w:p w14:paraId="2C1566A2">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从业年限</w:t>
            </w:r>
          </w:p>
        </w:tc>
        <w:tc>
          <w:tcPr>
            <w:tcW w:w="3826" w:type="dxa"/>
            <w:tcBorders>
              <w:tl2br w:val="nil"/>
              <w:tr2bl w:val="nil"/>
            </w:tcBorders>
            <w:shd w:val="clear" w:color="auto" w:fill="auto"/>
            <w:tcMar>
              <w:top w:w="120" w:type="dxa"/>
              <w:left w:w="120" w:type="dxa"/>
              <w:bottom w:w="120" w:type="dxa"/>
              <w:right w:w="120" w:type="dxa"/>
            </w:tcMar>
            <w:vAlign w:val="center"/>
          </w:tcPr>
          <w:p w14:paraId="4F425A37">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 xml:space="preserve">            年（安保行业）</w:t>
            </w:r>
          </w:p>
        </w:tc>
        <w:tc>
          <w:tcPr>
            <w:tcW w:w="3141" w:type="dxa"/>
            <w:tcBorders>
              <w:tl2br w:val="nil"/>
              <w:tr2bl w:val="nil"/>
            </w:tcBorders>
            <w:shd w:val="clear" w:color="auto" w:fill="auto"/>
            <w:tcMar>
              <w:top w:w="120" w:type="dxa"/>
              <w:left w:w="120" w:type="dxa"/>
              <w:bottom w:w="120" w:type="dxa"/>
              <w:right w:w="120" w:type="dxa"/>
            </w:tcMar>
            <w:vAlign w:val="center"/>
          </w:tcPr>
          <w:p w14:paraId="73F40A20">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w:t>
            </w:r>
          </w:p>
        </w:tc>
      </w:tr>
      <w:tr w14:paraId="45A2FB8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jc w:val="center"/>
        </w:trPr>
        <w:tc>
          <w:tcPr>
            <w:tcW w:w="681" w:type="dxa"/>
            <w:tcBorders>
              <w:tl2br w:val="nil"/>
              <w:tr2bl w:val="nil"/>
            </w:tcBorders>
            <w:shd w:val="clear" w:color="auto" w:fill="auto"/>
            <w:tcMar>
              <w:top w:w="120" w:type="dxa"/>
              <w:left w:w="120" w:type="dxa"/>
              <w:bottom w:w="120" w:type="dxa"/>
              <w:right w:w="120" w:type="dxa"/>
            </w:tcMar>
            <w:vAlign w:val="center"/>
          </w:tcPr>
          <w:p w14:paraId="7B93A707">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10</w:t>
            </w:r>
          </w:p>
        </w:tc>
        <w:tc>
          <w:tcPr>
            <w:tcW w:w="1640" w:type="dxa"/>
            <w:tcBorders>
              <w:tl2br w:val="nil"/>
              <w:tr2bl w:val="nil"/>
            </w:tcBorders>
            <w:shd w:val="clear" w:color="auto" w:fill="auto"/>
            <w:tcMar>
              <w:top w:w="120" w:type="dxa"/>
              <w:left w:w="120" w:type="dxa"/>
              <w:bottom w:w="120" w:type="dxa"/>
              <w:right w:w="120" w:type="dxa"/>
            </w:tcMar>
            <w:vAlign w:val="center"/>
          </w:tcPr>
          <w:p w14:paraId="0C430499">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是否退伍 / 消防背景</w:t>
            </w:r>
          </w:p>
        </w:tc>
        <w:tc>
          <w:tcPr>
            <w:tcW w:w="3826" w:type="dxa"/>
            <w:tcBorders>
              <w:tl2br w:val="nil"/>
              <w:tr2bl w:val="nil"/>
            </w:tcBorders>
            <w:shd w:val="clear" w:color="auto" w:fill="auto"/>
            <w:tcMar>
              <w:top w:w="120" w:type="dxa"/>
              <w:left w:w="120" w:type="dxa"/>
              <w:bottom w:w="120" w:type="dxa"/>
              <w:right w:w="120" w:type="dxa"/>
            </w:tcMar>
            <w:vAlign w:val="center"/>
          </w:tcPr>
          <w:p w14:paraId="23D6F92E">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 退伍军人 □ 退役消防员 </w:t>
            </w:r>
          </w:p>
          <w:p w14:paraId="25B6231D">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 无</w:t>
            </w:r>
          </w:p>
        </w:tc>
        <w:tc>
          <w:tcPr>
            <w:tcW w:w="3141" w:type="dxa"/>
            <w:tcBorders>
              <w:tl2br w:val="nil"/>
              <w:tr2bl w:val="nil"/>
            </w:tcBorders>
            <w:shd w:val="clear" w:color="auto" w:fill="auto"/>
            <w:tcMar>
              <w:top w:w="120" w:type="dxa"/>
              <w:left w:w="120" w:type="dxa"/>
              <w:bottom w:w="120" w:type="dxa"/>
              <w:right w:w="120" w:type="dxa"/>
            </w:tcMar>
            <w:vAlign w:val="center"/>
          </w:tcPr>
          <w:p w14:paraId="4B27198E">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相关证明复印件附后（如有）</w:t>
            </w:r>
          </w:p>
        </w:tc>
      </w:tr>
      <w:tr w14:paraId="01315C2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0" w:hRule="atLeast"/>
          <w:jc w:val="center"/>
        </w:trPr>
        <w:tc>
          <w:tcPr>
            <w:tcW w:w="681" w:type="dxa"/>
            <w:tcBorders>
              <w:tl2br w:val="nil"/>
              <w:tr2bl w:val="nil"/>
            </w:tcBorders>
            <w:shd w:val="clear" w:color="auto" w:fill="auto"/>
            <w:tcMar>
              <w:top w:w="120" w:type="dxa"/>
              <w:left w:w="120" w:type="dxa"/>
              <w:bottom w:w="120" w:type="dxa"/>
              <w:right w:w="120" w:type="dxa"/>
            </w:tcMar>
            <w:vAlign w:val="center"/>
          </w:tcPr>
          <w:p w14:paraId="1D8FD64E">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11</w:t>
            </w:r>
          </w:p>
        </w:tc>
        <w:tc>
          <w:tcPr>
            <w:tcW w:w="1640" w:type="dxa"/>
            <w:tcBorders>
              <w:tl2br w:val="nil"/>
              <w:tr2bl w:val="nil"/>
            </w:tcBorders>
            <w:shd w:val="clear" w:color="auto" w:fill="auto"/>
            <w:tcMar>
              <w:top w:w="120" w:type="dxa"/>
              <w:left w:w="120" w:type="dxa"/>
              <w:bottom w:w="120" w:type="dxa"/>
              <w:right w:w="120" w:type="dxa"/>
            </w:tcMar>
            <w:vAlign w:val="center"/>
          </w:tcPr>
          <w:p w14:paraId="2AF283A6">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社保缴纳</w:t>
            </w:r>
          </w:p>
          <w:p w14:paraId="2F4CDDFB">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情况</w:t>
            </w:r>
          </w:p>
        </w:tc>
        <w:tc>
          <w:tcPr>
            <w:tcW w:w="3826" w:type="dxa"/>
            <w:tcBorders>
              <w:tl2br w:val="nil"/>
              <w:tr2bl w:val="nil"/>
            </w:tcBorders>
            <w:shd w:val="clear" w:color="auto" w:fill="auto"/>
            <w:tcMar>
              <w:top w:w="120" w:type="dxa"/>
              <w:left w:w="120" w:type="dxa"/>
              <w:bottom w:w="120" w:type="dxa"/>
              <w:right w:w="120" w:type="dxa"/>
            </w:tcMar>
            <w:vAlign w:val="center"/>
          </w:tcPr>
          <w:p w14:paraId="2830E419">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缴纳单位：________________缴纳时段：2026年  月   日</w:t>
            </w:r>
          </w:p>
        </w:tc>
        <w:tc>
          <w:tcPr>
            <w:tcW w:w="3141" w:type="dxa"/>
            <w:tcBorders>
              <w:tl2br w:val="nil"/>
              <w:tr2bl w:val="nil"/>
            </w:tcBorders>
            <w:shd w:val="clear" w:color="auto" w:fill="auto"/>
            <w:tcMar>
              <w:top w:w="120" w:type="dxa"/>
              <w:left w:w="120" w:type="dxa"/>
              <w:bottom w:w="120" w:type="dxa"/>
              <w:right w:w="120" w:type="dxa"/>
            </w:tcMar>
            <w:vAlign w:val="center"/>
          </w:tcPr>
          <w:p w14:paraId="17BB6A58">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社保缴纳凭证复印件附后</w:t>
            </w:r>
          </w:p>
        </w:tc>
      </w:tr>
      <w:tr w14:paraId="5CD77AA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jc w:val="center"/>
        </w:trPr>
        <w:tc>
          <w:tcPr>
            <w:tcW w:w="681" w:type="dxa"/>
            <w:vMerge w:val="restart"/>
            <w:tcBorders>
              <w:tl2br w:val="nil"/>
              <w:tr2bl w:val="nil"/>
            </w:tcBorders>
            <w:shd w:val="clear" w:color="auto" w:fill="auto"/>
            <w:tcMar>
              <w:top w:w="120" w:type="dxa"/>
              <w:left w:w="120" w:type="dxa"/>
              <w:bottom w:w="120" w:type="dxa"/>
              <w:right w:w="120" w:type="dxa"/>
            </w:tcMar>
            <w:vAlign w:val="center"/>
          </w:tcPr>
          <w:p w14:paraId="044E8CB1">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12</w:t>
            </w:r>
          </w:p>
        </w:tc>
        <w:tc>
          <w:tcPr>
            <w:tcW w:w="1640" w:type="dxa"/>
            <w:vMerge w:val="restart"/>
            <w:tcBorders>
              <w:tl2br w:val="nil"/>
              <w:tr2bl w:val="nil"/>
            </w:tcBorders>
            <w:shd w:val="clear" w:color="auto" w:fill="auto"/>
            <w:tcMar>
              <w:top w:w="120" w:type="dxa"/>
              <w:left w:w="120" w:type="dxa"/>
              <w:bottom w:w="120" w:type="dxa"/>
              <w:right w:w="120" w:type="dxa"/>
            </w:tcMar>
            <w:vAlign w:val="center"/>
          </w:tcPr>
          <w:p w14:paraId="4D088682">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过往任职</w:t>
            </w:r>
          </w:p>
          <w:p w14:paraId="1DC81BE6">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经历</w:t>
            </w:r>
          </w:p>
        </w:tc>
        <w:tc>
          <w:tcPr>
            <w:tcW w:w="3826" w:type="dxa"/>
            <w:tcBorders>
              <w:tl2br w:val="nil"/>
              <w:tr2bl w:val="nil"/>
            </w:tcBorders>
            <w:shd w:val="clear" w:color="auto" w:fill="auto"/>
            <w:tcMar>
              <w:top w:w="120" w:type="dxa"/>
              <w:left w:w="120" w:type="dxa"/>
              <w:bottom w:w="120" w:type="dxa"/>
              <w:right w:w="120" w:type="dxa"/>
            </w:tcMar>
            <w:vAlign w:val="center"/>
          </w:tcPr>
          <w:p w14:paraId="4FBE22BB">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起止时间</w:t>
            </w:r>
          </w:p>
        </w:tc>
        <w:tc>
          <w:tcPr>
            <w:tcW w:w="3141" w:type="dxa"/>
            <w:tcBorders>
              <w:tl2br w:val="nil"/>
              <w:tr2bl w:val="nil"/>
            </w:tcBorders>
            <w:shd w:val="clear" w:color="auto" w:fill="auto"/>
            <w:tcMar>
              <w:top w:w="120" w:type="dxa"/>
              <w:left w:w="120" w:type="dxa"/>
              <w:bottom w:w="120" w:type="dxa"/>
              <w:right w:w="120" w:type="dxa"/>
            </w:tcMar>
            <w:vAlign w:val="center"/>
          </w:tcPr>
          <w:p w14:paraId="043D70CC">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工作单位及岗位</w:t>
            </w:r>
          </w:p>
        </w:tc>
      </w:tr>
      <w:tr w14:paraId="794DFBC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jc w:val="center"/>
        </w:trPr>
        <w:tc>
          <w:tcPr>
            <w:tcW w:w="681" w:type="dxa"/>
            <w:vMerge w:val="continue"/>
            <w:tcBorders>
              <w:tl2br w:val="nil"/>
              <w:tr2bl w:val="nil"/>
            </w:tcBorders>
            <w:shd w:val="clear" w:color="auto" w:fill="auto"/>
            <w:tcMar>
              <w:top w:w="120" w:type="dxa"/>
              <w:left w:w="120" w:type="dxa"/>
              <w:bottom w:w="120" w:type="dxa"/>
              <w:right w:w="120" w:type="dxa"/>
            </w:tcMar>
            <w:vAlign w:val="center"/>
          </w:tcPr>
          <w:p w14:paraId="52B0520F">
            <w:pPr>
              <w:snapToGrid w:val="0"/>
              <w:ind w:left="0" w:leftChars="0" w:right="0" w:rightChars="0" w:firstLine="0" w:firstLineChars="0"/>
              <w:jc w:val="center"/>
              <w:rPr>
                <w:rFonts w:hint="eastAsia" w:ascii="仿宋" w:hAnsi="仿宋" w:eastAsia="仿宋" w:cs="仿宋"/>
                <w:color w:val="auto"/>
                <w:sz w:val="24"/>
                <w:szCs w:val="24"/>
                <w:highlight w:val="none"/>
              </w:rPr>
            </w:pPr>
          </w:p>
        </w:tc>
        <w:tc>
          <w:tcPr>
            <w:tcW w:w="1640" w:type="dxa"/>
            <w:vMerge w:val="continue"/>
            <w:tcBorders>
              <w:tl2br w:val="nil"/>
              <w:tr2bl w:val="nil"/>
            </w:tcBorders>
            <w:shd w:val="clear" w:color="auto" w:fill="auto"/>
            <w:tcMar>
              <w:top w:w="120" w:type="dxa"/>
              <w:left w:w="120" w:type="dxa"/>
              <w:bottom w:w="120" w:type="dxa"/>
              <w:right w:w="120" w:type="dxa"/>
            </w:tcMar>
            <w:vAlign w:val="center"/>
          </w:tcPr>
          <w:p w14:paraId="29AD1070">
            <w:pPr>
              <w:snapToGrid w:val="0"/>
              <w:ind w:left="0" w:leftChars="0" w:right="0" w:rightChars="0" w:firstLine="0" w:firstLineChars="0"/>
              <w:jc w:val="center"/>
              <w:rPr>
                <w:rFonts w:hint="eastAsia" w:ascii="仿宋" w:hAnsi="仿宋" w:eastAsia="仿宋" w:cs="仿宋"/>
                <w:color w:val="auto"/>
                <w:sz w:val="24"/>
                <w:szCs w:val="24"/>
                <w:highlight w:val="none"/>
              </w:rPr>
            </w:pPr>
          </w:p>
        </w:tc>
        <w:tc>
          <w:tcPr>
            <w:tcW w:w="3826" w:type="dxa"/>
            <w:tcBorders>
              <w:tl2br w:val="nil"/>
              <w:tr2bl w:val="nil"/>
            </w:tcBorders>
            <w:shd w:val="clear" w:color="auto" w:fill="auto"/>
            <w:tcMar>
              <w:top w:w="120" w:type="dxa"/>
              <w:left w:w="120" w:type="dxa"/>
              <w:bottom w:w="120" w:type="dxa"/>
              <w:right w:w="120" w:type="dxa"/>
            </w:tcMar>
            <w:vAlign w:val="center"/>
          </w:tcPr>
          <w:p w14:paraId="304FED3C">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 xml:space="preserve">    年     月   至    年   月</w:t>
            </w:r>
          </w:p>
        </w:tc>
        <w:tc>
          <w:tcPr>
            <w:tcW w:w="3141" w:type="dxa"/>
            <w:tcBorders>
              <w:tl2br w:val="nil"/>
              <w:tr2bl w:val="nil"/>
            </w:tcBorders>
            <w:shd w:val="clear" w:color="auto" w:fill="auto"/>
            <w:tcMar>
              <w:top w:w="120" w:type="dxa"/>
              <w:left w:w="120" w:type="dxa"/>
              <w:bottom w:w="120" w:type="dxa"/>
              <w:right w:w="120" w:type="dxa"/>
            </w:tcMar>
            <w:vAlign w:val="center"/>
          </w:tcPr>
          <w:p w14:paraId="506027EA">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 xml:space="preserve"> </w:t>
            </w:r>
          </w:p>
        </w:tc>
      </w:tr>
    </w:tbl>
    <w:p w14:paraId="6AB4E88B">
      <w:pPr>
        <w:pStyle w:val="14"/>
        <w:keepNext w:val="0"/>
        <w:keepLines w:val="0"/>
        <w:pageBreakBefore w:val="0"/>
        <w:widowControl w:val="0"/>
        <w:kinsoku/>
        <w:wordWrap/>
        <w:overflowPunct/>
        <w:topLinePunct w:val="0"/>
        <w:autoSpaceDE/>
        <w:autoSpaceDN/>
        <w:bidi w:val="0"/>
        <w:adjustRightInd/>
        <w:snapToGrid/>
        <w:spacing w:line="324" w:lineRule="auto"/>
        <w:ind w:firstLine="241" w:firstLineChars="100"/>
        <w:jc w:val="both"/>
        <w:textAlignment w:val="auto"/>
        <w:rPr>
          <w:rFonts w:hint="eastAsia" w:ascii="仿宋" w:hAnsi="仿宋" w:eastAsia="仿宋" w:cs="仿宋"/>
          <w:color w:val="auto"/>
          <w:spacing w:val="8"/>
          <w:sz w:val="24"/>
          <w:szCs w:val="24"/>
          <w:highlight w:val="none"/>
        </w:rPr>
      </w:pPr>
      <w:r>
        <w:rPr>
          <w:rFonts w:hint="eastAsia" w:ascii="仿宋" w:hAnsi="仿宋" w:eastAsia="仿宋" w:cs="仿宋"/>
          <w:b/>
          <w:bCs/>
          <w:color w:val="auto"/>
          <w:sz w:val="24"/>
          <w:szCs w:val="32"/>
          <w:highlight w:val="none"/>
          <w:lang w:val="en-US" w:eastAsia="zh-CN"/>
        </w:rPr>
        <w:t>注：</w:t>
      </w:r>
      <w:r>
        <w:rPr>
          <w:rFonts w:hint="eastAsia" w:ascii="仿宋" w:hAnsi="仿宋" w:eastAsia="仿宋" w:cs="仿宋"/>
          <w:color w:val="auto"/>
          <w:sz w:val="24"/>
          <w:szCs w:val="32"/>
          <w:highlight w:val="none"/>
          <w:lang w:val="en-US" w:eastAsia="zh-CN"/>
        </w:rPr>
        <w:t>所有证明材料复印件需加盖投标单位公章，本表后附对应材料并标注页码索引，方便评审查阅。</w:t>
      </w:r>
    </w:p>
    <w:p w14:paraId="44401733">
      <w:pPr>
        <w:rPr>
          <w:rFonts w:hint="eastAsia" w:ascii="仿宋" w:hAnsi="仿宋" w:eastAsia="仿宋" w:cs="仿宋"/>
          <w:color w:val="auto"/>
          <w:spacing w:val="8"/>
          <w:sz w:val="24"/>
          <w:szCs w:val="24"/>
          <w:highlight w:val="none"/>
        </w:rPr>
      </w:pPr>
    </w:p>
    <w:p w14:paraId="05EC4426">
      <w:pPr>
        <w:rPr>
          <w:rFonts w:hint="eastAsia" w:ascii="仿宋" w:hAnsi="仿宋" w:eastAsia="仿宋" w:cs="仿宋"/>
          <w:color w:val="auto"/>
          <w:spacing w:val="8"/>
          <w:sz w:val="24"/>
          <w:szCs w:val="24"/>
          <w:highlight w:val="none"/>
        </w:rPr>
      </w:pPr>
    </w:p>
    <w:p w14:paraId="333D4228">
      <w:pPr>
        <w:rPr>
          <w:rFonts w:hint="eastAsia" w:ascii="仿宋" w:hAnsi="仿宋" w:eastAsia="仿宋" w:cs="仿宋"/>
          <w:color w:val="auto"/>
          <w:spacing w:val="8"/>
          <w:sz w:val="24"/>
          <w:szCs w:val="24"/>
          <w:highlight w:val="none"/>
        </w:rPr>
      </w:pPr>
    </w:p>
    <w:p w14:paraId="2528CDCC">
      <w:pPr>
        <w:rPr>
          <w:rFonts w:hint="eastAsia" w:ascii="仿宋" w:hAnsi="仿宋" w:eastAsia="仿宋" w:cs="仿宋"/>
          <w:color w:val="auto"/>
          <w:spacing w:val="8"/>
          <w:sz w:val="24"/>
          <w:szCs w:val="24"/>
          <w:highlight w:val="none"/>
        </w:rPr>
      </w:pPr>
    </w:p>
    <w:p w14:paraId="4DEF720E">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5ABE42DA">
      <w:pPr>
        <w:spacing w:line="360" w:lineRule="auto"/>
        <w:ind w:firstLine="4080" w:firstLineChars="1700"/>
        <w:rPr>
          <w:rFonts w:hint="eastAsia" w:ascii="仿宋" w:hAnsi="仿宋" w:eastAsia="仿宋" w:cs="仿宋"/>
          <w:color w:val="auto"/>
          <w:sz w:val="24"/>
          <w:szCs w:val="24"/>
          <w:highlight w:val="none"/>
        </w:rPr>
      </w:pPr>
    </w:p>
    <w:p w14:paraId="57F2283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5031C055">
      <w:pPr>
        <w:spacing w:line="360" w:lineRule="auto"/>
        <w:rPr>
          <w:rFonts w:hint="eastAsia" w:ascii="仿宋" w:hAnsi="仿宋" w:eastAsia="仿宋" w:cs="仿宋"/>
          <w:color w:val="auto"/>
          <w:sz w:val="24"/>
          <w:szCs w:val="24"/>
          <w:highlight w:val="none"/>
        </w:rPr>
      </w:pPr>
    </w:p>
    <w:p w14:paraId="67357D29">
      <w:pPr>
        <w:spacing w:line="360" w:lineRule="auto"/>
        <w:ind w:firstLine="960" w:firstLineChars="4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14:paraId="2715E30F">
      <w:pPr>
        <w:rPr>
          <w:rFonts w:hint="eastAsia" w:ascii="仿宋" w:hAnsi="仿宋" w:eastAsia="仿宋" w:cs="仿宋"/>
          <w:color w:val="auto"/>
          <w:spacing w:val="8"/>
          <w:sz w:val="24"/>
          <w:szCs w:val="24"/>
          <w:highlight w:val="none"/>
        </w:rPr>
        <w:sectPr>
          <w:pgSz w:w="11906" w:h="16838"/>
          <w:pgMar w:top="1191" w:right="1417" w:bottom="1191" w:left="1417" w:header="737" w:footer="737" w:gutter="0"/>
          <w:pgBorders>
            <w:top w:val="none" w:sz="0" w:space="0"/>
            <w:left w:val="none" w:sz="0" w:space="0"/>
            <w:bottom w:val="none" w:sz="0" w:space="0"/>
            <w:right w:val="none" w:sz="0" w:space="0"/>
          </w:pgBorders>
          <w:pgNumType w:fmt="decimal"/>
          <w:cols w:space="720" w:num="1"/>
          <w:rtlGutter w:val="0"/>
          <w:docGrid w:linePitch="312" w:charSpace="0"/>
        </w:sectPr>
      </w:pPr>
    </w:p>
    <w:p w14:paraId="4B5BC30E">
      <w:pPr>
        <w:numPr>
          <w:ilvl w:val="0"/>
          <w:numId w:val="0"/>
        </w:numPr>
        <w:spacing w:line="240" w:lineRule="auto"/>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九、拟投入安保人员花名册</w:t>
      </w:r>
    </w:p>
    <w:p w14:paraId="4C99E601">
      <w:pPr>
        <w:numPr>
          <w:ilvl w:val="0"/>
          <w:numId w:val="0"/>
        </w:numPr>
        <w:spacing w:line="240" w:lineRule="auto"/>
        <w:jc w:val="both"/>
        <w:rPr>
          <w:rFonts w:hint="eastAsia" w:ascii="仿宋" w:hAnsi="仿宋" w:eastAsia="仿宋" w:cs="仿宋"/>
          <w:b/>
          <w:bCs/>
          <w:color w:val="auto"/>
          <w:kern w:val="2"/>
          <w:sz w:val="28"/>
          <w:szCs w:val="28"/>
          <w:highlight w:val="none"/>
          <w:lang w:val="en-US" w:eastAsia="zh-CN" w:bidi="ar-SA"/>
        </w:rPr>
      </w:pPr>
    </w:p>
    <w:tbl>
      <w:tblPr>
        <w:tblStyle w:val="29"/>
        <w:tblW w:w="50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17"/>
        <w:gridCol w:w="884"/>
        <w:gridCol w:w="615"/>
        <w:gridCol w:w="721"/>
        <w:gridCol w:w="721"/>
        <w:gridCol w:w="683"/>
        <w:gridCol w:w="716"/>
        <w:gridCol w:w="986"/>
        <w:gridCol w:w="1068"/>
        <w:gridCol w:w="748"/>
        <w:gridCol w:w="781"/>
        <w:gridCol w:w="953"/>
      </w:tblGrid>
      <w:tr w14:paraId="5536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69" w:hRule="atLeast"/>
          <w:tblHeader/>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E5B0A63">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序号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FEA1A7E">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姓名</w:t>
            </w:r>
          </w:p>
        </w:tc>
        <w:tc>
          <w:tcPr>
            <w:tcW w:w="32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455A697">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性别</w:t>
            </w: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99F537F">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年龄</w:t>
            </w: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CD90F8E">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民族</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5B8F5A1">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身份证号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B6120D2">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保安员证号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C420D42">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是否退伍军人（证号）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B191D22">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是否消防员（证号 / 证明）</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364273D">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 xml:space="preserve">社保缴纳单位 </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3255DE9">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体检报告有效期</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3B3D041">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备注（附材料页码）</w:t>
            </w:r>
          </w:p>
        </w:tc>
      </w:tr>
      <w:tr w14:paraId="17E2C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1521EA1">
            <w:pPr>
              <w:keepNext w:val="0"/>
              <w:keepLines w:val="0"/>
              <w:widowControl/>
              <w:suppressLineNumbers w:val="0"/>
              <w:jc w:val="center"/>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605CFF5">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（项目负责人）</w:t>
            </w:r>
          </w:p>
        </w:tc>
        <w:tc>
          <w:tcPr>
            <w:tcW w:w="32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FEB8597">
            <w:pPr>
              <w:jc w:val="left"/>
              <w:rPr>
                <w:rFonts w:hint="eastAsia" w:ascii="仿宋" w:hAnsi="仿宋" w:eastAsia="仿宋" w:cs="仿宋"/>
                <w:color w:val="auto"/>
                <w:sz w:val="24"/>
                <w:szCs w:val="24"/>
                <w:highlight w:val="none"/>
              </w:rPr>
            </w:pP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3CDC65A">
            <w:pPr>
              <w:jc w:val="left"/>
              <w:rPr>
                <w:rFonts w:hint="eastAsia" w:ascii="仿宋" w:hAnsi="仿宋" w:eastAsia="仿宋" w:cs="仿宋"/>
                <w:color w:val="auto"/>
                <w:sz w:val="24"/>
                <w:szCs w:val="24"/>
                <w:highlight w:val="none"/>
              </w:rPr>
            </w:pP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C9114DB">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16C9FAA">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9786370">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87BF6A0">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9951433">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8714904">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0AD7156">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212201B">
            <w:pPr>
              <w:jc w:val="left"/>
              <w:rPr>
                <w:rFonts w:hint="eastAsia" w:ascii="仿宋" w:hAnsi="仿宋" w:eastAsia="仿宋" w:cs="仿宋"/>
                <w:color w:val="auto"/>
                <w:sz w:val="24"/>
                <w:szCs w:val="24"/>
                <w:highlight w:val="none"/>
              </w:rPr>
            </w:pPr>
          </w:p>
        </w:tc>
      </w:tr>
      <w:tr w14:paraId="38AE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6" w:hRule="atLeast"/>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7E1207A">
            <w:pPr>
              <w:keepNext w:val="0"/>
              <w:keepLines w:val="0"/>
              <w:widowControl/>
              <w:suppressLineNumbers w:val="0"/>
              <w:jc w:val="center"/>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C59A24D">
            <w:pPr>
              <w:jc w:val="left"/>
              <w:rPr>
                <w:rFonts w:hint="eastAsia" w:ascii="仿宋" w:hAnsi="仿宋" w:eastAsia="仿宋" w:cs="仿宋"/>
                <w:color w:val="auto"/>
                <w:sz w:val="24"/>
                <w:szCs w:val="24"/>
                <w:highlight w:val="none"/>
              </w:rPr>
            </w:pPr>
          </w:p>
        </w:tc>
        <w:tc>
          <w:tcPr>
            <w:tcW w:w="32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8504A66">
            <w:pPr>
              <w:jc w:val="left"/>
              <w:rPr>
                <w:rFonts w:hint="eastAsia" w:ascii="仿宋" w:hAnsi="仿宋" w:eastAsia="仿宋" w:cs="仿宋"/>
                <w:color w:val="auto"/>
                <w:sz w:val="24"/>
                <w:szCs w:val="24"/>
                <w:highlight w:val="none"/>
              </w:rPr>
            </w:pP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F71B4D5">
            <w:pPr>
              <w:jc w:val="left"/>
              <w:rPr>
                <w:rFonts w:hint="eastAsia" w:ascii="仿宋" w:hAnsi="仿宋" w:eastAsia="仿宋" w:cs="仿宋"/>
                <w:color w:val="auto"/>
                <w:sz w:val="24"/>
                <w:szCs w:val="24"/>
                <w:highlight w:val="none"/>
              </w:rPr>
            </w:pP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CB8F820">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9E71BF1">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5F560E1">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E2B9478">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35D4D87">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979C617">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6EEF64B">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C48CE4B">
            <w:pPr>
              <w:jc w:val="left"/>
              <w:rPr>
                <w:rFonts w:hint="eastAsia" w:ascii="仿宋" w:hAnsi="仿宋" w:eastAsia="仿宋" w:cs="仿宋"/>
                <w:color w:val="auto"/>
                <w:sz w:val="24"/>
                <w:szCs w:val="24"/>
                <w:highlight w:val="none"/>
              </w:rPr>
            </w:pPr>
          </w:p>
        </w:tc>
      </w:tr>
      <w:tr w14:paraId="5CC0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3" w:hRule="atLeast"/>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2F12CE5">
            <w:pPr>
              <w:keepNext w:val="0"/>
              <w:keepLines w:val="0"/>
              <w:widowControl/>
              <w:suppressLineNumbers w:val="0"/>
              <w:jc w:val="center"/>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3</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A0F739F">
            <w:pPr>
              <w:jc w:val="left"/>
              <w:rPr>
                <w:rFonts w:hint="eastAsia" w:ascii="仿宋" w:hAnsi="仿宋" w:eastAsia="仿宋" w:cs="仿宋"/>
                <w:color w:val="auto"/>
                <w:sz w:val="24"/>
                <w:szCs w:val="24"/>
                <w:highlight w:val="none"/>
              </w:rPr>
            </w:pPr>
          </w:p>
        </w:tc>
        <w:tc>
          <w:tcPr>
            <w:tcW w:w="32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F161169">
            <w:pPr>
              <w:jc w:val="left"/>
              <w:rPr>
                <w:rFonts w:hint="eastAsia" w:ascii="仿宋" w:hAnsi="仿宋" w:eastAsia="仿宋" w:cs="仿宋"/>
                <w:color w:val="auto"/>
                <w:sz w:val="24"/>
                <w:szCs w:val="24"/>
                <w:highlight w:val="none"/>
              </w:rPr>
            </w:pP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336B277">
            <w:pPr>
              <w:jc w:val="left"/>
              <w:rPr>
                <w:rFonts w:hint="eastAsia" w:ascii="仿宋" w:hAnsi="仿宋" w:eastAsia="仿宋" w:cs="仿宋"/>
                <w:color w:val="auto"/>
                <w:sz w:val="24"/>
                <w:szCs w:val="24"/>
                <w:highlight w:val="none"/>
              </w:rPr>
            </w:pP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FEA51C6">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6A20C1B">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3B9DADA">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E7E2476">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4CD24DB">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DB9E78E">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974213B">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AFDE2AE">
            <w:pPr>
              <w:jc w:val="left"/>
              <w:rPr>
                <w:rFonts w:hint="eastAsia" w:ascii="仿宋" w:hAnsi="仿宋" w:eastAsia="仿宋" w:cs="仿宋"/>
                <w:color w:val="auto"/>
                <w:sz w:val="24"/>
                <w:szCs w:val="24"/>
                <w:highlight w:val="none"/>
              </w:rPr>
            </w:pPr>
          </w:p>
        </w:tc>
      </w:tr>
      <w:tr w14:paraId="78754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2" w:hRule="atLeast"/>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AFEB448">
            <w:pPr>
              <w:keepNext w:val="0"/>
              <w:keepLines w:val="0"/>
              <w:widowControl/>
              <w:suppressLineNumbers w:val="0"/>
              <w:jc w:val="center"/>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5D17FFB">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32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7DA2784">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D0DEF20">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09839A3">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1EC3895">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F78715C">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3A46FE9">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630E17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DDDE143">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6E02525">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A97AE50">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r>
      <w:tr w14:paraId="3133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1F0C06A">
            <w:pPr>
              <w:keepNext w:val="0"/>
              <w:keepLines w:val="0"/>
              <w:widowControl/>
              <w:suppressLineNumbers w:val="0"/>
              <w:jc w:val="center"/>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58</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0D8B03D">
            <w:pPr>
              <w:jc w:val="left"/>
              <w:rPr>
                <w:rFonts w:hint="eastAsia" w:ascii="仿宋" w:hAnsi="仿宋" w:eastAsia="仿宋" w:cs="仿宋"/>
                <w:color w:val="auto"/>
                <w:sz w:val="24"/>
                <w:szCs w:val="24"/>
                <w:highlight w:val="none"/>
              </w:rPr>
            </w:pPr>
          </w:p>
        </w:tc>
        <w:tc>
          <w:tcPr>
            <w:tcW w:w="32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6B40A99">
            <w:pPr>
              <w:jc w:val="left"/>
              <w:rPr>
                <w:rFonts w:hint="eastAsia" w:ascii="仿宋" w:hAnsi="仿宋" w:eastAsia="仿宋" w:cs="仿宋"/>
                <w:color w:val="auto"/>
                <w:sz w:val="24"/>
                <w:szCs w:val="24"/>
                <w:highlight w:val="none"/>
              </w:rPr>
            </w:pP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E1C3F5D">
            <w:pPr>
              <w:jc w:val="left"/>
              <w:rPr>
                <w:rFonts w:hint="eastAsia" w:ascii="仿宋" w:hAnsi="仿宋" w:eastAsia="仿宋" w:cs="仿宋"/>
                <w:color w:val="auto"/>
                <w:sz w:val="24"/>
                <w:szCs w:val="24"/>
                <w:highlight w:val="none"/>
              </w:rPr>
            </w:pP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30D2256">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2DDEB17">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73E6946">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E7FB2A5">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57CD77B">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E339C0D">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F09BE3D">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C1A55FD">
            <w:pPr>
              <w:jc w:val="left"/>
              <w:rPr>
                <w:rFonts w:hint="eastAsia" w:ascii="仿宋" w:hAnsi="仿宋" w:eastAsia="仿宋" w:cs="仿宋"/>
                <w:color w:val="auto"/>
                <w:sz w:val="24"/>
                <w:szCs w:val="24"/>
                <w:highlight w:val="none"/>
              </w:rPr>
            </w:pPr>
          </w:p>
        </w:tc>
      </w:tr>
      <w:tr w14:paraId="36DE5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CC8D9D6">
            <w:pPr>
              <w:keepNext w:val="0"/>
              <w:keepLines w:val="0"/>
              <w:widowControl/>
              <w:suppressLineNumbers w:val="0"/>
              <w:jc w:val="center"/>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59</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BC1C19B">
            <w:pPr>
              <w:jc w:val="left"/>
              <w:rPr>
                <w:rFonts w:hint="eastAsia" w:ascii="仿宋" w:hAnsi="仿宋" w:eastAsia="仿宋" w:cs="仿宋"/>
                <w:color w:val="auto"/>
                <w:sz w:val="24"/>
                <w:szCs w:val="24"/>
                <w:highlight w:val="none"/>
              </w:rPr>
            </w:pPr>
          </w:p>
        </w:tc>
        <w:tc>
          <w:tcPr>
            <w:tcW w:w="32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C413069">
            <w:pPr>
              <w:jc w:val="left"/>
              <w:rPr>
                <w:rFonts w:hint="eastAsia" w:ascii="仿宋" w:hAnsi="仿宋" w:eastAsia="仿宋" w:cs="仿宋"/>
                <w:color w:val="auto"/>
                <w:sz w:val="24"/>
                <w:szCs w:val="24"/>
                <w:highlight w:val="none"/>
              </w:rPr>
            </w:pP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82F8244">
            <w:pPr>
              <w:jc w:val="left"/>
              <w:rPr>
                <w:rFonts w:hint="eastAsia" w:ascii="仿宋" w:hAnsi="仿宋" w:eastAsia="仿宋" w:cs="仿宋"/>
                <w:color w:val="auto"/>
                <w:sz w:val="24"/>
                <w:szCs w:val="24"/>
                <w:highlight w:val="none"/>
              </w:rPr>
            </w:pP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D162ED1">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CF820FF">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AC9371E">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6526019">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D87841B">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C3446E5">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93A10EE">
            <w:pPr>
              <w:jc w:val="left"/>
              <w:rPr>
                <w:rFonts w:hint="eastAsia" w:ascii="仿宋" w:hAnsi="仿宋" w:eastAsia="仿宋" w:cs="仿宋"/>
                <w:color w:val="auto"/>
                <w:sz w:val="24"/>
                <w:szCs w:val="24"/>
                <w:highlight w:val="none"/>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6362A29">
            <w:pPr>
              <w:jc w:val="left"/>
              <w:rPr>
                <w:rFonts w:hint="eastAsia" w:ascii="仿宋" w:hAnsi="仿宋" w:eastAsia="仿宋" w:cs="仿宋"/>
                <w:color w:val="auto"/>
                <w:sz w:val="24"/>
                <w:szCs w:val="24"/>
                <w:highlight w:val="none"/>
              </w:rPr>
            </w:pPr>
          </w:p>
        </w:tc>
      </w:tr>
      <w:tr w14:paraId="0595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6" w:hRule="atLeast"/>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9BD4FEE">
            <w:pPr>
              <w:keepNext w:val="0"/>
              <w:keepLines w:val="0"/>
              <w:widowControl/>
              <w:suppressLineNumbers w:val="0"/>
              <w:jc w:val="center"/>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BD27785">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324"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CD70F79">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31701B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380"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9D86F2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470265E">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40F1E5E">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7ECD7F5">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EA3F6DA">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756B54B">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3783C9D">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6C20D22">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r>
    </w:tbl>
    <w:p w14:paraId="2C457DEE">
      <w:pPr>
        <w:pStyle w:val="14"/>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填报说明：</w:t>
      </w:r>
    </w:p>
    <w:p w14:paraId="5EC2B2A0">
      <w:pPr>
        <w:widowControl w:val="0"/>
        <w:numPr>
          <w:ilvl w:val="0"/>
          <w:numId w:val="0"/>
        </w:numPr>
        <w:wordWrap/>
        <w:adjustRightInd/>
        <w:snapToGrid/>
        <w:spacing w:line="288"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本表人数须≥59 人（58 名安保人员 + 1 名项目负责人），不足按否决投标处理；</w:t>
      </w:r>
    </w:p>
    <w:p w14:paraId="4D7ECBC8">
      <w:pPr>
        <w:widowControl w:val="0"/>
        <w:numPr>
          <w:ilvl w:val="0"/>
          <w:numId w:val="0"/>
        </w:numPr>
        <w:wordWrap/>
        <w:adjustRightInd/>
        <w:snapToGrid/>
        <w:spacing w:line="288"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“保安员证号” 需填写公安机关核发有效证件编号，无证人员不得列入；</w:t>
      </w:r>
    </w:p>
    <w:p w14:paraId="6E044BBD">
      <w:pPr>
        <w:widowControl w:val="0"/>
        <w:numPr>
          <w:ilvl w:val="0"/>
          <w:numId w:val="0"/>
        </w:numPr>
        <w:wordWrap/>
        <w:adjustRightInd/>
        <w:snapToGrid/>
        <w:spacing w:line="288"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“社保缴纳时段” 填写 2026 年 01 月 - 03 月任意一个月，依法无需缴纳的标注 “无社保 + 劳动合同 / 返聘合同”；</w:t>
      </w:r>
    </w:p>
    <w:p w14:paraId="770632E4">
      <w:pPr>
        <w:widowControl w:val="0"/>
        <w:numPr>
          <w:ilvl w:val="0"/>
          <w:numId w:val="0"/>
        </w:numPr>
        <w:wordWrap/>
        <w:adjustRightInd/>
        <w:snapToGrid/>
        <w:spacing w:line="288"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“体检报告有效期” 填写近 6 个月内（2025 年 9 月 - 至今）县级及以上医疗机构体检报告到期时间，附扫码查验截图页码；</w:t>
      </w:r>
    </w:p>
    <w:p w14:paraId="619B1A0B">
      <w:pPr>
        <w:widowControl w:val="0"/>
        <w:numPr>
          <w:ilvl w:val="0"/>
          <w:numId w:val="0"/>
        </w:numPr>
        <w:wordWrap/>
        <w:adjustRightInd/>
        <w:snapToGrid/>
        <w:spacing w:line="288"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岗位分配需明确至具体院区（如东院区 / 西院区）及岗位（如门诊执勤 / 住院部巡逻 / 出入口管控等）；</w:t>
      </w:r>
    </w:p>
    <w:p w14:paraId="44F0FC7E">
      <w:pPr>
        <w:widowControl w:val="0"/>
        <w:numPr>
          <w:ilvl w:val="0"/>
          <w:numId w:val="0"/>
        </w:numPr>
        <w:wordWrap/>
        <w:adjustRightInd/>
        <w:snapToGrid/>
        <w:spacing w:line="288" w:lineRule="auto"/>
        <w:jc w:val="left"/>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每列备注栏标注对应证明材料（身份证、保安员证、体检报告等）在投标文件中的页码。</w:t>
      </w:r>
    </w:p>
    <w:p w14:paraId="06F63600">
      <w:pPr>
        <w:pStyle w:val="94"/>
        <w:numPr>
          <w:ilvl w:val="0"/>
          <w:numId w:val="0"/>
        </w:numPr>
        <w:tabs>
          <w:tab w:val="left" w:pos="540"/>
          <w:tab w:val="left" w:pos="1080"/>
        </w:tabs>
        <w:jc w:val="left"/>
        <w:rPr>
          <w:rFonts w:hint="eastAsia" w:ascii="仿宋" w:hAnsi="仿宋" w:eastAsia="仿宋" w:cs="仿宋"/>
          <w:b/>
          <w:bCs/>
          <w:color w:val="auto"/>
          <w:sz w:val="24"/>
          <w:szCs w:val="24"/>
          <w:highlight w:val="none"/>
          <w:lang w:val="en-US" w:eastAsia="zh-CN"/>
        </w:rPr>
      </w:pPr>
    </w:p>
    <w:p w14:paraId="35A872C2">
      <w:pPr>
        <w:spacing w:line="240" w:lineRule="auto"/>
        <w:rPr>
          <w:rFonts w:hint="eastAsia" w:ascii="仿宋" w:hAnsi="仿宋" w:eastAsia="仿宋" w:cs="仿宋"/>
          <w:color w:val="auto"/>
          <w:sz w:val="24"/>
          <w:szCs w:val="24"/>
          <w:highlight w:val="none"/>
        </w:rPr>
      </w:pPr>
    </w:p>
    <w:p w14:paraId="0B28EB8C">
      <w:pPr>
        <w:spacing w:line="240" w:lineRule="auto"/>
        <w:ind w:firstLine="480" w:firstLineChars="200"/>
        <w:rPr>
          <w:rFonts w:hint="eastAsia" w:ascii="仿宋" w:hAnsi="仿宋" w:eastAsia="仿宋" w:cs="仿宋"/>
          <w:color w:val="auto"/>
          <w:sz w:val="24"/>
          <w:szCs w:val="24"/>
          <w:highlight w:val="none"/>
        </w:rPr>
      </w:pPr>
    </w:p>
    <w:p w14:paraId="53B1E1D3">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1DB69F4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1F94977B">
      <w:pPr>
        <w:spacing w:line="360" w:lineRule="auto"/>
        <w:ind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年   月   日</w:t>
      </w:r>
    </w:p>
    <w:p w14:paraId="443D455E">
      <w:pPr>
        <w:numPr>
          <w:ilvl w:val="0"/>
          <w:numId w:val="0"/>
        </w:numPr>
        <w:spacing w:line="720" w:lineRule="auto"/>
        <w:jc w:val="center"/>
        <w:rPr>
          <w:rFonts w:hint="eastAsia" w:ascii="仿宋" w:hAnsi="仿宋" w:eastAsia="仿宋" w:cs="仿宋"/>
          <w:b/>
          <w:bCs/>
          <w:color w:val="auto"/>
          <w:kern w:val="0"/>
          <w:sz w:val="28"/>
          <w:szCs w:val="28"/>
          <w:highlight w:val="none"/>
          <w:lang w:val="en-US" w:eastAsia="zh-CN" w:bidi="ar-SA"/>
        </w:rPr>
      </w:pPr>
    </w:p>
    <w:p w14:paraId="3B70E4D9">
      <w:pPr>
        <w:numPr>
          <w:ilvl w:val="0"/>
          <w:numId w:val="0"/>
        </w:numPr>
        <w:spacing w:line="600" w:lineRule="auto"/>
        <w:jc w:val="center"/>
        <w:rPr>
          <w:rFonts w:hint="eastAsia" w:ascii="仿宋" w:hAnsi="仿宋" w:eastAsia="仿宋" w:cs="仿宋"/>
          <w:b/>
          <w:bCs/>
          <w:color w:val="auto"/>
          <w:kern w:val="0"/>
          <w:sz w:val="28"/>
          <w:szCs w:val="28"/>
          <w:highlight w:val="none"/>
          <w:lang w:val="en-US" w:eastAsia="zh-CN" w:bidi="ar-SA"/>
        </w:rPr>
        <w:sectPr>
          <w:pgSz w:w="11906" w:h="16838"/>
          <w:pgMar w:top="1191" w:right="1417" w:bottom="1191" w:left="1417" w:header="737" w:footer="737" w:gutter="0"/>
          <w:pgBorders>
            <w:top w:val="none" w:sz="0" w:space="0"/>
            <w:left w:val="none" w:sz="0" w:space="0"/>
            <w:bottom w:val="none" w:sz="0" w:space="0"/>
            <w:right w:val="none" w:sz="0" w:space="0"/>
          </w:pgBorders>
          <w:pgNumType w:fmt="decimal"/>
          <w:cols w:space="720" w:num="1"/>
          <w:rtlGutter w:val="0"/>
          <w:docGrid w:linePitch="312" w:charSpace="0"/>
        </w:sectPr>
      </w:pPr>
    </w:p>
    <w:p w14:paraId="3AF467C8">
      <w:pPr>
        <w:pStyle w:val="14"/>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安保人员服装配置表</w:t>
      </w:r>
    </w:p>
    <w:tbl>
      <w:tblPr>
        <w:tblStyle w:val="29"/>
        <w:tblW w:w="4869"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fixed"/>
        <w:tblCellMar>
          <w:top w:w="15" w:type="dxa"/>
          <w:left w:w="15" w:type="dxa"/>
          <w:bottom w:w="15" w:type="dxa"/>
          <w:right w:w="15" w:type="dxa"/>
        </w:tblCellMar>
      </w:tblPr>
      <w:tblGrid>
        <w:gridCol w:w="498"/>
        <w:gridCol w:w="1039"/>
        <w:gridCol w:w="498"/>
        <w:gridCol w:w="1452"/>
        <w:gridCol w:w="2234"/>
        <w:gridCol w:w="1749"/>
        <w:gridCol w:w="1794"/>
        <w:gridCol w:w="2234"/>
        <w:gridCol w:w="939"/>
        <w:gridCol w:w="832"/>
        <w:gridCol w:w="1042"/>
      </w:tblGrid>
      <w:tr w14:paraId="6D47AE5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trPr>
        <w:tc>
          <w:tcPr>
            <w:tcW w:w="481" w:type="dxa"/>
            <w:tcBorders>
              <w:tl2br w:val="nil"/>
              <w:tr2bl w:val="nil"/>
            </w:tcBorders>
            <w:shd w:val="clear" w:color="auto" w:fill="auto"/>
            <w:tcMar>
              <w:top w:w="120" w:type="dxa"/>
              <w:left w:w="120" w:type="dxa"/>
              <w:bottom w:w="120" w:type="dxa"/>
              <w:right w:w="120" w:type="dxa"/>
            </w:tcMar>
            <w:vAlign w:val="center"/>
          </w:tcPr>
          <w:p w14:paraId="5473C47F">
            <w:pPr>
              <w:keepNext w:val="0"/>
              <w:keepLines w:val="0"/>
              <w:widowControl/>
              <w:suppressLineNumbers w:val="0"/>
              <w:jc w:val="center"/>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序号</w:t>
            </w:r>
          </w:p>
        </w:tc>
        <w:tc>
          <w:tcPr>
            <w:tcW w:w="1004" w:type="dxa"/>
            <w:tcBorders>
              <w:tl2br w:val="nil"/>
              <w:tr2bl w:val="nil"/>
            </w:tcBorders>
            <w:shd w:val="clear" w:color="auto" w:fill="auto"/>
            <w:tcMar>
              <w:top w:w="120" w:type="dxa"/>
              <w:left w:w="120" w:type="dxa"/>
              <w:bottom w:w="120" w:type="dxa"/>
              <w:right w:w="120" w:type="dxa"/>
            </w:tcMar>
            <w:vAlign w:val="center"/>
          </w:tcPr>
          <w:p w14:paraId="5BD69D29">
            <w:pPr>
              <w:keepNext w:val="0"/>
              <w:keepLines w:val="0"/>
              <w:widowControl/>
              <w:suppressLineNumbers w:val="0"/>
              <w:jc w:val="center"/>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服装 / 配套标识名称</w:t>
            </w:r>
          </w:p>
        </w:tc>
        <w:tc>
          <w:tcPr>
            <w:tcW w:w="481" w:type="dxa"/>
            <w:tcBorders>
              <w:tl2br w:val="nil"/>
              <w:tr2bl w:val="nil"/>
            </w:tcBorders>
            <w:shd w:val="clear" w:color="auto" w:fill="auto"/>
            <w:tcMar>
              <w:top w:w="120" w:type="dxa"/>
              <w:left w:w="120" w:type="dxa"/>
              <w:bottom w:w="120" w:type="dxa"/>
              <w:right w:w="120" w:type="dxa"/>
            </w:tcMar>
            <w:vAlign w:val="center"/>
          </w:tcPr>
          <w:p w14:paraId="4E7A3E20">
            <w:pPr>
              <w:keepNext w:val="0"/>
              <w:keepLines w:val="0"/>
              <w:widowControl/>
              <w:suppressLineNumbers w:val="0"/>
              <w:jc w:val="center"/>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单位</w:t>
            </w:r>
          </w:p>
        </w:tc>
        <w:tc>
          <w:tcPr>
            <w:tcW w:w="1404" w:type="dxa"/>
            <w:tcBorders>
              <w:tl2br w:val="nil"/>
              <w:tr2bl w:val="nil"/>
            </w:tcBorders>
            <w:shd w:val="clear" w:color="auto" w:fill="auto"/>
            <w:tcMar>
              <w:top w:w="120" w:type="dxa"/>
              <w:left w:w="120" w:type="dxa"/>
              <w:bottom w:w="120" w:type="dxa"/>
              <w:right w:w="120" w:type="dxa"/>
            </w:tcMar>
            <w:vAlign w:val="center"/>
          </w:tcPr>
          <w:p w14:paraId="1A51CE7E">
            <w:pPr>
              <w:keepNext w:val="0"/>
              <w:keepLines w:val="0"/>
              <w:widowControl/>
              <w:suppressLineNumbers w:val="0"/>
              <w:jc w:val="center"/>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数量（按人数配齐）</w:t>
            </w:r>
          </w:p>
        </w:tc>
        <w:tc>
          <w:tcPr>
            <w:tcW w:w="2160" w:type="dxa"/>
            <w:tcBorders>
              <w:tl2br w:val="nil"/>
              <w:tr2bl w:val="nil"/>
            </w:tcBorders>
            <w:shd w:val="clear" w:color="auto" w:fill="auto"/>
            <w:tcMar>
              <w:top w:w="120" w:type="dxa"/>
              <w:left w:w="120" w:type="dxa"/>
              <w:bottom w:w="120" w:type="dxa"/>
              <w:right w:w="120" w:type="dxa"/>
            </w:tcMar>
            <w:vAlign w:val="center"/>
          </w:tcPr>
          <w:p w14:paraId="786AFA68">
            <w:pPr>
              <w:keepNext w:val="0"/>
              <w:keepLines w:val="0"/>
              <w:widowControl/>
              <w:suppressLineNumbers w:val="0"/>
              <w:jc w:val="center"/>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购置单价（元）</w:t>
            </w:r>
          </w:p>
        </w:tc>
        <w:tc>
          <w:tcPr>
            <w:tcW w:w="611" w:type="pct"/>
            <w:tcBorders>
              <w:tl2br w:val="nil"/>
              <w:tr2bl w:val="nil"/>
            </w:tcBorders>
            <w:shd w:val="clear" w:color="auto" w:fill="auto"/>
            <w:tcMar>
              <w:top w:w="120" w:type="dxa"/>
              <w:left w:w="120" w:type="dxa"/>
              <w:bottom w:w="120" w:type="dxa"/>
              <w:right w:w="120" w:type="dxa"/>
            </w:tcMar>
            <w:vAlign w:val="center"/>
          </w:tcPr>
          <w:p w14:paraId="79FBD971">
            <w:pPr>
              <w:keepNext w:val="0"/>
              <w:keepLines w:val="0"/>
              <w:widowControl/>
              <w:suppressLineNumbers w:val="0"/>
              <w:jc w:val="center"/>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购置总价（元）</w:t>
            </w:r>
          </w:p>
        </w:tc>
        <w:tc>
          <w:tcPr>
            <w:tcW w:w="627" w:type="pct"/>
            <w:tcBorders>
              <w:tl2br w:val="nil"/>
              <w:tr2bl w:val="nil"/>
            </w:tcBorders>
            <w:shd w:val="clear" w:color="auto" w:fill="auto"/>
            <w:tcMar>
              <w:top w:w="120" w:type="dxa"/>
              <w:left w:w="120" w:type="dxa"/>
              <w:bottom w:w="120" w:type="dxa"/>
              <w:right w:w="120" w:type="dxa"/>
            </w:tcMar>
            <w:vAlign w:val="center"/>
          </w:tcPr>
          <w:p w14:paraId="656BE445">
            <w:pPr>
              <w:keepNext w:val="0"/>
              <w:keepLines w:val="0"/>
              <w:widowControl/>
              <w:suppressLineNumbers w:val="0"/>
              <w:jc w:val="center"/>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购置时间（2025 年 3 月 - 至今）</w:t>
            </w:r>
          </w:p>
        </w:tc>
        <w:tc>
          <w:tcPr>
            <w:tcW w:w="2160" w:type="dxa"/>
            <w:tcBorders>
              <w:tl2br w:val="nil"/>
              <w:tr2bl w:val="nil"/>
            </w:tcBorders>
            <w:shd w:val="clear" w:color="auto" w:fill="auto"/>
            <w:tcMar>
              <w:top w:w="120" w:type="dxa"/>
              <w:left w:w="120" w:type="dxa"/>
              <w:bottom w:w="120" w:type="dxa"/>
              <w:right w:w="120" w:type="dxa"/>
            </w:tcMar>
            <w:vAlign w:val="center"/>
          </w:tcPr>
          <w:p w14:paraId="7BA20562">
            <w:pPr>
              <w:keepNext w:val="0"/>
              <w:keepLines w:val="0"/>
              <w:widowControl/>
              <w:suppressLineNumbers w:val="0"/>
              <w:jc w:val="center"/>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购置发票编号</w:t>
            </w:r>
          </w:p>
        </w:tc>
        <w:tc>
          <w:tcPr>
            <w:tcW w:w="908" w:type="dxa"/>
            <w:tcBorders>
              <w:tl2br w:val="nil"/>
              <w:tr2bl w:val="nil"/>
            </w:tcBorders>
            <w:shd w:val="clear" w:color="auto" w:fill="auto"/>
            <w:tcMar>
              <w:top w:w="120" w:type="dxa"/>
              <w:left w:w="120" w:type="dxa"/>
              <w:bottom w:w="120" w:type="dxa"/>
              <w:right w:w="120" w:type="dxa"/>
            </w:tcMar>
            <w:vAlign w:val="center"/>
          </w:tcPr>
          <w:p w14:paraId="7E3C4F28">
            <w:pPr>
              <w:keepNext w:val="0"/>
              <w:keepLines w:val="0"/>
              <w:widowControl/>
              <w:suppressLineNumbers w:val="0"/>
              <w:jc w:val="center"/>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权属（本项目专用）</w:t>
            </w:r>
          </w:p>
        </w:tc>
        <w:tc>
          <w:tcPr>
            <w:tcW w:w="804" w:type="dxa"/>
            <w:tcBorders>
              <w:tl2br w:val="nil"/>
              <w:tr2bl w:val="nil"/>
            </w:tcBorders>
            <w:shd w:val="clear" w:color="auto" w:fill="auto"/>
            <w:tcMar>
              <w:top w:w="120" w:type="dxa"/>
              <w:left w:w="120" w:type="dxa"/>
              <w:bottom w:w="120" w:type="dxa"/>
              <w:right w:w="120" w:type="dxa"/>
            </w:tcMar>
            <w:vAlign w:val="center"/>
          </w:tcPr>
          <w:p w14:paraId="5A9A363D">
            <w:pPr>
              <w:keepNext w:val="0"/>
              <w:keepLines w:val="0"/>
              <w:widowControl/>
              <w:suppressLineNumbers w:val="0"/>
              <w:jc w:val="center"/>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维护更换周期</w:t>
            </w:r>
          </w:p>
        </w:tc>
        <w:tc>
          <w:tcPr>
            <w:tcW w:w="1007" w:type="dxa"/>
            <w:tcBorders>
              <w:tl2br w:val="nil"/>
              <w:tr2bl w:val="nil"/>
            </w:tcBorders>
            <w:shd w:val="clear" w:color="auto" w:fill="auto"/>
            <w:tcMar>
              <w:top w:w="120" w:type="dxa"/>
              <w:left w:w="120" w:type="dxa"/>
              <w:bottom w:w="120" w:type="dxa"/>
              <w:right w:w="120" w:type="dxa"/>
            </w:tcMar>
            <w:vAlign w:val="center"/>
          </w:tcPr>
          <w:p w14:paraId="54A8937D">
            <w:pPr>
              <w:keepNext w:val="0"/>
              <w:keepLines w:val="0"/>
              <w:widowControl/>
              <w:suppressLineNumbers w:val="0"/>
              <w:jc w:val="center"/>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备注（附材料页码）</w:t>
            </w:r>
          </w:p>
        </w:tc>
      </w:tr>
      <w:tr w14:paraId="2B7D6F8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trPr>
        <w:tc>
          <w:tcPr>
            <w:tcW w:w="481" w:type="dxa"/>
            <w:tcBorders>
              <w:tl2br w:val="nil"/>
              <w:tr2bl w:val="nil"/>
            </w:tcBorders>
            <w:shd w:val="clear" w:color="auto" w:fill="auto"/>
            <w:tcMar>
              <w:top w:w="120" w:type="dxa"/>
              <w:left w:w="120" w:type="dxa"/>
              <w:bottom w:w="120" w:type="dxa"/>
              <w:right w:w="120" w:type="dxa"/>
            </w:tcMar>
            <w:vAlign w:val="center"/>
          </w:tcPr>
          <w:p w14:paraId="2DAC7E8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1</w:t>
            </w:r>
          </w:p>
        </w:tc>
        <w:tc>
          <w:tcPr>
            <w:tcW w:w="1004" w:type="dxa"/>
            <w:tcBorders>
              <w:tl2br w:val="nil"/>
              <w:tr2bl w:val="nil"/>
            </w:tcBorders>
            <w:shd w:val="clear" w:color="auto" w:fill="auto"/>
            <w:tcMar>
              <w:top w:w="120" w:type="dxa"/>
              <w:left w:w="120" w:type="dxa"/>
              <w:bottom w:w="120" w:type="dxa"/>
              <w:right w:w="120" w:type="dxa"/>
            </w:tcMar>
            <w:vAlign w:val="center"/>
          </w:tcPr>
          <w:p w14:paraId="24DB42E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冬季安保制服</w:t>
            </w:r>
          </w:p>
        </w:tc>
        <w:tc>
          <w:tcPr>
            <w:tcW w:w="481" w:type="dxa"/>
            <w:tcBorders>
              <w:tl2br w:val="nil"/>
              <w:tr2bl w:val="nil"/>
            </w:tcBorders>
            <w:shd w:val="clear" w:color="auto" w:fill="auto"/>
            <w:tcMar>
              <w:top w:w="120" w:type="dxa"/>
              <w:left w:w="120" w:type="dxa"/>
              <w:bottom w:w="120" w:type="dxa"/>
              <w:right w:w="120" w:type="dxa"/>
            </w:tcMar>
            <w:vAlign w:val="center"/>
          </w:tcPr>
          <w:p w14:paraId="213141C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套</w:t>
            </w:r>
          </w:p>
        </w:tc>
        <w:tc>
          <w:tcPr>
            <w:tcW w:w="1404" w:type="dxa"/>
            <w:tcBorders>
              <w:tl2br w:val="nil"/>
              <w:tr2bl w:val="nil"/>
            </w:tcBorders>
            <w:shd w:val="clear" w:color="auto" w:fill="auto"/>
            <w:tcMar>
              <w:top w:w="120" w:type="dxa"/>
              <w:left w:w="120" w:type="dxa"/>
              <w:bottom w:w="120" w:type="dxa"/>
              <w:right w:w="120" w:type="dxa"/>
            </w:tcMar>
            <w:vAlign w:val="center"/>
          </w:tcPr>
          <w:p w14:paraId="4B3BAC3A">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______×2</w:t>
            </w:r>
          </w:p>
        </w:tc>
        <w:tc>
          <w:tcPr>
            <w:tcW w:w="2160" w:type="dxa"/>
            <w:tcBorders>
              <w:tl2br w:val="nil"/>
              <w:tr2bl w:val="nil"/>
            </w:tcBorders>
            <w:shd w:val="clear" w:color="auto" w:fill="auto"/>
            <w:tcMar>
              <w:top w:w="120" w:type="dxa"/>
              <w:left w:w="120" w:type="dxa"/>
              <w:bottom w:w="120" w:type="dxa"/>
              <w:right w:w="120" w:type="dxa"/>
            </w:tcMar>
            <w:vAlign w:val="center"/>
          </w:tcPr>
          <w:p w14:paraId="7C37C245">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11" w:type="pct"/>
            <w:tcBorders>
              <w:tl2br w:val="nil"/>
              <w:tr2bl w:val="nil"/>
            </w:tcBorders>
            <w:shd w:val="clear" w:color="auto" w:fill="auto"/>
            <w:tcMar>
              <w:top w:w="120" w:type="dxa"/>
              <w:left w:w="120" w:type="dxa"/>
              <w:bottom w:w="120" w:type="dxa"/>
              <w:right w:w="120" w:type="dxa"/>
            </w:tcMar>
            <w:vAlign w:val="center"/>
          </w:tcPr>
          <w:p w14:paraId="4940C2D2">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27" w:type="pct"/>
            <w:tcBorders>
              <w:tl2br w:val="nil"/>
              <w:tr2bl w:val="nil"/>
            </w:tcBorders>
            <w:shd w:val="clear" w:color="auto" w:fill="auto"/>
            <w:tcMar>
              <w:top w:w="120" w:type="dxa"/>
              <w:left w:w="120" w:type="dxa"/>
              <w:bottom w:w="120" w:type="dxa"/>
              <w:right w:w="120" w:type="dxa"/>
            </w:tcMar>
            <w:vAlign w:val="center"/>
          </w:tcPr>
          <w:p w14:paraId="257D7901">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______年____月</w:t>
            </w:r>
          </w:p>
        </w:tc>
        <w:tc>
          <w:tcPr>
            <w:tcW w:w="2160" w:type="dxa"/>
            <w:tcBorders>
              <w:tl2br w:val="nil"/>
              <w:tr2bl w:val="nil"/>
            </w:tcBorders>
            <w:shd w:val="clear" w:color="auto" w:fill="auto"/>
            <w:tcMar>
              <w:top w:w="120" w:type="dxa"/>
              <w:left w:w="120" w:type="dxa"/>
              <w:bottom w:w="120" w:type="dxa"/>
              <w:right w:w="120" w:type="dxa"/>
            </w:tcMar>
            <w:vAlign w:val="center"/>
          </w:tcPr>
          <w:p w14:paraId="79A0D6AA">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908" w:type="dxa"/>
            <w:tcBorders>
              <w:tl2br w:val="nil"/>
              <w:tr2bl w:val="nil"/>
            </w:tcBorders>
            <w:shd w:val="clear" w:color="auto" w:fill="auto"/>
            <w:tcMar>
              <w:top w:w="120" w:type="dxa"/>
              <w:left w:w="120" w:type="dxa"/>
              <w:bottom w:w="120" w:type="dxa"/>
              <w:right w:w="120" w:type="dxa"/>
            </w:tcMar>
            <w:vAlign w:val="center"/>
          </w:tcPr>
          <w:p w14:paraId="16ECCAB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本项目专用</w:t>
            </w:r>
          </w:p>
        </w:tc>
        <w:tc>
          <w:tcPr>
            <w:tcW w:w="804" w:type="dxa"/>
            <w:tcBorders>
              <w:tl2br w:val="nil"/>
              <w:tr2bl w:val="nil"/>
            </w:tcBorders>
            <w:shd w:val="clear" w:color="auto" w:fill="auto"/>
            <w:tcMar>
              <w:top w:w="120" w:type="dxa"/>
              <w:left w:w="120" w:type="dxa"/>
              <w:bottom w:w="120" w:type="dxa"/>
              <w:right w:w="120" w:type="dxa"/>
            </w:tcMar>
            <w:vAlign w:val="center"/>
          </w:tcPr>
          <w:p w14:paraId="1A49631A">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每____年更换</w:t>
            </w:r>
          </w:p>
        </w:tc>
        <w:tc>
          <w:tcPr>
            <w:tcW w:w="1007" w:type="dxa"/>
            <w:tcBorders>
              <w:tl2br w:val="nil"/>
              <w:tr2bl w:val="nil"/>
            </w:tcBorders>
            <w:shd w:val="clear" w:color="auto" w:fill="auto"/>
            <w:tcMar>
              <w:top w:w="120" w:type="dxa"/>
              <w:left w:w="120" w:type="dxa"/>
              <w:bottom w:w="120" w:type="dxa"/>
              <w:right w:w="120" w:type="dxa"/>
            </w:tcMar>
            <w:vAlign w:val="center"/>
          </w:tcPr>
          <w:p w14:paraId="58E5422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发票 / 照片 / 合格证页码</w:t>
            </w:r>
          </w:p>
        </w:tc>
      </w:tr>
      <w:tr w14:paraId="763C1E5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trPr>
        <w:tc>
          <w:tcPr>
            <w:tcW w:w="481" w:type="dxa"/>
            <w:tcBorders>
              <w:tl2br w:val="nil"/>
              <w:tr2bl w:val="nil"/>
            </w:tcBorders>
            <w:shd w:val="clear" w:color="auto" w:fill="auto"/>
            <w:tcMar>
              <w:top w:w="120" w:type="dxa"/>
              <w:left w:w="120" w:type="dxa"/>
              <w:bottom w:w="120" w:type="dxa"/>
              <w:right w:w="120" w:type="dxa"/>
            </w:tcMar>
            <w:vAlign w:val="center"/>
          </w:tcPr>
          <w:p w14:paraId="0AFBB54B">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2</w:t>
            </w:r>
          </w:p>
        </w:tc>
        <w:tc>
          <w:tcPr>
            <w:tcW w:w="1004" w:type="dxa"/>
            <w:tcBorders>
              <w:tl2br w:val="nil"/>
              <w:tr2bl w:val="nil"/>
            </w:tcBorders>
            <w:shd w:val="clear" w:color="auto" w:fill="auto"/>
            <w:tcMar>
              <w:top w:w="120" w:type="dxa"/>
              <w:left w:w="120" w:type="dxa"/>
              <w:bottom w:w="120" w:type="dxa"/>
              <w:right w:w="120" w:type="dxa"/>
            </w:tcMar>
            <w:vAlign w:val="center"/>
          </w:tcPr>
          <w:p w14:paraId="15F9AE70">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夏季安保制服</w:t>
            </w:r>
          </w:p>
        </w:tc>
        <w:tc>
          <w:tcPr>
            <w:tcW w:w="481" w:type="dxa"/>
            <w:tcBorders>
              <w:tl2br w:val="nil"/>
              <w:tr2bl w:val="nil"/>
            </w:tcBorders>
            <w:shd w:val="clear" w:color="auto" w:fill="auto"/>
            <w:tcMar>
              <w:top w:w="120" w:type="dxa"/>
              <w:left w:w="120" w:type="dxa"/>
              <w:bottom w:w="120" w:type="dxa"/>
              <w:right w:w="120" w:type="dxa"/>
            </w:tcMar>
            <w:vAlign w:val="center"/>
          </w:tcPr>
          <w:p w14:paraId="407F207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套</w:t>
            </w:r>
          </w:p>
        </w:tc>
        <w:tc>
          <w:tcPr>
            <w:tcW w:w="1404" w:type="dxa"/>
            <w:tcBorders>
              <w:tl2br w:val="nil"/>
              <w:tr2bl w:val="nil"/>
            </w:tcBorders>
            <w:shd w:val="clear" w:color="auto" w:fill="auto"/>
            <w:tcMar>
              <w:top w:w="120" w:type="dxa"/>
              <w:left w:w="120" w:type="dxa"/>
              <w:bottom w:w="120" w:type="dxa"/>
              <w:right w:w="120" w:type="dxa"/>
            </w:tcMar>
            <w:vAlign w:val="center"/>
          </w:tcPr>
          <w:p w14:paraId="47C444E4">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______×2</w:t>
            </w:r>
          </w:p>
        </w:tc>
        <w:tc>
          <w:tcPr>
            <w:tcW w:w="2160" w:type="dxa"/>
            <w:tcBorders>
              <w:tl2br w:val="nil"/>
              <w:tr2bl w:val="nil"/>
            </w:tcBorders>
            <w:shd w:val="clear" w:color="auto" w:fill="auto"/>
            <w:tcMar>
              <w:top w:w="120" w:type="dxa"/>
              <w:left w:w="120" w:type="dxa"/>
              <w:bottom w:w="120" w:type="dxa"/>
              <w:right w:w="120" w:type="dxa"/>
            </w:tcMar>
            <w:vAlign w:val="center"/>
          </w:tcPr>
          <w:p w14:paraId="2DA4A2EB">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11" w:type="pct"/>
            <w:tcBorders>
              <w:tl2br w:val="nil"/>
              <w:tr2bl w:val="nil"/>
            </w:tcBorders>
            <w:shd w:val="clear" w:color="auto" w:fill="auto"/>
            <w:tcMar>
              <w:top w:w="120" w:type="dxa"/>
              <w:left w:w="120" w:type="dxa"/>
              <w:bottom w:w="120" w:type="dxa"/>
              <w:right w:w="120" w:type="dxa"/>
            </w:tcMar>
            <w:vAlign w:val="center"/>
          </w:tcPr>
          <w:p w14:paraId="255F6249">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27" w:type="pct"/>
            <w:tcBorders>
              <w:tl2br w:val="nil"/>
              <w:tr2bl w:val="nil"/>
            </w:tcBorders>
            <w:shd w:val="clear" w:color="auto" w:fill="auto"/>
            <w:tcMar>
              <w:top w:w="120" w:type="dxa"/>
              <w:left w:w="120" w:type="dxa"/>
              <w:bottom w:w="120" w:type="dxa"/>
              <w:right w:w="120" w:type="dxa"/>
            </w:tcMar>
            <w:vAlign w:val="center"/>
          </w:tcPr>
          <w:p w14:paraId="7522D4B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______年____月</w:t>
            </w:r>
          </w:p>
        </w:tc>
        <w:tc>
          <w:tcPr>
            <w:tcW w:w="2160" w:type="dxa"/>
            <w:tcBorders>
              <w:tl2br w:val="nil"/>
              <w:tr2bl w:val="nil"/>
            </w:tcBorders>
            <w:shd w:val="clear" w:color="auto" w:fill="auto"/>
            <w:tcMar>
              <w:top w:w="120" w:type="dxa"/>
              <w:left w:w="120" w:type="dxa"/>
              <w:bottom w:w="120" w:type="dxa"/>
              <w:right w:w="120" w:type="dxa"/>
            </w:tcMar>
            <w:vAlign w:val="center"/>
          </w:tcPr>
          <w:p w14:paraId="09808160">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908" w:type="dxa"/>
            <w:tcBorders>
              <w:tl2br w:val="nil"/>
              <w:tr2bl w:val="nil"/>
            </w:tcBorders>
            <w:shd w:val="clear" w:color="auto" w:fill="auto"/>
            <w:tcMar>
              <w:top w:w="120" w:type="dxa"/>
              <w:left w:w="120" w:type="dxa"/>
              <w:bottom w:w="120" w:type="dxa"/>
              <w:right w:w="120" w:type="dxa"/>
            </w:tcMar>
            <w:vAlign w:val="center"/>
          </w:tcPr>
          <w:p w14:paraId="2B1F164D">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本项目专用</w:t>
            </w:r>
          </w:p>
        </w:tc>
        <w:tc>
          <w:tcPr>
            <w:tcW w:w="804" w:type="dxa"/>
            <w:tcBorders>
              <w:tl2br w:val="nil"/>
              <w:tr2bl w:val="nil"/>
            </w:tcBorders>
            <w:shd w:val="clear" w:color="auto" w:fill="auto"/>
            <w:tcMar>
              <w:top w:w="120" w:type="dxa"/>
              <w:left w:w="120" w:type="dxa"/>
              <w:bottom w:w="120" w:type="dxa"/>
              <w:right w:w="120" w:type="dxa"/>
            </w:tcMar>
            <w:vAlign w:val="center"/>
          </w:tcPr>
          <w:p w14:paraId="69EFE06B">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每____年更换</w:t>
            </w:r>
          </w:p>
        </w:tc>
        <w:tc>
          <w:tcPr>
            <w:tcW w:w="1007" w:type="dxa"/>
            <w:tcBorders>
              <w:tl2br w:val="nil"/>
              <w:tr2bl w:val="nil"/>
            </w:tcBorders>
            <w:shd w:val="clear" w:color="auto" w:fill="auto"/>
            <w:tcMar>
              <w:top w:w="120" w:type="dxa"/>
              <w:left w:w="120" w:type="dxa"/>
              <w:bottom w:w="120" w:type="dxa"/>
              <w:right w:w="120" w:type="dxa"/>
            </w:tcMar>
            <w:vAlign w:val="center"/>
          </w:tcPr>
          <w:p w14:paraId="2D88C719">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发票 / 照片 / 合格证页码</w:t>
            </w:r>
          </w:p>
        </w:tc>
      </w:tr>
      <w:tr w14:paraId="56C61CE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trPr>
        <w:tc>
          <w:tcPr>
            <w:tcW w:w="481" w:type="dxa"/>
            <w:tcBorders>
              <w:tl2br w:val="nil"/>
              <w:tr2bl w:val="nil"/>
            </w:tcBorders>
            <w:shd w:val="clear" w:color="auto" w:fill="auto"/>
            <w:tcMar>
              <w:top w:w="120" w:type="dxa"/>
              <w:left w:w="120" w:type="dxa"/>
              <w:bottom w:w="120" w:type="dxa"/>
              <w:right w:w="120" w:type="dxa"/>
            </w:tcMar>
            <w:vAlign w:val="center"/>
          </w:tcPr>
          <w:p w14:paraId="3CF62CA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3</w:t>
            </w:r>
          </w:p>
        </w:tc>
        <w:tc>
          <w:tcPr>
            <w:tcW w:w="1004" w:type="dxa"/>
            <w:tcBorders>
              <w:tl2br w:val="nil"/>
              <w:tr2bl w:val="nil"/>
            </w:tcBorders>
            <w:shd w:val="clear" w:color="auto" w:fill="auto"/>
            <w:tcMar>
              <w:top w:w="120" w:type="dxa"/>
              <w:left w:w="120" w:type="dxa"/>
              <w:bottom w:w="120" w:type="dxa"/>
              <w:right w:w="120" w:type="dxa"/>
            </w:tcMar>
            <w:vAlign w:val="center"/>
          </w:tcPr>
          <w:p w14:paraId="2D299EB3">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反光执勤服</w:t>
            </w:r>
          </w:p>
        </w:tc>
        <w:tc>
          <w:tcPr>
            <w:tcW w:w="481" w:type="dxa"/>
            <w:tcBorders>
              <w:tl2br w:val="nil"/>
              <w:tr2bl w:val="nil"/>
            </w:tcBorders>
            <w:shd w:val="clear" w:color="auto" w:fill="auto"/>
            <w:tcMar>
              <w:top w:w="120" w:type="dxa"/>
              <w:left w:w="120" w:type="dxa"/>
              <w:bottom w:w="120" w:type="dxa"/>
              <w:right w:w="120" w:type="dxa"/>
            </w:tcMar>
            <w:vAlign w:val="center"/>
          </w:tcPr>
          <w:p w14:paraId="2577B95E">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套</w:t>
            </w:r>
          </w:p>
        </w:tc>
        <w:tc>
          <w:tcPr>
            <w:tcW w:w="1404" w:type="dxa"/>
            <w:tcBorders>
              <w:tl2br w:val="nil"/>
              <w:tr2bl w:val="nil"/>
            </w:tcBorders>
            <w:shd w:val="clear" w:color="auto" w:fill="auto"/>
            <w:tcMar>
              <w:top w:w="120" w:type="dxa"/>
              <w:left w:w="120" w:type="dxa"/>
              <w:bottom w:w="120" w:type="dxa"/>
              <w:right w:w="120" w:type="dxa"/>
            </w:tcMar>
            <w:vAlign w:val="center"/>
          </w:tcPr>
          <w:p w14:paraId="55583B9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______×1</w:t>
            </w:r>
          </w:p>
        </w:tc>
        <w:tc>
          <w:tcPr>
            <w:tcW w:w="2160" w:type="dxa"/>
            <w:tcBorders>
              <w:tl2br w:val="nil"/>
              <w:tr2bl w:val="nil"/>
            </w:tcBorders>
            <w:shd w:val="clear" w:color="auto" w:fill="auto"/>
            <w:tcMar>
              <w:top w:w="120" w:type="dxa"/>
              <w:left w:w="120" w:type="dxa"/>
              <w:bottom w:w="120" w:type="dxa"/>
              <w:right w:w="120" w:type="dxa"/>
            </w:tcMar>
            <w:vAlign w:val="center"/>
          </w:tcPr>
          <w:p w14:paraId="3B32401A">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11" w:type="pct"/>
            <w:tcBorders>
              <w:tl2br w:val="nil"/>
              <w:tr2bl w:val="nil"/>
            </w:tcBorders>
            <w:shd w:val="clear" w:color="auto" w:fill="auto"/>
            <w:tcMar>
              <w:top w:w="120" w:type="dxa"/>
              <w:left w:w="120" w:type="dxa"/>
              <w:bottom w:w="120" w:type="dxa"/>
              <w:right w:w="120" w:type="dxa"/>
            </w:tcMar>
            <w:vAlign w:val="center"/>
          </w:tcPr>
          <w:p w14:paraId="349A2DD9">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27" w:type="pct"/>
            <w:tcBorders>
              <w:tl2br w:val="nil"/>
              <w:tr2bl w:val="nil"/>
            </w:tcBorders>
            <w:shd w:val="clear" w:color="auto" w:fill="auto"/>
            <w:tcMar>
              <w:top w:w="120" w:type="dxa"/>
              <w:left w:w="120" w:type="dxa"/>
              <w:bottom w:w="120" w:type="dxa"/>
              <w:right w:w="120" w:type="dxa"/>
            </w:tcMar>
            <w:vAlign w:val="center"/>
          </w:tcPr>
          <w:p w14:paraId="087BF84E">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______年____月</w:t>
            </w:r>
          </w:p>
        </w:tc>
        <w:tc>
          <w:tcPr>
            <w:tcW w:w="2160" w:type="dxa"/>
            <w:tcBorders>
              <w:tl2br w:val="nil"/>
              <w:tr2bl w:val="nil"/>
            </w:tcBorders>
            <w:shd w:val="clear" w:color="auto" w:fill="auto"/>
            <w:tcMar>
              <w:top w:w="120" w:type="dxa"/>
              <w:left w:w="120" w:type="dxa"/>
              <w:bottom w:w="120" w:type="dxa"/>
              <w:right w:w="120" w:type="dxa"/>
            </w:tcMar>
            <w:vAlign w:val="center"/>
          </w:tcPr>
          <w:p w14:paraId="0B4CBFC2">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908" w:type="dxa"/>
            <w:tcBorders>
              <w:tl2br w:val="nil"/>
              <w:tr2bl w:val="nil"/>
            </w:tcBorders>
            <w:shd w:val="clear" w:color="auto" w:fill="auto"/>
            <w:tcMar>
              <w:top w:w="120" w:type="dxa"/>
              <w:left w:w="120" w:type="dxa"/>
              <w:bottom w:w="120" w:type="dxa"/>
              <w:right w:w="120" w:type="dxa"/>
            </w:tcMar>
            <w:vAlign w:val="center"/>
          </w:tcPr>
          <w:p w14:paraId="63D69832">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本项目专用</w:t>
            </w:r>
          </w:p>
        </w:tc>
        <w:tc>
          <w:tcPr>
            <w:tcW w:w="804" w:type="dxa"/>
            <w:tcBorders>
              <w:tl2br w:val="nil"/>
              <w:tr2bl w:val="nil"/>
            </w:tcBorders>
            <w:shd w:val="clear" w:color="auto" w:fill="auto"/>
            <w:tcMar>
              <w:top w:w="120" w:type="dxa"/>
              <w:left w:w="120" w:type="dxa"/>
              <w:bottom w:w="120" w:type="dxa"/>
              <w:right w:w="120" w:type="dxa"/>
            </w:tcMar>
            <w:vAlign w:val="center"/>
          </w:tcPr>
          <w:p w14:paraId="23A32D95">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每____年更换</w:t>
            </w:r>
          </w:p>
        </w:tc>
        <w:tc>
          <w:tcPr>
            <w:tcW w:w="1007" w:type="dxa"/>
            <w:tcBorders>
              <w:tl2br w:val="nil"/>
              <w:tr2bl w:val="nil"/>
            </w:tcBorders>
            <w:shd w:val="clear" w:color="auto" w:fill="auto"/>
            <w:tcMar>
              <w:top w:w="120" w:type="dxa"/>
              <w:left w:w="120" w:type="dxa"/>
              <w:bottom w:w="120" w:type="dxa"/>
              <w:right w:w="120" w:type="dxa"/>
            </w:tcMar>
            <w:vAlign w:val="center"/>
          </w:tcPr>
          <w:p w14:paraId="7CF8B269">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发票 / 照片 / 合格证页码</w:t>
            </w:r>
          </w:p>
        </w:tc>
      </w:tr>
      <w:tr w14:paraId="0DD1AC6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trPr>
        <w:tc>
          <w:tcPr>
            <w:tcW w:w="481" w:type="dxa"/>
            <w:tcBorders>
              <w:tl2br w:val="nil"/>
              <w:tr2bl w:val="nil"/>
            </w:tcBorders>
            <w:shd w:val="clear" w:color="auto" w:fill="auto"/>
            <w:tcMar>
              <w:top w:w="120" w:type="dxa"/>
              <w:left w:w="120" w:type="dxa"/>
              <w:bottom w:w="120" w:type="dxa"/>
              <w:right w:w="120" w:type="dxa"/>
            </w:tcMar>
            <w:vAlign w:val="center"/>
          </w:tcPr>
          <w:p w14:paraId="38F5454E">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4</w:t>
            </w:r>
          </w:p>
        </w:tc>
        <w:tc>
          <w:tcPr>
            <w:tcW w:w="1004" w:type="dxa"/>
            <w:tcBorders>
              <w:tl2br w:val="nil"/>
              <w:tr2bl w:val="nil"/>
            </w:tcBorders>
            <w:shd w:val="clear" w:color="auto" w:fill="auto"/>
            <w:tcMar>
              <w:top w:w="120" w:type="dxa"/>
              <w:left w:w="120" w:type="dxa"/>
              <w:bottom w:w="120" w:type="dxa"/>
              <w:right w:w="120" w:type="dxa"/>
            </w:tcMar>
            <w:vAlign w:val="center"/>
          </w:tcPr>
          <w:p w14:paraId="3CABDFDA">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制式帽子</w:t>
            </w:r>
          </w:p>
        </w:tc>
        <w:tc>
          <w:tcPr>
            <w:tcW w:w="481" w:type="dxa"/>
            <w:tcBorders>
              <w:tl2br w:val="nil"/>
              <w:tr2bl w:val="nil"/>
            </w:tcBorders>
            <w:shd w:val="clear" w:color="auto" w:fill="auto"/>
            <w:tcMar>
              <w:top w:w="120" w:type="dxa"/>
              <w:left w:w="120" w:type="dxa"/>
              <w:bottom w:w="120" w:type="dxa"/>
              <w:right w:w="120" w:type="dxa"/>
            </w:tcMar>
            <w:vAlign w:val="center"/>
          </w:tcPr>
          <w:p w14:paraId="2971973C">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顶</w:t>
            </w:r>
          </w:p>
        </w:tc>
        <w:tc>
          <w:tcPr>
            <w:tcW w:w="1404" w:type="dxa"/>
            <w:tcBorders>
              <w:tl2br w:val="nil"/>
              <w:tr2bl w:val="nil"/>
            </w:tcBorders>
            <w:shd w:val="clear" w:color="auto" w:fill="auto"/>
            <w:tcMar>
              <w:top w:w="120" w:type="dxa"/>
              <w:left w:w="120" w:type="dxa"/>
              <w:bottom w:w="120" w:type="dxa"/>
              <w:right w:w="120" w:type="dxa"/>
            </w:tcMar>
            <w:vAlign w:val="center"/>
          </w:tcPr>
          <w:p w14:paraId="02B1D12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______×1</w:t>
            </w:r>
          </w:p>
        </w:tc>
        <w:tc>
          <w:tcPr>
            <w:tcW w:w="2160" w:type="dxa"/>
            <w:tcBorders>
              <w:tl2br w:val="nil"/>
              <w:tr2bl w:val="nil"/>
            </w:tcBorders>
            <w:shd w:val="clear" w:color="auto" w:fill="auto"/>
            <w:tcMar>
              <w:top w:w="120" w:type="dxa"/>
              <w:left w:w="120" w:type="dxa"/>
              <w:bottom w:w="120" w:type="dxa"/>
              <w:right w:w="120" w:type="dxa"/>
            </w:tcMar>
            <w:vAlign w:val="center"/>
          </w:tcPr>
          <w:p w14:paraId="5751D940">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11" w:type="pct"/>
            <w:tcBorders>
              <w:tl2br w:val="nil"/>
              <w:tr2bl w:val="nil"/>
            </w:tcBorders>
            <w:shd w:val="clear" w:color="auto" w:fill="auto"/>
            <w:tcMar>
              <w:top w:w="120" w:type="dxa"/>
              <w:left w:w="120" w:type="dxa"/>
              <w:bottom w:w="120" w:type="dxa"/>
              <w:right w:w="120" w:type="dxa"/>
            </w:tcMar>
            <w:vAlign w:val="center"/>
          </w:tcPr>
          <w:p w14:paraId="51DE9DE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27" w:type="pct"/>
            <w:tcBorders>
              <w:tl2br w:val="nil"/>
              <w:tr2bl w:val="nil"/>
            </w:tcBorders>
            <w:shd w:val="clear" w:color="auto" w:fill="auto"/>
            <w:tcMar>
              <w:top w:w="120" w:type="dxa"/>
              <w:left w:w="120" w:type="dxa"/>
              <w:bottom w:w="120" w:type="dxa"/>
              <w:right w:w="120" w:type="dxa"/>
            </w:tcMar>
            <w:vAlign w:val="center"/>
          </w:tcPr>
          <w:p w14:paraId="4A2C78F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______年____月</w:t>
            </w:r>
          </w:p>
        </w:tc>
        <w:tc>
          <w:tcPr>
            <w:tcW w:w="2160" w:type="dxa"/>
            <w:tcBorders>
              <w:tl2br w:val="nil"/>
              <w:tr2bl w:val="nil"/>
            </w:tcBorders>
            <w:shd w:val="clear" w:color="auto" w:fill="auto"/>
            <w:tcMar>
              <w:top w:w="120" w:type="dxa"/>
              <w:left w:w="120" w:type="dxa"/>
              <w:bottom w:w="120" w:type="dxa"/>
              <w:right w:w="120" w:type="dxa"/>
            </w:tcMar>
            <w:vAlign w:val="center"/>
          </w:tcPr>
          <w:p w14:paraId="14D92C1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908" w:type="dxa"/>
            <w:tcBorders>
              <w:tl2br w:val="nil"/>
              <w:tr2bl w:val="nil"/>
            </w:tcBorders>
            <w:shd w:val="clear" w:color="auto" w:fill="auto"/>
            <w:tcMar>
              <w:top w:w="120" w:type="dxa"/>
              <w:left w:w="120" w:type="dxa"/>
              <w:bottom w:w="120" w:type="dxa"/>
              <w:right w:w="120" w:type="dxa"/>
            </w:tcMar>
            <w:vAlign w:val="center"/>
          </w:tcPr>
          <w:p w14:paraId="7E62B0CD">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本项目专用</w:t>
            </w:r>
          </w:p>
        </w:tc>
        <w:tc>
          <w:tcPr>
            <w:tcW w:w="804" w:type="dxa"/>
            <w:tcBorders>
              <w:tl2br w:val="nil"/>
              <w:tr2bl w:val="nil"/>
            </w:tcBorders>
            <w:shd w:val="clear" w:color="auto" w:fill="auto"/>
            <w:tcMar>
              <w:top w:w="120" w:type="dxa"/>
              <w:left w:w="120" w:type="dxa"/>
              <w:bottom w:w="120" w:type="dxa"/>
              <w:right w:w="120" w:type="dxa"/>
            </w:tcMar>
            <w:vAlign w:val="center"/>
          </w:tcPr>
          <w:p w14:paraId="233171EA">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按需更换</w:t>
            </w:r>
          </w:p>
        </w:tc>
        <w:tc>
          <w:tcPr>
            <w:tcW w:w="1007" w:type="dxa"/>
            <w:tcBorders>
              <w:tl2br w:val="nil"/>
              <w:tr2bl w:val="nil"/>
            </w:tcBorders>
            <w:shd w:val="clear" w:color="auto" w:fill="auto"/>
            <w:tcMar>
              <w:top w:w="120" w:type="dxa"/>
              <w:left w:w="120" w:type="dxa"/>
              <w:bottom w:w="120" w:type="dxa"/>
              <w:right w:w="120" w:type="dxa"/>
            </w:tcMar>
            <w:vAlign w:val="center"/>
          </w:tcPr>
          <w:p w14:paraId="1647D00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发票 / 照片 / 合格证页码</w:t>
            </w:r>
          </w:p>
        </w:tc>
      </w:tr>
      <w:tr w14:paraId="39A32ED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trPr>
        <w:tc>
          <w:tcPr>
            <w:tcW w:w="481" w:type="dxa"/>
            <w:tcBorders>
              <w:tl2br w:val="nil"/>
              <w:tr2bl w:val="nil"/>
            </w:tcBorders>
            <w:shd w:val="clear" w:color="auto" w:fill="auto"/>
            <w:tcMar>
              <w:top w:w="120" w:type="dxa"/>
              <w:left w:w="120" w:type="dxa"/>
              <w:bottom w:w="120" w:type="dxa"/>
              <w:right w:w="120" w:type="dxa"/>
            </w:tcMar>
            <w:vAlign w:val="center"/>
          </w:tcPr>
          <w:p w14:paraId="427CBA7C">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5</w:t>
            </w:r>
          </w:p>
        </w:tc>
        <w:tc>
          <w:tcPr>
            <w:tcW w:w="1004" w:type="dxa"/>
            <w:tcBorders>
              <w:tl2br w:val="nil"/>
              <w:tr2bl w:val="nil"/>
            </w:tcBorders>
            <w:shd w:val="clear" w:color="auto" w:fill="auto"/>
            <w:tcMar>
              <w:top w:w="120" w:type="dxa"/>
              <w:left w:w="120" w:type="dxa"/>
              <w:bottom w:w="120" w:type="dxa"/>
              <w:right w:w="120" w:type="dxa"/>
            </w:tcMar>
            <w:vAlign w:val="center"/>
          </w:tcPr>
          <w:p w14:paraId="3881C2DC">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肩章</w:t>
            </w:r>
          </w:p>
        </w:tc>
        <w:tc>
          <w:tcPr>
            <w:tcW w:w="481" w:type="dxa"/>
            <w:tcBorders>
              <w:tl2br w:val="nil"/>
              <w:tr2bl w:val="nil"/>
            </w:tcBorders>
            <w:shd w:val="clear" w:color="auto" w:fill="auto"/>
            <w:tcMar>
              <w:top w:w="120" w:type="dxa"/>
              <w:left w:w="120" w:type="dxa"/>
              <w:bottom w:w="120" w:type="dxa"/>
              <w:right w:w="120" w:type="dxa"/>
            </w:tcMar>
            <w:vAlign w:val="center"/>
          </w:tcPr>
          <w:p w14:paraId="6B19C0B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副</w:t>
            </w:r>
          </w:p>
        </w:tc>
        <w:tc>
          <w:tcPr>
            <w:tcW w:w="1404" w:type="dxa"/>
            <w:tcBorders>
              <w:tl2br w:val="nil"/>
              <w:tr2bl w:val="nil"/>
            </w:tcBorders>
            <w:shd w:val="clear" w:color="auto" w:fill="auto"/>
            <w:tcMar>
              <w:top w:w="120" w:type="dxa"/>
              <w:left w:w="120" w:type="dxa"/>
              <w:bottom w:w="120" w:type="dxa"/>
              <w:right w:w="120" w:type="dxa"/>
            </w:tcMar>
            <w:vAlign w:val="center"/>
          </w:tcPr>
          <w:p w14:paraId="1624508E">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______×1</w:t>
            </w:r>
          </w:p>
        </w:tc>
        <w:tc>
          <w:tcPr>
            <w:tcW w:w="2160" w:type="dxa"/>
            <w:tcBorders>
              <w:tl2br w:val="nil"/>
              <w:tr2bl w:val="nil"/>
            </w:tcBorders>
            <w:shd w:val="clear" w:color="auto" w:fill="auto"/>
            <w:tcMar>
              <w:top w:w="120" w:type="dxa"/>
              <w:left w:w="120" w:type="dxa"/>
              <w:bottom w:w="120" w:type="dxa"/>
              <w:right w:w="120" w:type="dxa"/>
            </w:tcMar>
            <w:vAlign w:val="center"/>
          </w:tcPr>
          <w:p w14:paraId="6EB63241">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11" w:type="pct"/>
            <w:tcBorders>
              <w:tl2br w:val="nil"/>
              <w:tr2bl w:val="nil"/>
            </w:tcBorders>
            <w:shd w:val="clear" w:color="auto" w:fill="auto"/>
            <w:tcMar>
              <w:top w:w="120" w:type="dxa"/>
              <w:left w:w="120" w:type="dxa"/>
              <w:bottom w:w="120" w:type="dxa"/>
              <w:right w:w="120" w:type="dxa"/>
            </w:tcMar>
            <w:vAlign w:val="center"/>
          </w:tcPr>
          <w:p w14:paraId="603CDEFC">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27" w:type="pct"/>
            <w:tcBorders>
              <w:tl2br w:val="nil"/>
              <w:tr2bl w:val="nil"/>
            </w:tcBorders>
            <w:shd w:val="clear" w:color="auto" w:fill="auto"/>
            <w:tcMar>
              <w:top w:w="120" w:type="dxa"/>
              <w:left w:w="120" w:type="dxa"/>
              <w:bottom w:w="120" w:type="dxa"/>
              <w:right w:w="120" w:type="dxa"/>
            </w:tcMar>
            <w:vAlign w:val="center"/>
          </w:tcPr>
          <w:p w14:paraId="7228338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______年____月</w:t>
            </w:r>
          </w:p>
        </w:tc>
        <w:tc>
          <w:tcPr>
            <w:tcW w:w="2160" w:type="dxa"/>
            <w:tcBorders>
              <w:tl2br w:val="nil"/>
              <w:tr2bl w:val="nil"/>
            </w:tcBorders>
            <w:shd w:val="clear" w:color="auto" w:fill="auto"/>
            <w:tcMar>
              <w:top w:w="120" w:type="dxa"/>
              <w:left w:w="120" w:type="dxa"/>
              <w:bottom w:w="120" w:type="dxa"/>
              <w:right w:w="120" w:type="dxa"/>
            </w:tcMar>
            <w:vAlign w:val="center"/>
          </w:tcPr>
          <w:p w14:paraId="62B2453A">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908" w:type="dxa"/>
            <w:tcBorders>
              <w:tl2br w:val="nil"/>
              <w:tr2bl w:val="nil"/>
            </w:tcBorders>
            <w:shd w:val="clear" w:color="auto" w:fill="auto"/>
            <w:tcMar>
              <w:top w:w="120" w:type="dxa"/>
              <w:left w:w="120" w:type="dxa"/>
              <w:bottom w:w="120" w:type="dxa"/>
              <w:right w:w="120" w:type="dxa"/>
            </w:tcMar>
            <w:vAlign w:val="center"/>
          </w:tcPr>
          <w:p w14:paraId="4B57B8A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本项目专用</w:t>
            </w:r>
          </w:p>
        </w:tc>
        <w:tc>
          <w:tcPr>
            <w:tcW w:w="804" w:type="dxa"/>
            <w:tcBorders>
              <w:tl2br w:val="nil"/>
              <w:tr2bl w:val="nil"/>
            </w:tcBorders>
            <w:shd w:val="clear" w:color="auto" w:fill="auto"/>
            <w:tcMar>
              <w:top w:w="120" w:type="dxa"/>
              <w:left w:w="120" w:type="dxa"/>
              <w:bottom w:w="120" w:type="dxa"/>
              <w:right w:w="120" w:type="dxa"/>
            </w:tcMar>
            <w:vAlign w:val="center"/>
          </w:tcPr>
          <w:p w14:paraId="27F3B55D">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按需更换</w:t>
            </w:r>
          </w:p>
        </w:tc>
        <w:tc>
          <w:tcPr>
            <w:tcW w:w="1007" w:type="dxa"/>
            <w:tcBorders>
              <w:tl2br w:val="nil"/>
              <w:tr2bl w:val="nil"/>
            </w:tcBorders>
            <w:shd w:val="clear" w:color="auto" w:fill="auto"/>
            <w:tcMar>
              <w:top w:w="120" w:type="dxa"/>
              <w:left w:w="120" w:type="dxa"/>
              <w:bottom w:w="120" w:type="dxa"/>
              <w:right w:w="120" w:type="dxa"/>
            </w:tcMar>
            <w:vAlign w:val="center"/>
          </w:tcPr>
          <w:p w14:paraId="2A51F96C">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发票 / 照片 / 合格证页码</w:t>
            </w:r>
          </w:p>
        </w:tc>
      </w:tr>
      <w:tr w14:paraId="0D72C6D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trPr>
        <w:tc>
          <w:tcPr>
            <w:tcW w:w="481" w:type="dxa"/>
            <w:tcBorders>
              <w:tl2br w:val="nil"/>
              <w:tr2bl w:val="nil"/>
            </w:tcBorders>
            <w:shd w:val="clear" w:color="auto" w:fill="auto"/>
            <w:tcMar>
              <w:top w:w="120" w:type="dxa"/>
              <w:left w:w="120" w:type="dxa"/>
              <w:bottom w:w="120" w:type="dxa"/>
              <w:right w:w="120" w:type="dxa"/>
            </w:tcMar>
            <w:vAlign w:val="center"/>
          </w:tcPr>
          <w:p w14:paraId="20A377B2">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6</w:t>
            </w:r>
          </w:p>
        </w:tc>
        <w:tc>
          <w:tcPr>
            <w:tcW w:w="1004" w:type="dxa"/>
            <w:tcBorders>
              <w:tl2br w:val="nil"/>
              <w:tr2bl w:val="nil"/>
            </w:tcBorders>
            <w:shd w:val="clear" w:color="auto" w:fill="auto"/>
            <w:tcMar>
              <w:top w:w="120" w:type="dxa"/>
              <w:left w:w="120" w:type="dxa"/>
              <w:bottom w:w="120" w:type="dxa"/>
              <w:right w:w="120" w:type="dxa"/>
            </w:tcMar>
            <w:vAlign w:val="center"/>
          </w:tcPr>
          <w:p w14:paraId="189B08B5">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工牌</w:t>
            </w:r>
          </w:p>
        </w:tc>
        <w:tc>
          <w:tcPr>
            <w:tcW w:w="481" w:type="dxa"/>
            <w:tcBorders>
              <w:tl2br w:val="nil"/>
              <w:tr2bl w:val="nil"/>
            </w:tcBorders>
            <w:shd w:val="clear" w:color="auto" w:fill="auto"/>
            <w:tcMar>
              <w:top w:w="120" w:type="dxa"/>
              <w:left w:w="120" w:type="dxa"/>
              <w:bottom w:w="120" w:type="dxa"/>
              <w:right w:w="120" w:type="dxa"/>
            </w:tcMar>
            <w:vAlign w:val="center"/>
          </w:tcPr>
          <w:p w14:paraId="0D58C15D">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个</w:t>
            </w:r>
          </w:p>
        </w:tc>
        <w:tc>
          <w:tcPr>
            <w:tcW w:w="1404" w:type="dxa"/>
            <w:tcBorders>
              <w:tl2br w:val="nil"/>
              <w:tr2bl w:val="nil"/>
            </w:tcBorders>
            <w:shd w:val="clear" w:color="auto" w:fill="auto"/>
            <w:tcMar>
              <w:top w:w="120" w:type="dxa"/>
              <w:left w:w="120" w:type="dxa"/>
              <w:bottom w:w="120" w:type="dxa"/>
              <w:right w:w="120" w:type="dxa"/>
            </w:tcMar>
            <w:vAlign w:val="center"/>
          </w:tcPr>
          <w:p w14:paraId="3FFC651C">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______×1</w:t>
            </w:r>
          </w:p>
        </w:tc>
        <w:tc>
          <w:tcPr>
            <w:tcW w:w="2160" w:type="dxa"/>
            <w:tcBorders>
              <w:tl2br w:val="nil"/>
              <w:tr2bl w:val="nil"/>
            </w:tcBorders>
            <w:shd w:val="clear" w:color="auto" w:fill="auto"/>
            <w:tcMar>
              <w:top w:w="120" w:type="dxa"/>
              <w:left w:w="120" w:type="dxa"/>
              <w:bottom w:w="120" w:type="dxa"/>
              <w:right w:w="120" w:type="dxa"/>
            </w:tcMar>
            <w:vAlign w:val="center"/>
          </w:tcPr>
          <w:p w14:paraId="265B5F32">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11" w:type="pct"/>
            <w:tcBorders>
              <w:tl2br w:val="nil"/>
              <w:tr2bl w:val="nil"/>
            </w:tcBorders>
            <w:shd w:val="clear" w:color="auto" w:fill="auto"/>
            <w:tcMar>
              <w:top w:w="120" w:type="dxa"/>
              <w:left w:w="120" w:type="dxa"/>
              <w:bottom w:w="120" w:type="dxa"/>
              <w:right w:w="120" w:type="dxa"/>
            </w:tcMar>
            <w:vAlign w:val="center"/>
          </w:tcPr>
          <w:p w14:paraId="7C6065E0">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27" w:type="pct"/>
            <w:tcBorders>
              <w:tl2br w:val="nil"/>
              <w:tr2bl w:val="nil"/>
            </w:tcBorders>
            <w:shd w:val="clear" w:color="auto" w:fill="auto"/>
            <w:tcMar>
              <w:top w:w="120" w:type="dxa"/>
              <w:left w:w="120" w:type="dxa"/>
              <w:bottom w:w="120" w:type="dxa"/>
              <w:right w:w="120" w:type="dxa"/>
            </w:tcMar>
            <w:vAlign w:val="center"/>
          </w:tcPr>
          <w:p w14:paraId="7A8FB94D">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______年____月</w:t>
            </w:r>
          </w:p>
        </w:tc>
        <w:tc>
          <w:tcPr>
            <w:tcW w:w="2160" w:type="dxa"/>
            <w:tcBorders>
              <w:tl2br w:val="nil"/>
              <w:tr2bl w:val="nil"/>
            </w:tcBorders>
            <w:shd w:val="clear" w:color="auto" w:fill="auto"/>
            <w:tcMar>
              <w:top w:w="120" w:type="dxa"/>
              <w:left w:w="120" w:type="dxa"/>
              <w:bottom w:w="120" w:type="dxa"/>
              <w:right w:w="120" w:type="dxa"/>
            </w:tcMar>
            <w:vAlign w:val="center"/>
          </w:tcPr>
          <w:p w14:paraId="6DDE91FB">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908" w:type="dxa"/>
            <w:tcBorders>
              <w:tl2br w:val="nil"/>
              <w:tr2bl w:val="nil"/>
            </w:tcBorders>
            <w:shd w:val="clear" w:color="auto" w:fill="auto"/>
            <w:tcMar>
              <w:top w:w="120" w:type="dxa"/>
              <w:left w:w="120" w:type="dxa"/>
              <w:bottom w:w="120" w:type="dxa"/>
              <w:right w:w="120" w:type="dxa"/>
            </w:tcMar>
            <w:vAlign w:val="center"/>
          </w:tcPr>
          <w:p w14:paraId="0684E139">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本项目专用</w:t>
            </w:r>
          </w:p>
        </w:tc>
        <w:tc>
          <w:tcPr>
            <w:tcW w:w="804" w:type="dxa"/>
            <w:tcBorders>
              <w:tl2br w:val="nil"/>
              <w:tr2bl w:val="nil"/>
            </w:tcBorders>
            <w:shd w:val="clear" w:color="auto" w:fill="auto"/>
            <w:tcMar>
              <w:top w:w="120" w:type="dxa"/>
              <w:left w:w="120" w:type="dxa"/>
              <w:bottom w:w="120" w:type="dxa"/>
              <w:right w:w="120" w:type="dxa"/>
            </w:tcMar>
            <w:vAlign w:val="center"/>
          </w:tcPr>
          <w:p w14:paraId="27590FE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按需更换</w:t>
            </w:r>
          </w:p>
        </w:tc>
        <w:tc>
          <w:tcPr>
            <w:tcW w:w="1007" w:type="dxa"/>
            <w:tcBorders>
              <w:tl2br w:val="nil"/>
              <w:tr2bl w:val="nil"/>
            </w:tcBorders>
            <w:shd w:val="clear" w:color="auto" w:fill="auto"/>
            <w:tcMar>
              <w:top w:w="120" w:type="dxa"/>
              <w:left w:w="120" w:type="dxa"/>
              <w:bottom w:w="120" w:type="dxa"/>
              <w:right w:w="120" w:type="dxa"/>
            </w:tcMar>
            <w:vAlign w:val="center"/>
          </w:tcPr>
          <w:p w14:paraId="5EB2155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发票 / 照片 / 合格证页码</w:t>
            </w:r>
          </w:p>
        </w:tc>
      </w:tr>
      <w:tr w14:paraId="532B11E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0" w:hRule="atLeast"/>
        </w:trPr>
        <w:tc>
          <w:tcPr>
            <w:tcW w:w="481" w:type="dxa"/>
            <w:tcBorders>
              <w:tl2br w:val="nil"/>
              <w:tr2bl w:val="nil"/>
            </w:tcBorders>
            <w:shd w:val="clear" w:color="auto" w:fill="auto"/>
            <w:tcMar>
              <w:top w:w="120" w:type="dxa"/>
              <w:left w:w="120" w:type="dxa"/>
              <w:bottom w:w="120" w:type="dxa"/>
              <w:right w:w="120" w:type="dxa"/>
            </w:tcMar>
            <w:vAlign w:val="center"/>
          </w:tcPr>
          <w:p w14:paraId="0FBC7051">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7</w:t>
            </w:r>
          </w:p>
        </w:tc>
        <w:tc>
          <w:tcPr>
            <w:tcW w:w="1004" w:type="dxa"/>
            <w:tcBorders>
              <w:tl2br w:val="nil"/>
              <w:tr2bl w:val="nil"/>
            </w:tcBorders>
            <w:shd w:val="clear" w:color="auto" w:fill="auto"/>
            <w:tcMar>
              <w:top w:w="120" w:type="dxa"/>
              <w:left w:w="120" w:type="dxa"/>
              <w:bottom w:w="120" w:type="dxa"/>
              <w:right w:w="120" w:type="dxa"/>
            </w:tcMar>
            <w:vAlign w:val="center"/>
          </w:tcPr>
          <w:p w14:paraId="4693F43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腰带</w:t>
            </w:r>
          </w:p>
        </w:tc>
        <w:tc>
          <w:tcPr>
            <w:tcW w:w="481" w:type="dxa"/>
            <w:tcBorders>
              <w:tl2br w:val="nil"/>
              <w:tr2bl w:val="nil"/>
            </w:tcBorders>
            <w:shd w:val="clear" w:color="auto" w:fill="auto"/>
            <w:tcMar>
              <w:top w:w="120" w:type="dxa"/>
              <w:left w:w="120" w:type="dxa"/>
              <w:bottom w:w="120" w:type="dxa"/>
              <w:right w:w="120" w:type="dxa"/>
            </w:tcMar>
            <w:vAlign w:val="center"/>
          </w:tcPr>
          <w:p w14:paraId="16888C8D">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条</w:t>
            </w:r>
          </w:p>
        </w:tc>
        <w:tc>
          <w:tcPr>
            <w:tcW w:w="1404" w:type="dxa"/>
            <w:tcBorders>
              <w:tl2br w:val="nil"/>
              <w:tr2bl w:val="nil"/>
            </w:tcBorders>
            <w:shd w:val="clear" w:color="auto" w:fill="auto"/>
            <w:tcMar>
              <w:top w:w="120" w:type="dxa"/>
              <w:left w:w="120" w:type="dxa"/>
              <w:bottom w:w="120" w:type="dxa"/>
              <w:right w:w="120" w:type="dxa"/>
            </w:tcMar>
            <w:vAlign w:val="center"/>
          </w:tcPr>
          <w:p w14:paraId="28CF946B">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______×1</w:t>
            </w:r>
          </w:p>
        </w:tc>
        <w:tc>
          <w:tcPr>
            <w:tcW w:w="2160" w:type="dxa"/>
            <w:tcBorders>
              <w:tl2br w:val="nil"/>
              <w:tr2bl w:val="nil"/>
            </w:tcBorders>
            <w:shd w:val="clear" w:color="auto" w:fill="auto"/>
            <w:tcMar>
              <w:top w:w="120" w:type="dxa"/>
              <w:left w:w="120" w:type="dxa"/>
              <w:bottom w:w="120" w:type="dxa"/>
              <w:right w:w="120" w:type="dxa"/>
            </w:tcMar>
            <w:vAlign w:val="center"/>
          </w:tcPr>
          <w:p w14:paraId="40F42FD1">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11" w:type="pct"/>
            <w:tcBorders>
              <w:tl2br w:val="nil"/>
              <w:tr2bl w:val="nil"/>
            </w:tcBorders>
            <w:shd w:val="clear" w:color="auto" w:fill="auto"/>
            <w:tcMar>
              <w:top w:w="120" w:type="dxa"/>
              <w:left w:w="120" w:type="dxa"/>
              <w:bottom w:w="120" w:type="dxa"/>
              <w:right w:w="120" w:type="dxa"/>
            </w:tcMar>
            <w:vAlign w:val="center"/>
          </w:tcPr>
          <w:p w14:paraId="17DABFE3">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27" w:type="pct"/>
            <w:tcBorders>
              <w:tl2br w:val="nil"/>
              <w:tr2bl w:val="nil"/>
            </w:tcBorders>
            <w:shd w:val="clear" w:color="auto" w:fill="auto"/>
            <w:tcMar>
              <w:top w:w="120" w:type="dxa"/>
              <w:left w:w="120" w:type="dxa"/>
              <w:bottom w:w="120" w:type="dxa"/>
              <w:right w:w="120" w:type="dxa"/>
            </w:tcMar>
            <w:vAlign w:val="center"/>
          </w:tcPr>
          <w:p w14:paraId="2CF89CD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______年____月</w:t>
            </w:r>
          </w:p>
        </w:tc>
        <w:tc>
          <w:tcPr>
            <w:tcW w:w="2160" w:type="dxa"/>
            <w:tcBorders>
              <w:tl2br w:val="nil"/>
              <w:tr2bl w:val="nil"/>
            </w:tcBorders>
            <w:shd w:val="clear" w:color="auto" w:fill="auto"/>
            <w:tcMar>
              <w:top w:w="120" w:type="dxa"/>
              <w:left w:w="120" w:type="dxa"/>
              <w:bottom w:w="120" w:type="dxa"/>
              <w:right w:w="120" w:type="dxa"/>
            </w:tcMar>
            <w:vAlign w:val="center"/>
          </w:tcPr>
          <w:p w14:paraId="05BF0C6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908" w:type="dxa"/>
            <w:tcBorders>
              <w:tl2br w:val="nil"/>
              <w:tr2bl w:val="nil"/>
            </w:tcBorders>
            <w:shd w:val="clear" w:color="auto" w:fill="auto"/>
            <w:tcMar>
              <w:top w:w="120" w:type="dxa"/>
              <w:left w:w="120" w:type="dxa"/>
              <w:bottom w:w="120" w:type="dxa"/>
              <w:right w:w="120" w:type="dxa"/>
            </w:tcMar>
            <w:vAlign w:val="center"/>
          </w:tcPr>
          <w:p w14:paraId="20915084">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本项目专用</w:t>
            </w:r>
          </w:p>
        </w:tc>
        <w:tc>
          <w:tcPr>
            <w:tcW w:w="804" w:type="dxa"/>
            <w:tcBorders>
              <w:tl2br w:val="nil"/>
              <w:tr2bl w:val="nil"/>
            </w:tcBorders>
            <w:shd w:val="clear" w:color="auto" w:fill="auto"/>
            <w:tcMar>
              <w:top w:w="120" w:type="dxa"/>
              <w:left w:w="120" w:type="dxa"/>
              <w:bottom w:w="120" w:type="dxa"/>
              <w:right w:w="120" w:type="dxa"/>
            </w:tcMar>
            <w:vAlign w:val="center"/>
          </w:tcPr>
          <w:p w14:paraId="4EA514A9">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按需更换</w:t>
            </w:r>
          </w:p>
        </w:tc>
        <w:tc>
          <w:tcPr>
            <w:tcW w:w="1007" w:type="dxa"/>
            <w:tcBorders>
              <w:tl2br w:val="nil"/>
              <w:tr2bl w:val="nil"/>
            </w:tcBorders>
            <w:shd w:val="clear" w:color="auto" w:fill="auto"/>
            <w:tcMar>
              <w:top w:w="120" w:type="dxa"/>
              <w:left w:w="120" w:type="dxa"/>
              <w:bottom w:w="120" w:type="dxa"/>
              <w:right w:w="120" w:type="dxa"/>
            </w:tcMar>
            <w:vAlign w:val="center"/>
          </w:tcPr>
          <w:p w14:paraId="7B0F9FB3">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发票 / 照片 / 合格证页码</w:t>
            </w:r>
          </w:p>
        </w:tc>
      </w:tr>
      <w:tr w14:paraId="0253071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trPr>
        <w:tc>
          <w:tcPr>
            <w:tcW w:w="481" w:type="dxa"/>
            <w:tcBorders>
              <w:tl2br w:val="nil"/>
              <w:tr2bl w:val="nil"/>
            </w:tcBorders>
            <w:shd w:val="clear" w:color="auto" w:fill="auto"/>
            <w:tcMar>
              <w:top w:w="120" w:type="dxa"/>
              <w:left w:w="120" w:type="dxa"/>
              <w:bottom w:w="120" w:type="dxa"/>
              <w:right w:w="120" w:type="dxa"/>
            </w:tcMar>
            <w:vAlign w:val="center"/>
          </w:tcPr>
          <w:p w14:paraId="77129E0C">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8</w:t>
            </w:r>
          </w:p>
        </w:tc>
        <w:tc>
          <w:tcPr>
            <w:tcW w:w="1004" w:type="dxa"/>
            <w:tcBorders>
              <w:tl2br w:val="nil"/>
              <w:tr2bl w:val="nil"/>
            </w:tcBorders>
            <w:shd w:val="clear" w:color="auto" w:fill="auto"/>
            <w:tcMar>
              <w:top w:w="120" w:type="dxa"/>
              <w:left w:w="120" w:type="dxa"/>
              <w:bottom w:w="120" w:type="dxa"/>
              <w:right w:w="120" w:type="dxa"/>
            </w:tcMar>
            <w:vAlign w:val="center"/>
          </w:tcPr>
          <w:p w14:paraId="507904B3">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其他配套（如臂章 / 胸牌）</w:t>
            </w:r>
          </w:p>
        </w:tc>
        <w:tc>
          <w:tcPr>
            <w:tcW w:w="481" w:type="dxa"/>
            <w:tcBorders>
              <w:tl2br w:val="nil"/>
              <w:tr2bl w:val="nil"/>
            </w:tcBorders>
            <w:shd w:val="clear" w:color="auto" w:fill="auto"/>
            <w:tcMar>
              <w:top w:w="120" w:type="dxa"/>
              <w:left w:w="120" w:type="dxa"/>
              <w:bottom w:w="120" w:type="dxa"/>
              <w:right w:w="120" w:type="dxa"/>
            </w:tcMar>
            <w:vAlign w:val="center"/>
          </w:tcPr>
          <w:p w14:paraId="15DB845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1404" w:type="dxa"/>
            <w:tcBorders>
              <w:tl2br w:val="nil"/>
              <w:tr2bl w:val="nil"/>
            </w:tcBorders>
            <w:shd w:val="clear" w:color="auto" w:fill="auto"/>
            <w:tcMar>
              <w:top w:w="120" w:type="dxa"/>
              <w:left w:w="120" w:type="dxa"/>
              <w:bottom w:w="120" w:type="dxa"/>
              <w:right w:w="120" w:type="dxa"/>
            </w:tcMar>
            <w:vAlign w:val="center"/>
          </w:tcPr>
          <w:p w14:paraId="41A6D60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w:t>
            </w:r>
          </w:p>
        </w:tc>
        <w:tc>
          <w:tcPr>
            <w:tcW w:w="2160" w:type="dxa"/>
            <w:tcBorders>
              <w:tl2br w:val="nil"/>
              <w:tr2bl w:val="nil"/>
            </w:tcBorders>
            <w:shd w:val="clear" w:color="auto" w:fill="auto"/>
            <w:tcMar>
              <w:top w:w="120" w:type="dxa"/>
              <w:left w:w="120" w:type="dxa"/>
              <w:bottom w:w="120" w:type="dxa"/>
              <w:right w:w="120" w:type="dxa"/>
            </w:tcMar>
            <w:vAlign w:val="center"/>
          </w:tcPr>
          <w:p w14:paraId="313BCFFB">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11" w:type="pct"/>
            <w:tcBorders>
              <w:tl2br w:val="nil"/>
              <w:tr2bl w:val="nil"/>
            </w:tcBorders>
            <w:shd w:val="clear" w:color="auto" w:fill="auto"/>
            <w:tcMar>
              <w:top w:w="120" w:type="dxa"/>
              <w:left w:w="120" w:type="dxa"/>
              <w:bottom w:w="120" w:type="dxa"/>
              <w:right w:w="120" w:type="dxa"/>
            </w:tcMar>
            <w:vAlign w:val="center"/>
          </w:tcPr>
          <w:p w14:paraId="12ED7AC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627" w:type="pct"/>
            <w:tcBorders>
              <w:tl2br w:val="nil"/>
              <w:tr2bl w:val="nil"/>
            </w:tcBorders>
            <w:shd w:val="clear" w:color="auto" w:fill="auto"/>
            <w:tcMar>
              <w:top w:w="120" w:type="dxa"/>
              <w:left w:w="120" w:type="dxa"/>
              <w:bottom w:w="120" w:type="dxa"/>
              <w:right w:w="120" w:type="dxa"/>
            </w:tcMar>
            <w:vAlign w:val="center"/>
          </w:tcPr>
          <w:p w14:paraId="2AD18B1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______年____月</w:t>
            </w:r>
          </w:p>
        </w:tc>
        <w:tc>
          <w:tcPr>
            <w:tcW w:w="2160" w:type="dxa"/>
            <w:tcBorders>
              <w:tl2br w:val="nil"/>
              <w:tr2bl w:val="nil"/>
            </w:tcBorders>
            <w:shd w:val="clear" w:color="auto" w:fill="auto"/>
            <w:tcMar>
              <w:top w:w="120" w:type="dxa"/>
              <w:left w:w="120" w:type="dxa"/>
              <w:bottom w:w="120" w:type="dxa"/>
              <w:right w:w="120" w:type="dxa"/>
            </w:tcMar>
            <w:vAlign w:val="center"/>
          </w:tcPr>
          <w:p w14:paraId="473E91A9">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908" w:type="dxa"/>
            <w:tcBorders>
              <w:tl2br w:val="nil"/>
              <w:tr2bl w:val="nil"/>
            </w:tcBorders>
            <w:shd w:val="clear" w:color="auto" w:fill="auto"/>
            <w:tcMar>
              <w:top w:w="120" w:type="dxa"/>
              <w:left w:w="120" w:type="dxa"/>
              <w:bottom w:w="120" w:type="dxa"/>
              <w:right w:w="120" w:type="dxa"/>
            </w:tcMar>
            <w:vAlign w:val="center"/>
          </w:tcPr>
          <w:p w14:paraId="28ABBE84">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本项目专用</w:t>
            </w:r>
          </w:p>
        </w:tc>
        <w:tc>
          <w:tcPr>
            <w:tcW w:w="804" w:type="dxa"/>
            <w:tcBorders>
              <w:tl2br w:val="nil"/>
              <w:tr2bl w:val="nil"/>
            </w:tcBorders>
            <w:shd w:val="clear" w:color="auto" w:fill="auto"/>
            <w:tcMar>
              <w:top w:w="120" w:type="dxa"/>
              <w:left w:w="120" w:type="dxa"/>
              <w:bottom w:w="120" w:type="dxa"/>
              <w:right w:w="120" w:type="dxa"/>
            </w:tcMar>
            <w:vAlign w:val="center"/>
          </w:tcPr>
          <w:p w14:paraId="37C30E5B">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按需更换</w:t>
            </w:r>
          </w:p>
        </w:tc>
        <w:tc>
          <w:tcPr>
            <w:tcW w:w="1007" w:type="dxa"/>
            <w:tcBorders>
              <w:tl2br w:val="nil"/>
              <w:tr2bl w:val="nil"/>
            </w:tcBorders>
            <w:shd w:val="clear" w:color="auto" w:fill="auto"/>
            <w:tcMar>
              <w:top w:w="120" w:type="dxa"/>
              <w:left w:w="120" w:type="dxa"/>
              <w:bottom w:w="120" w:type="dxa"/>
              <w:right w:w="120" w:type="dxa"/>
            </w:tcMar>
            <w:vAlign w:val="center"/>
          </w:tcPr>
          <w:p w14:paraId="7F0351E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发票 / 照片 / 合格证页码</w:t>
            </w:r>
          </w:p>
        </w:tc>
      </w:tr>
      <w:tr w14:paraId="19EA95F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0" w:hRule="atLeast"/>
        </w:trPr>
        <w:tc>
          <w:tcPr>
            <w:tcW w:w="481" w:type="dxa"/>
            <w:tcBorders>
              <w:tl2br w:val="nil"/>
              <w:tr2bl w:val="nil"/>
            </w:tcBorders>
            <w:shd w:val="clear" w:color="auto" w:fill="auto"/>
            <w:tcMar>
              <w:top w:w="120" w:type="dxa"/>
              <w:left w:w="120" w:type="dxa"/>
              <w:bottom w:w="120" w:type="dxa"/>
              <w:right w:w="120" w:type="dxa"/>
            </w:tcMar>
            <w:vAlign w:val="center"/>
          </w:tcPr>
          <w:p w14:paraId="1F6B385D">
            <w:pPr>
              <w:keepNext w:val="0"/>
              <w:keepLines w:val="0"/>
              <w:widowControl/>
              <w:suppressLineNumbers w:val="0"/>
              <w:jc w:val="left"/>
              <w:rPr>
                <w:rFonts w:hint="eastAsia" w:ascii="仿宋" w:hAnsi="仿宋" w:eastAsia="仿宋" w:cs="仿宋"/>
                <w:color w:val="auto"/>
                <w:highlight w:val="none"/>
              </w:rPr>
            </w:pPr>
          </w:p>
        </w:tc>
        <w:tc>
          <w:tcPr>
            <w:tcW w:w="1004" w:type="dxa"/>
            <w:tcBorders>
              <w:tl2br w:val="nil"/>
              <w:tr2bl w:val="nil"/>
            </w:tcBorders>
            <w:shd w:val="clear" w:color="auto" w:fill="auto"/>
            <w:tcMar>
              <w:top w:w="120" w:type="dxa"/>
              <w:left w:w="120" w:type="dxa"/>
              <w:bottom w:w="120" w:type="dxa"/>
              <w:right w:w="120" w:type="dxa"/>
            </w:tcMar>
            <w:vAlign w:val="center"/>
          </w:tcPr>
          <w:p w14:paraId="09A9EACC">
            <w:pPr>
              <w:keepNext w:val="0"/>
              <w:keepLines w:val="0"/>
              <w:widowControl/>
              <w:suppressLineNumbers w:val="0"/>
              <w:jc w:val="left"/>
              <w:rPr>
                <w:rFonts w:hint="eastAsia" w:ascii="仿宋" w:hAnsi="仿宋" w:eastAsia="仿宋" w:cs="仿宋"/>
                <w:color w:val="auto"/>
                <w:highlight w:val="none"/>
              </w:rPr>
            </w:pPr>
            <w:r>
              <w:rPr>
                <w:rStyle w:val="32"/>
                <w:rFonts w:hint="eastAsia" w:ascii="仿宋" w:hAnsi="仿宋" w:eastAsia="仿宋" w:cs="仿宋"/>
                <w:color w:val="auto"/>
                <w:kern w:val="0"/>
                <w:sz w:val="24"/>
                <w:szCs w:val="24"/>
                <w:highlight w:val="none"/>
                <w:lang w:val="en-US" w:eastAsia="zh-CN" w:bidi="ar"/>
              </w:rPr>
              <w:t>合计</w:t>
            </w:r>
          </w:p>
        </w:tc>
        <w:tc>
          <w:tcPr>
            <w:tcW w:w="481" w:type="dxa"/>
            <w:tcBorders>
              <w:tl2br w:val="nil"/>
              <w:tr2bl w:val="nil"/>
            </w:tcBorders>
            <w:shd w:val="clear" w:color="auto" w:fill="auto"/>
            <w:tcMar>
              <w:top w:w="120" w:type="dxa"/>
              <w:left w:w="120" w:type="dxa"/>
              <w:bottom w:w="120" w:type="dxa"/>
              <w:right w:w="120" w:type="dxa"/>
            </w:tcMar>
            <w:vAlign w:val="center"/>
          </w:tcPr>
          <w:p w14:paraId="43C7B8F0">
            <w:pPr>
              <w:keepNext w:val="0"/>
              <w:keepLines w:val="0"/>
              <w:widowControl/>
              <w:suppressLineNumbers w:val="0"/>
              <w:jc w:val="left"/>
              <w:rPr>
                <w:rFonts w:hint="eastAsia" w:ascii="仿宋" w:hAnsi="仿宋" w:eastAsia="仿宋" w:cs="仿宋"/>
                <w:color w:val="auto"/>
                <w:highlight w:val="none"/>
              </w:rPr>
            </w:pPr>
          </w:p>
        </w:tc>
        <w:tc>
          <w:tcPr>
            <w:tcW w:w="1404" w:type="dxa"/>
            <w:tcBorders>
              <w:tl2br w:val="nil"/>
              <w:tr2bl w:val="nil"/>
            </w:tcBorders>
            <w:shd w:val="clear" w:color="auto" w:fill="auto"/>
            <w:tcMar>
              <w:top w:w="120" w:type="dxa"/>
              <w:left w:w="120" w:type="dxa"/>
              <w:bottom w:w="120" w:type="dxa"/>
              <w:right w:w="120" w:type="dxa"/>
            </w:tcMar>
            <w:vAlign w:val="center"/>
          </w:tcPr>
          <w:p w14:paraId="1BB2E19F">
            <w:pPr>
              <w:keepNext w:val="0"/>
              <w:keepLines w:val="0"/>
              <w:widowControl/>
              <w:suppressLineNumbers w:val="0"/>
              <w:jc w:val="left"/>
              <w:rPr>
                <w:rFonts w:hint="eastAsia" w:ascii="仿宋" w:hAnsi="仿宋" w:eastAsia="仿宋" w:cs="仿宋"/>
                <w:color w:val="auto"/>
                <w:highlight w:val="none"/>
              </w:rPr>
            </w:pPr>
          </w:p>
        </w:tc>
        <w:tc>
          <w:tcPr>
            <w:tcW w:w="2160" w:type="dxa"/>
            <w:tcBorders>
              <w:tl2br w:val="nil"/>
              <w:tr2bl w:val="nil"/>
            </w:tcBorders>
            <w:shd w:val="clear" w:color="auto" w:fill="auto"/>
            <w:tcMar>
              <w:top w:w="120" w:type="dxa"/>
              <w:left w:w="120" w:type="dxa"/>
              <w:bottom w:w="120" w:type="dxa"/>
              <w:right w:w="120" w:type="dxa"/>
            </w:tcMar>
            <w:vAlign w:val="center"/>
          </w:tcPr>
          <w:p w14:paraId="4DA007EC">
            <w:pPr>
              <w:keepNext w:val="0"/>
              <w:keepLines w:val="0"/>
              <w:widowControl/>
              <w:suppressLineNumbers w:val="0"/>
              <w:jc w:val="left"/>
              <w:rPr>
                <w:rFonts w:hint="eastAsia" w:ascii="仿宋" w:hAnsi="仿宋" w:eastAsia="仿宋" w:cs="仿宋"/>
                <w:color w:val="auto"/>
                <w:highlight w:val="none"/>
              </w:rPr>
            </w:pPr>
          </w:p>
        </w:tc>
        <w:tc>
          <w:tcPr>
            <w:tcW w:w="611" w:type="pct"/>
            <w:tcBorders>
              <w:tl2br w:val="nil"/>
              <w:tr2bl w:val="nil"/>
            </w:tcBorders>
            <w:shd w:val="clear" w:color="auto" w:fill="auto"/>
            <w:tcMar>
              <w:top w:w="120" w:type="dxa"/>
              <w:left w:w="120" w:type="dxa"/>
              <w:bottom w:w="120" w:type="dxa"/>
              <w:right w:w="120" w:type="dxa"/>
            </w:tcMar>
            <w:vAlign w:val="center"/>
          </w:tcPr>
          <w:p w14:paraId="43522074">
            <w:pPr>
              <w:keepNext w:val="0"/>
              <w:keepLines w:val="0"/>
              <w:widowControl/>
              <w:suppressLineNumbers w:val="0"/>
              <w:jc w:val="left"/>
              <w:rPr>
                <w:rFonts w:hint="eastAsia" w:ascii="仿宋" w:hAnsi="仿宋" w:eastAsia="仿宋" w:cs="仿宋"/>
                <w:color w:val="auto"/>
                <w:highlight w:val="none"/>
              </w:rPr>
            </w:pPr>
          </w:p>
        </w:tc>
        <w:tc>
          <w:tcPr>
            <w:tcW w:w="627" w:type="pct"/>
            <w:tcBorders>
              <w:tl2br w:val="nil"/>
              <w:tr2bl w:val="nil"/>
            </w:tcBorders>
            <w:shd w:val="clear" w:color="auto" w:fill="auto"/>
            <w:tcMar>
              <w:top w:w="120" w:type="dxa"/>
              <w:left w:w="120" w:type="dxa"/>
              <w:bottom w:w="120" w:type="dxa"/>
              <w:right w:w="120" w:type="dxa"/>
            </w:tcMar>
            <w:vAlign w:val="center"/>
          </w:tcPr>
          <w:p w14:paraId="16639DD7">
            <w:pPr>
              <w:keepNext w:val="0"/>
              <w:keepLines w:val="0"/>
              <w:widowControl/>
              <w:suppressLineNumbers w:val="0"/>
              <w:jc w:val="left"/>
              <w:rPr>
                <w:rFonts w:hint="eastAsia" w:ascii="仿宋" w:hAnsi="仿宋" w:eastAsia="仿宋" w:cs="仿宋"/>
                <w:color w:val="auto"/>
                <w:highlight w:val="none"/>
              </w:rPr>
            </w:pPr>
          </w:p>
        </w:tc>
        <w:tc>
          <w:tcPr>
            <w:tcW w:w="2160" w:type="dxa"/>
            <w:tcBorders>
              <w:tl2br w:val="nil"/>
              <w:tr2bl w:val="nil"/>
            </w:tcBorders>
            <w:shd w:val="clear" w:color="auto" w:fill="auto"/>
            <w:tcMar>
              <w:top w:w="120" w:type="dxa"/>
              <w:left w:w="120" w:type="dxa"/>
              <w:bottom w:w="120" w:type="dxa"/>
              <w:right w:w="120" w:type="dxa"/>
            </w:tcMar>
            <w:vAlign w:val="center"/>
          </w:tcPr>
          <w:p w14:paraId="043624E4">
            <w:pPr>
              <w:keepNext w:val="0"/>
              <w:keepLines w:val="0"/>
              <w:widowControl/>
              <w:suppressLineNumbers w:val="0"/>
              <w:jc w:val="left"/>
              <w:rPr>
                <w:rFonts w:hint="eastAsia" w:ascii="仿宋" w:hAnsi="仿宋" w:eastAsia="仿宋" w:cs="仿宋"/>
                <w:color w:val="auto"/>
                <w:highlight w:val="none"/>
              </w:rPr>
            </w:pPr>
          </w:p>
        </w:tc>
        <w:tc>
          <w:tcPr>
            <w:tcW w:w="908" w:type="dxa"/>
            <w:tcBorders>
              <w:tl2br w:val="nil"/>
              <w:tr2bl w:val="nil"/>
            </w:tcBorders>
            <w:shd w:val="clear" w:color="auto" w:fill="auto"/>
            <w:tcMar>
              <w:top w:w="120" w:type="dxa"/>
              <w:left w:w="120" w:type="dxa"/>
              <w:bottom w:w="120" w:type="dxa"/>
              <w:right w:w="120" w:type="dxa"/>
            </w:tcMar>
            <w:vAlign w:val="center"/>
          </w:tcPr>
          <w:p w14:paraId="57A02D0F">
            <w:pPr>
              <w:keepNext w:val="0"/>
              <w:keepLines w:val="0"/>
              <w:widowControl/>
              <w:suppressLineNumbers w:val="0"/>
              <w:jc w:val="left"/>
              <w:rPr>
                <w:rFonts w:hint="eastAsia" w:ascii="仿宋" w:hAnsi="仿宋" w:eastAsia="仿宋" w:cs="仿宋"/>
                <w:color w:val="auto"/>
                <w:highlight w:val="none"/>
              </w:rPr>
            </w:pPr>
          </w:p>
        </w:tc>
        <w:tc>
          <w:tcPr>
            <w:tcW w:w="804" w:type="dxa"/>
            <w:tcBorders>
              <w:tl2br w:val="nil"/>
              <w:tr2bl w:val="nil"/>
            </w:tcBorders>
            <w:shd w:val="clear" w:color="auto" w:fill="auto"/>
            <w:tcMar>
              <w:top w:w="120" w:type="dxa"/>
              <w:left w:w="120" w:type="dxa"/>
              <w:bottom w:w="120" w:type="dxa"/>
              <w:right w:w="120" w:type="dxa"/>
            </w:tcMar>
            <w:vAlign w:val="center"/>
          </w:tcPr>
          <w:p w14:paraId="43BA50EF">
            <w:pPr>
              <w:keepNext w:val="0"/>
              <w:keepLines w:val="0"/>
              <w:widowControl/>
              <w:suppressLineNumbers w:val="0"/>
              <w:jc w:val="left"/>
              <w:rPr>
                <w:rFonts w:hint="eastAsia" w:ascii="仿宋" w:hAnsi="仿宋" w:eastAsia="仿宋" w:cs="仿宋"/>
                <w:color w:val="auto"/>
                <w:highlight w:val="none"/>
              </w:rPr>
            </w:pPr>
          </w:p>
        </w:tc>
        <w:tc>
          <w:tcPr>
            <w:tcW w:w="1007" w:type="dxa"/>
            <w:tcBorders>
              <w:tl2br w:val="nil"/>
              <w:tr2bl w:val="nil"/>
            </w:tcBorders>
            <w:shd w:val="clear" w:color="auto" w:fill="auto"/>
            <w:tcMar>
              <w:top w:w="120" w:type="dxa"/>
              <w:left w:w="120" w:type="dxa"/>
              <w:bottom w:w="120" w:type="dxa"/>
              <w:right w:w="120" w:type="dxa"/>
            </w:tcMar>
            <w:vAlign w:val="center"/>
          </w:tcPr>
          <w:p w14:paraId="19C256A8">
            <w:pPr>
              <w:keepNext w:val="0"/>
              <w:keepLines w:val="0"/>
              <w:widowControl/>
              <w:suppressLineNumbers w:val="0"/>
              <w:jc w:val="left"/>
              <w:rPr>
                <w:rFonts w:hint="eastAsia" w:ascii="仿宋" w:hAnsi="仿宋" w:eastAsia="仿宋" w:cs="仿宋"/>
                <w:color w:val="auto"/>
                <w:highlight w:val="none"/>
              </w:rPr>
            </w:pPr>
          </w:p>
        </w:tc>
      </w:tr>
    </w:tbl>
    <w:p w14:paraId="6E4487A3">
      <w:pPr>
        <w:pStyle w:val="14"/>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填报说明：</w:t>
      </w:r>
    </w:p>
    <w:p w14:paraId="5E84FEBE">
      <w:pPr>
        <w:pStyle w:val="14"/>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数量须按人员花名册总人数 “一人标配” 填写，确保人人配齐；</w:t>
      </w:r>
    </w:p>
    <w:p w14:paraId="112062EE">
      <w:pPr>
        <w:pStyle w:val="14"/>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购置时间须在 2025 年 3 月 - 至今，附正规购置发票复印件（加盖公章）、服装实物照片、产品合格证页码；</w:t>
      </w:r>
    </w:p>
    <w:p w14:paraId="5593595D">
      <w:pPr>
        <w:pStyle w:val="14"/>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须承诺所有服装为本项目专用，不得挪作他用，附《装备投入承诺函》页码；</w:t>
      </w:r>
    </w:p>
    <w:p w14:paraId="14774198">
      <w:pPr>
        <w:pStyle w:val="14"/>
        <w:jc w:val="both"/>
        <w:rPr>
          <w:rFonts w:hint="eastAsia" w:ascii="仿宋" w:hAnsi="仿宋" w:eastAsia="仿宋" w:cs="仿宋"/>
          <w:color w:val="auto"/>
          <w:highlight w:val="none"/>
          <w:lang w:val="en-US" w:eastAsia="zh-CN"/>
        </w:rPr>
        <w:sectPr>
          <w:pgSz w:w="16838" w:h="11906" w:orient="landscape"/>
          <w:pgMar w:top="1417" w:right="1191" w:bottom="1417" w:left="1191" w:header="737" w:footer="737"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color w:val="auto"/>
          <w:sz w:val="24"/>
          <w:szCs w:val="24"/>
          <w:highlight w:val="none"/>
          <w:lang w:val="en-US" w:eastAsia="zh-CN"/>
        </w:rPr>
        <w:t>维护更换周期需明确具体时间，确保服装整洁完好。</w:t>
      </w:r>
    </w:p>
    <w:p w14:paraId="18B16557">
      <w:pPr>
        <w:pStyle w:val="14"/>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交通与执勤工具配置表</w:t>
      </w:r>
    </w:p>
    <w:tbl>
      <w:tblPr>
        <w:tblStyle w:val="29"/>
        <w:tblW w:w="46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9"/>
        <w:gridCol w:w="1121"/>
        <w:gridCol w:w="731"/>
        <w:gridCol w:w="1556"/>
        <w:gridCol w:w="1556"/>
        <w:gridCol w:w="1631"/>
        <w:gridCol w:w="985"/>
        <w:gridCol w:w="2177"/>
        <w:gridCol w:w="749"/>
        <w:gridCol w:w="1674"/>
        <w:gridCol w:w="1066"/>
      </w:tblGrid>
      <w:tr w14:paraId="1CBB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15" w:hRule="atLeast"/>
          <w:jc w:val="center"/>
        </w:trPr>
        <w:tc>
          <w:tcPr>
            <w:tcW w:w="50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4E683AE">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序号</w:t>
            </w:r>
          </w:p>
        </w:tc>
        <w:tc>
          <w:tcPr>
            <w:tcW w:w="112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C8AF931">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工具 / 设备名称</w:t>
            </w:r>
          </w:p>
        </w:tc>
        <w:tc>
          <w:tcPr>
            <w:tcW w:w="7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C031E98">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单位</w:t>
            </w:r>
          </w:p>
        </w:tc>
        <w:tc>
          <w:tcPr>
            <w:tcW w:w="155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102BC18">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数量（招标文件要求）</w:t>
            </w:r>
          </w:p>
        </w:tc>
        <w:tc>
          <w:tcPr>
            <w:tcW w:w="155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EDA0AE1">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购置单价（元）</w:t>
            </w:r>
          </w:p>
        </w:tc>
        <w:tc>
          <w:tcPr>
            <w:tcW w:w="16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C444B4C">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购置总价（元）</w:t>
            </w:r>
          </w:p>
        </w:tc>
        <w:tc>
          <w:tcPr>
            <w:tcW w:w="98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FB6AD5E">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购置时间</w:t>
            </w:r>
          </w:p>
        </w:tc>
        <w:tc>
          <w:tcPr>
            <w:tcW w:w="217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6B47A62">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购置发票编号</w:t>
            </w:r>
          </w:p>
        </w:tc>
        <w:tc>
          <w:tcPr>
            <w:tcW w:w="74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AA9307C">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权属（本项目专用）</w:t>
            </w:r>
          </w:p>
        </w:tc>
        <w:tc>
          <w:tcPr>
            <w:tcW w:w="167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D0AE45C">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维护巡检制度</w:t>
            </w:r>
          </w:p>
        </w:tc>
        <w:tc>
          <w:tcPr>
            <w:tcW w:w="106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E798631">
            <w:pPr>
              <w:keepNext w:val="0"/>
              <w:keepLines w:val="0"/>
              <w:widowControl/>
              <w:suppressLineNumbers w:val="0"/>
              <w:jc w:val="left"/>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bidi="ar"/>
              </w:rPr>
              <w:t>备注（附材料页码）</w:t>
            </w:r>
          </w:p>
        </w:tc>
      </w:tr>
      <w:tr w14:paraId="09E8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45" w:hRule="atLeast"/>
          <w:jc w:val="center"/>
        </w:trPr>
        <w:tc>
          <w:tcPr>
            <w:tcW w:w="50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FBD641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1</w:t>
            </w:r>
          </w:p>
        </w:tc>
        <w:tc>
          <w:tcPr>
            <w:tcW w:w="112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6A8FC7A">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挪车神器（移车器）</w:t>
            </w:r>
          </w:p>
        </w:tc>
        <w:tc>
          <w:tcPr>
            <w:tcW w:w="7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8875E3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个</w:t>
            </w:r>
          </w:p>
        </w:tc>
        <w:tc>
          <w:tcPr>
            <w:tcW w:w="155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E56ED6D">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2</w:t>
            </w:r>
          </w:p>
        </w:tc>
        <w:tc>
          <w:tcPr>
            <w:tcW w:w="155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C81706C">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16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4E57FE9">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98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C76D4F4">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______年____月</w:t>
            </w:r>
          </w:p>
        </w:tc>
        <w:tc>
          <w:tcPr>
            <w:tcW w:w="217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2033405">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74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D4B855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本项目专用</w:t>
            </w:r>
          </w:p>
        </w:tc>
        <w:tc>
          <w:tcPr>
            <w:tcW w:w="167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CB92CFC">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每月巡检____次，故障____小时内维修</w:t>
            </w:r>
          </w:p>
        </w:tc>
        <w:tc>
          <w:tcPr>
            <w:tcW w:w="106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DA3E53A">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发票 / 照片 / 合格证 / 制度页码</w:t>
            </w:r>
          </w:p>
        </w:tc>
      </w:tr>
      <w:tr w14:paraId="6D68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8" w:hRule="atLeast"/>
          <w:jc w:val="center"/>
        </w:trPr>
        <w:tc>
          <w:tcPr>
            <w:tcW w:w="50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C56C071">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2</w:t>
            </w:r>
          </w:p>
        </w:tc>
        <w:tc>
          <w:tcPr>
            <w:tcW w:w="112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6AF6EEA">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电动巡逻电动车</w:t>
            </w:r>
          </w:p>
        </w:tc>
        <w:tc>
          <w:tcPr>
            <w:tcW w:w="7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80F6C0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辆</w:t>
            </w:r>
          </w:p>
        </w:tc>
        <w:tc>
          <w:tcPr>
            <w:tcW w:w="155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34E1DD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3</w:t>
            </w:r>
          </w:p>
        </w:tc>
        <w:tc>
          <w:tcPr>
            <w:tcW w:w="155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F37F0BC">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16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FE2E9B2">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98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B79A1F2">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______年____月</w:t>
            </w:r>
          </w:p>
        </w:tc>
        <w:tc>
          <w:tcPr>
            <w:tcW w:w="217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389A8C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74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CC00CD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本项目专用</w:t>
            </w:r>
          </w:p>
        </w:tc>
        <w:tc>
          <w:tcPr>
            <w:tcW w:w="167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470EF14">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每周巡检____次，续航≥____公里，故障____小时内维修</w:t>
            </w:r>
          </w:p>
        </w:tc>
        <w:tc>
          <w:tcPr>
            <w:tcW w:w="106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679109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发票 / 照片 / 合格证 / 车载设备证明页码</w:t>
            </w:r>
          </w:p>
        </w:tc>
      </w:tr>
      <w:tr w14:paraId="1670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23" w:hRule="atLeast"/>
          <w:jc w:val="center"/>
        </w:trPr>
        <w:tc>
          <w:tcPr>
            <w:tcW w:w="50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82C6510">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3</w:t>
            </w:r>
          </w:p>
        </w:tc>
        <w:tc>
          <w:tcPr>
            <w:tcW w:w="112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F3FC91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车载警示灯</w:t>
            </w:r>
          </w:p>
        </w:tc>
        <w:tc>
          <w:tcPr>
            <w:tcW w:w="7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351C2CE">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套</w:t>
            </w:r>
          </w:p>
        </w:tc>
        <w:tc>
          <w:tcPr>
            <w:tcW w:w="155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1111332">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3（与电动车匹配）</w:t>
            </w:r>
          </w:p>
        </w:tc>
        <w:tc>
          <w:tcPr>
            <w:tcW w:w="155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CE4127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16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05D90A9">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98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C5FBE83">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______年____月</w:t>
            </w:r>
          </w:p>
        </w:tc>
        <w:tc>
          <w:tcPr>
            <w:tcW w:w="217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D50BB1C">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w:t>
            </w:r>
          </w:p>
        </w:tc>
        <w:tc>
          <w:tcPr>
            <w:tcW w:w="74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42E79E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本项目专用</w:t>
            </w:r>
          </w:p>
        </w:tc>
        <w:tc>
          <w:tcPr>
            <w:tcW w:w="167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1A0F2A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随电动车同步巡检</w:t>
            </w:r>
          </w:p>
        </w:tc>
        <w:tc>
          <w:tcPr>
            <w:tcW w:w="106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2EADC7D">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发票 / 照片 / 合格证页码</w:t>
            </w:r>
          </w:p>
        </w:tc>
      </w:tr>
      <w:tr w14:paraId="1031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23" w:hRule="atLeast"/>
          <w:jc w:val="center"/>
        </w:trPr>
        <w:tc>
          <w:tcPr>
            <w:tcW w:w="50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3BA1F1A">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4</w:t>
            </w:r>
          </w:p>
        </w:tc>
        <w:tc>
          <w:tcPr>
            <w:tcW w:w="112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29A066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车载通讯设备</w:t>
            </w:r>
          </w:p>
        </w:tc>
        <w:tc>
          <w:tcPr>
            <w:tcW w:w="7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D1141D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台</w:t>
            </w:r>
          </w:p>
        </w:tc>
        <w:tc>
          <w:tcPr>
            <w:tcW w:w="155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CE587F9">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3（与电动车匹配）</w:t>
            </w:r>
          </w:p>
        </w:tc>
        <w:tc>
          <w:tcPr>
            <w:tcW w:w="155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37AB69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16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34A0EFB">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98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BB0FA4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______年____月</w:t>
            </w:r>
          </w:p>
        </w:tc>
        <w:tc>
          <w:tcPr>
            <w:tcW w:w="217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6C0102B">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w:t>
            </w:r>
          </w:p>
        </w:tc>
        <w:tc>
          <w:tcPr>
            <w:tcW w:w="74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4E7F169">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本项目专用</w:t>
            </w:r>
          </w:p>
        </w:tc>
        <w:tc>
          <w:tcPr>
            <w:tcW w:w="167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D7BA68A">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随电动车同步巡检</w:t>
            </w:r>
          </w:p>
        </w:tc>
        <w:tc>
          <w:tcPr>
            <w:tcW w:w="106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DB2C0B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发票 / 照片 / 合格证页码</w:t>
            </w:r>
          </w:p>
        </w:tc>
      </w:tr>
      <w:tr w14:paraId="57B9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23" w:hRule="atLeast"/>
          <w:jc w:val="center"/>
        </w:trPr>
        <w:tc>
          <w:tcPr>
            <w:tcW w:w="50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10BF963">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5</w:t>
            </w:r>
          </w:p>
        </w:tc>
        <w:tc>
          <w:tcPr>
            <w:tcW w:w="112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781616A">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其他交通 / 执勤辅助工具</w:t>
            </w:r>
          </w:p>
        </w:tc>
        <w:tc>
          <w:tcPr>
            <w:tcW w:w="7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1B4E9DB">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w:t>
            </w:r>
          </w:p>
        </w:tc>
        <w:tc>
          <w:tcPr>
            <w:tcW w:w="155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C7DBE2B">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w:t>
            </w:r>
          </w:p>
        </w:tc>
        <w:tc>
          <w:tcPr>
            <w:tcW w:w="155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1130390">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16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DAA4B73">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98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79C7195">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______年____月</w:t>
            </w:r>
          </w:p>
        </w:tc>
        <w:tc>
          <w:tcPr>
            <w:tcW w:w="217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409CC6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w:t>
            </w:r>
          </w:p>
        </w:tc>
        <w:tc>
          <w:tcPr>
            <w:tcW w:w="74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251191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本项目专用</w:t>
            </w:r>
          </w:p>
        </w:tc>
        <w:tc>
          <w:tcPr>
            <w:tcW w:w="167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20842C5">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________________</w:t>
            </w:r>
          </w:p>
        </w:tc>
        <w:tc>
          <w:tcPr>
            <w:tcW w:w="106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1CE2290">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发票 / 照片 / 合格证页码</w:t>
            </w:r>
          </w:p>
        </w:tc>
      </w:tr>
      <w:tr w14:paraId="798A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jc w:val="center"/>
        </w:trPr>
        <w:tc>
          <w:tcPr>
            <w:tcW w:w="50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E31C9A1">
            <w:pPr>
              <w:keepNext w:val="0"/>
              <w:keepLines w:val="0"/>
              <w:widowControl/>
              <w:suppressLineNumbers w:val="0"/>
              <w:jc w:val="left"/>
              <w:rPr>
                <w:rFonts w:hint="eastAsia" w:ascii="仿宋" w:hAnsi="仿宋" w:eastAsia="仿宋" w:cs="仿宋"/>
                <w:color w:val="auto"/>
                <w:highlight w:val="none"/>
              </w:rPr>
            </w:pPr>
          </w:p>
        </w:tc>
        <w:tc>
          <w:tcPr>
            <w:tcW w:w="112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033C498">
            <w:pPr>
              <w:keepNext w:val="0"/>
              <w:keepLines w:val="0"/>
              <w:widowControl/>
              <w:suppressLineNumbers w:val="0"/>
              <w:jc w:val="left"/>
              <w:rPr>
                <w:rFonts w:hint="eastAsia" w:ascii="仿宋" w:hAnsi="仿宋" w:eastAsia="仿宋" w:cs="仿宋"/>
                <w:color w:val="auto"/>
                <w:highlight w:val="none"/>
              </w:rPr>
            </w:pPr>
            <w:r>
              <w:rPr>
                <w:rStyle w:val="32"/>
                <w:rFonts w:hint="eastAsia" w:ascii="仿宋" w:hAnsi="仿宋" w:eastAsia="仿宋" w:cs="仿宋"/>
                <w:color w:val="auto"/>
                <w:kern w:val="0"/>
                <w:sz w:val="24"/>
                <w:szCs w:val="24"/>
                <w:highlight w:val="none"/>
                <w:lang w:val="en-US" w:eastAsia="zh-CN" w:bidi="ar"/>
              </w:rPr>
              <w:t>合计</w:t>
            </w:r>
          </w:p>
        </w:tc>
        <w:tc>
          <w:tcPr>
            <w:tcW w:w="7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37DF7B0">
            <w:pPr>
              <w:keepNext w:val="0"/>
              <w:keepLines w:val="0"/>
              <w:widowControl/>
              <w:suppressLineNumbers w:val="0"/>
              <w:jc w:val="left"/>
              <w:rPr>
                <w:rFonts w:hint="eastAsia" w:ascii="仿宋" w:hAnsi="仿宋" w:eastAsia="仿宋" w:cs="仿宋"/>
                <w:color w:val="auto"/>
                <w:highlight w:val="none"/>
              </w:rPr>
            </w:pPr>
          </w:p>
        </w:tc>
        <w:tc>
          <w:tcPr>
            <w:tcW w:w="155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275C139">
            <w:pPr>
              <w:keepNext w:val="0"/>
              <w:keepLines w:val="0"/>
              <w:widowControl/>
              <w:suppressLineNumbers w:val="0"/>
              <w:jc w:val="left"/>
              <w:rPr>
                <w:rFonts w:hint="eastAsia" w:ascii="仿宋" w:hAnsi="仿宋" w:eastAsia="仿宋" w:cs="仿宋"/>
                <w:color w:val="auto"/>
                <w:highlight w:val="none"/>
              </w:rPr>
            </w:pPr>
          </w:p>
        </w:tc>
        <w:tc>
          <w:tcPr>
            <w:tcW w:w="155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641334C">
            <w:pPr>
              <w:keepNext w:val="0"/>
              <w:keepLines w:val="0"/>
              <w:widowControl/>
              <w:suppressLineNumbers w:val="0"/>
              <w:jc w:val="left"/>
              <w:rPr>
                <w:rFonts w:hint="eastAsia" w:ascii="仿宋" w:hAnsi="仿宋" w:eastAsia="仿宋" w:cs="仿宋"/>
                <w:color w:val="auto"/>
                <w:highlight w:val="none"/>
              </w:rPr>
            </w:pPr>
          </w:p>
        </w:tc>
        <w:tc>
          <w:tcPr>
            <w:tcW w:w="16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4F68124">
            <w:pPr>
              <w:keepNext w:val="0"/>
              <w:keepLines w:val="0"/>
              <w:widowControl/>
              <w:suppressLineNumbers w:val="0"/>
              <w:jc w:val="left"/>
              <w:rPr>
                <w:rFonts w:hint="eastAsia" w:ascii="仿宋" w:hAnsi="仿宋" w:eastAsia="仿宋" w:cs="仿宋"/>
                <w:color w:val="auto"/>
                <w:highlight w:val="none"/>
              </w:rPr>
            </w:pPr>
          </w:p>
        </w:tc>
        <w:tc>
          <w:tcPr>
            <w:tcW w:w="98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4C6FB81">
            <w:pPr>
              <w:keepNext w:val="0"/>
              <w:keepLines w:val="0"/>
              <w:widowControl/>
              <w:suppressLineNumbers w:val="0"/>
              <w:jc w:val="left"/>
              <w:rPr>
                <w:rFonts w:hint="eastAsia" w:ascii="仿宋" w:hAnsi="仿宋" w:eastAsia="仿宋" w:cs="仿宋"/>
                <w:color w:val="auto"/>
                <w:highlight w:val="none"/>
              </w:rPr>
            </w:pPr>
          </w:p>
        </w:tc>
        <w:tc>
          <w:tcPr>
            <w:tcW w:w="217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D111C41">
            <w:pPr>
              <w:keepNext w:val="0"/>
              <w:keepLines w:val="0"/>
              <w:widowControl/>
              <w:suppressLineNumbers w:val="0"/>
              <w:jc w:val="left"/>
              <w:rPr>
                <w:rFonts w:hint="eastAsia" w:ascii="仿宋" w:hAnsi="仿宋" w:eastAsia="仿宋" w:cs="仿宋"/>
                <w:color w:val="auto"/>
                <w:highlight w:val="none"/>
              </w:rPr>
            </w:pPr>
          </w:p>
        </w:tc>
        <w:tc>
          <w:tcPr>
            <w:tcW w:w="74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7308F45">
            <w:pPr>
              <w:keepNext w:val="0"/>
              <w:keepLines w:val="0"/>
              <w:widowControl/>
              <w:suppressLineNumbers w:val="0"/>
              <w:jc w:val="left"/>
              <w:rPr>
                <w:rFonts w:hint="eastAsia" w:ascii="仿宋" w:hAnsi="仿宋" w:eastAsia="仿宋" w:cs="仿宋"/>
                <w:color w:val="auto"/>
                <w:highlight w:val="none"/>
              </w:rPr>
            </w:pPr>
          </w:p>
        </w:tc>
        <w:tc>
          <w:tcPr>
            <w:tcW w:w="167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CB5FD67">
            <w:pPr>
              <w:keepNext w:val="0"/>
              <w:keepLines w:val="0"/>
              <w:widowControl/>
              <w:suppressLineNumbers w:val="0"/>
              <w:jc w:val="left"/>
              <w:rPr>
                <w:rFonts w:hint="eastAsia" w:ascii="仿宋" w:hAnsi="仿宋" w:eastAsia="仿宋" w:cs="仿宋"/>
                <w:color w:val="auto"/>
                <w:highlight w:val="none"/>
              </w:rPr>
            </w:pPr>
          </w:p>
        </w:tc>
        <w:tc>
          <w:tcPr>
            <w:tcW w:w="106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B9405D1">
            <w:pPr>
              <w:keepNext w:val="0"/>
              <w:keepLines w:val="0"/>
              <w:widowControl/>
              <w:suppressLineNumbers w:val="0"/>
              <w:jc w:val="left"/>
              <w:rPr>
                <w:rFonts w:hint="eastAsia" w:ascii="仿宋" w:hAnsi="仿宋" w:eastAsia="仿宋" w:cs="仿宋"/>
                <w:color w:val="auto"/>
                <w:highlight w:val="none"/>
              </w:rPr>
            </w:pPr>
          </w:p>
        </w:tc>
      </w:tr>
    </w:tbl>
    <w:p w14:paraId="42573C3E">
      <w:pPr>
        <w:pStyle w:val="14"/>
        <w:ind w:firstLine="482" w:firstLineChars="20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填报说明：</w:t>
      </w:r>
    </w:p>
    <w:p w14:paraId="0B34AE39">
      <w:pPr>
        <w:pStyle w:val="14"/>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核心设备数量须满足招标文件要求（挪车神器 2 个、电动巡逻电动车 3 辆），不得缺配；</w:t>
      </w:r>
    </w:p>
    <w:p w14:paraId="05A91B36">
      <w:pPr>
        <w:pStyle w:val="14"/>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电动巡逻电动车需明确续航能力、车载设备配置（警示灯、通讯设备），附对应产品参数证明；</w:t>
      </w:r>
    </w:p>
    <w:p w14:paraId="2D63D76E">
      <w:pPr>
        <w:pStyle w:val="14"/>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购置发票、实物照片、产品合格证、维护巡检制度复印件需加盖公章，标注在备注栏页码；</w:t>
      </w:r>
    </w:p>
    <w:p w14:paraId="551E4B7A">
      <w:pPr>
        <w:pStyle w:val="14"/>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须承诺所有设备为本项目专用，附《装备投入承诺函》页码；</w:t>
      </w:r>
    </w:p>
    <w:p w14:paraId="40B3BA08">
      <w:pPr>
        <w:numPr>
          <w:ilvl w:val="0"/>
          <w:numId w:val="0"/>
        </w:numPr>
        <w:spacing w:line="600" w:lineRule="auto"/>
        <w:ind w:firstLine="480" w:firstLineChars="200"/>
        <w:jc w:val="both"/>
        <w:rPr>
          <w:rFonts w:hint="eastAsia" w:ascii="仿宋" w:hAnsi="仿宋" w:eastAsia="仿宋" w:cs="仿宋"/>
          <w:b/>
          <w:bCs/>
          <w:color w:val="auto"/>
          <w:kern w:val="0"/>
          <w:sz w:val="28"/>
          <w:szCs w:val="28"/>
          <w:highlight w:val="none"/>
          <w:lang w:val="en-US" w:eastAsia="zh-CN" w:bidi="ar-SA"/>
        </w:rPr>
        <w:sectPr>
          <w:pgSz w:w="16838" w:h="11906" w:orient="landscape"/>
          <w:pgMar w:top="1417" w:right="1191" w:bottom="1417" w:left="1191" w:header="737" w:footer="737"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color w:val="auto"/>
          <w:sz w:val="24"/>
          <w:szCs w:val="24"/>
          <w:highlight w:val="none"/>
          <w:lang w:val="en-US" w:eastAsia="zh-CN"/>
        </w:rPr>
        <w:t>维护责任人须为项目在册人员，联系方式保持 24 小时畅通，维护巡检制度需明确频次、故障处理时限。</w:t>
      </w:r>
    </w:p>
    <w:p w14:paraId="55833019">
      <w:pPr>
        <w:numPr>
          <w:ilvl w:val="0"/>
          <w:numId w:val="0"/>
        </w:numPr>
        <w:spacing w:line="600" w:lineRule="auto"/>
        <w:jc w:val="center"/>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十、</w:t>
      </w:r>
      <w:bookmarkStart w:id="144" w:name="_Toc3862"/>
      <w:bookmarkStart w:id="145" w:name="_Toc26467"/>
      <w:bookmarkStart w:id="146" w:name="_Toc6014"/>
      <w:bookmarkStart w:id="147" w:name="_Toc5144"/>
      <w:r>
        <w:rPr>
          <w:rFonts w:hint="eastAsia" w:ascii="仿宋" w:hAnsi="仿宋" w:eastAsia="仿宋" w:cs="仿宋"/>
          <w:b/>
          <w:bCs/>
          <w:color w:val="auto"/>
          <w:kern w:val="0"/>
          <w:sz w:val="28"/>
          <w:szCs w:val="28"/>
          <w:highlight w:val="none"/>
          <w:lang w:val="en-US" w:eastAsia="zh-CN" w:bidi="ar-SA"/>
        </w:rPr>
        <w:t>投标人的资格审查材料</w:t>
      </w:r>
    </w:p>
    <w:p w14:paraId="0B3614AA">
      <w:pPr>
        <w:widowControl w:val="0"/>
        <w:wordWrap/>
        <w:adjustRightInd/>
        <w:snapToGrid/>
        <w:spacing w:line="43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en-US" w:eastAsia="zh-CN"/>
        </w:rPr>
        <w:t>提供</w:t>
      </w:r>
      <w:r>
        <w:rPr>
          <w:rFonts w:hint="eastAsia" w:ascii="仿宋" w:hAnsi="仿宋" w:eastAsia="仿宋" w:cs="仿宋"/>
          <w:b w:val="0"/>
          <w:bCs w:val="0"/>
          <w:color w:val="auto"/>
          <w:kern w:val="2"/>
          <w:sz w:val="24"/>
          <w:szCs w:val="24"/>
          <w:highlight w:val="none"/>
          <w:lang w:val="en-US" w:eastAsia="zh-CN"/>
        </w:rPr>
        <w:t>有效经年检合格的“三证合一”营业执照</w:t>
      </w:r>
      <w:r>
        <w:rPr>
          <w:rFonts w:hint="eastAsia" w:ascii="仿宋" w:hAnsi="仿宋" w:eastAsia="仿宋" w:cs="仿宋"/>
          <w:color w:val="auto"/>
          <w:sz w:val="24"/>
          <w:szCs w:val="24"/>
          <w:highlight w:val="none"/>
          <w:lang w:val="en-US" w:eastAsia="zh-CN"/>
        </w:rPr>
        <w:t>；</w:t>
      </w:r>
    </w:p>
    <w:p w14:paraId="6F71C2D6">
      <w:pPr>
        <w:widowControl w:val="0"/>
        <w:wordWrap/>
        <w:adjustRightInd/>
        <w:snapToGrid/>
        <w:spacing w:line="432" w:lineRule="auto"/>
        <w:ind w:firstLine="480" w:firstLineChars="200"/>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b w:val="0"/>
          <w:bCs w:val="0"/>
          <w:color w:val="auto"/>
          <w:kern w:val="2"/>
          <w:sz w:val="24"/>
          <w:szCs w:val="24"/>
          <w:highlight w:val="none"/>
          <w:lang w:val="en-US" w:eastAsia="zh-CN"/>
        </w:rPr>
        <w:t xml:space="preserve">提供本单位缴纳的近三个月（近三个月是指2026年01月-2026年03月）社保缴纳证明（社保证明材料须是社保局出具的缴纳证明或社保系统导出的缴纳汇总凭证；新成立不足三个月的公司以实际发生的为准，如依法不需要缴纳社会保障资金的，应提供相应文件证明）； </w:t>
      </w:r>
    </w:p>
    <w:p w14:paraId="7906C2C1">
      <w:pPr>
        <w:widowControl w:val="0"/>
        <w:wordWrap/>
        <w:adjustRightInd/>
        <w:snapToGrid/>
        <w:spacing w:line="432"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3★提供</w:t>
      </w:r>
      <w:r>
        <w:rPr>
          <w:rFonts w:hint="eastAsia" w:ascii="仿宋" w:hAnsi="仿宋" w:eastAsia="仿宋" w:cs="仿宋"/>
          <w:b w:val="0"/>
          <w:bCs w:val="0"/>
          <w:color w:val="auto"/>
          <w:kern w:val="2"/>
          <w:sz w:val="24"/>
          <w:szCs w:val="24"/>
          <w:highlight w:val="none"/>
          <w:lang w:val="en-US" w:eastAsia="zh-CN"/>
        </w:rPr>
        <w:t>2024年度或2025年度第三方审计机构出具的财务审计报告(2025年10月以后新成立公司可不提供）</w:t>
      </w:r>
      <w:r>
        <w:rPr>
          <w:rFonts w:hint="eastAsia" w:ascii="仿宋" w:hAnsi="仿宋" w:eastAsia="仿宋" w:cs="仿宋"/>
          <w:color w:val="auto"/>
          <w:kern w:val="0"/>
          <w:sz w:val="24"/>
          <w:szCs w:val="24"/>
          <w:highlight w:val="none"/>
          <w:lang w:val="en-US" w:eastAsia="zh-CN"/>
        </w:rPr>
        <w:t>；</w:t>
      </w:r>
    </w:p>
    <w:p w14:paraId="682272ED">
      <w:pPr>
        <w:widowControl w:val="0"/>
        <w:wordWrap/>
        <w:adjustRightInd/>
        <w:snapToGrid/>
        <w:spacing w:line="432"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b w:val="0"/>
          <w:bCs w:val="0"/>
          <w:color w:val="auto"/>
          <w:kern w:val="2"/>
          <w:sz w:val="24"/>
          <w:szCs w:val="24"/>
          <w:highlight w:val="none"/>
          <w:lang w:val="en-US" w:eastAsia="zh-CN"/>
        </w:rPr>
        <w:t>提供税务部门出具近三个月（近三个月是指2026年01月-2026年03月）依法缴纳税收的完税证明（需含增值税、印花税等税种；如当月无需缴税需提供税务机关出具的无欠税证明），新成立公司按实际发生提供税务机关出具的无欠税证明</w:t>
      </w:r>
      <w:r>
        <w:rPr>
          <w:rFonts w:hint="eastAsia" w:ascii="仿宋" w:hAnsi="仿宋" w:eastAsia="仿宋" w:cs="仿宋"/>
          <w:color w:val="auto"/>
          <w:kern w:val="0"/>
          <w:sz w:val="24"/>
          <w:szCs w:val="24"/>
          <w:highlight w:val="none"/>
          <w:lang w:val="en-US" w:eastAsia="zh-CN"/>
        </w:rPr>
        <w:t>；</w:t>
      </w:r>
    </w:p>
    <w:p w14:paraId="48B3A6BF">
      <w:pPr>
        <w:widowControl w:val="0"/>
        <w:wordWrap/>
        <w:adjustRightInd/>
        <w:snapToGrid/>
        <w:spacing w:line="432" w:lineRule="auto"/>
        <w:ind w:firstLine="480"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b w:val="0"/>
          <w:bCs w:val="0"/>
          <w:color w:val="auto"/>
          <w:kern w:val="2"/>
          <w:sz w:val="24"/>
          <w:szCs w:val="24"/>
          <w:highlight w:val="none"/>
          <w:lang w:val="en-US" w:eastAsia="zh-CN"/>
        </w:rPr>
        <w:t>凡拟参加本次招标项目的投标人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被列入经营异常名录信息、严重违法失信名单（黑名单）信息（尚在处罚期内的）；将拒绝其参与本次政府采购活动</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b/>
          <w:bCs/>
          <w:color w:val="auto"/>
          <w:kern w:val="0"/>
          <w:sz w:val="24"/>
          <w:szCs w:val="24"/>
          <w:highlight w:val="none"/>
          <w:lang w:val="en-US" w:eastAsia="zh-CN"/>
        </w:rPr>
        <w:t>（注：提供网站查询截图）</w:t>
      </w:r>
    </w:p>
    <w:p w14:paraId="360FB834">
      <w:pPr>
        <w:widowControl w:val="0"/>
        <w:wordWrap/>
        <w:adjustRightInd/>
        <w:snapToGrid/>
        <w:spacing w:line="432"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b w:val="0"/>
          <w:bCs w:val="0"/>
          <w:color w:val="auto"/>
          <w:kern w:val="2"/>
          <w:sz w:val="24"/>
          <w:szCs w:val="24"/>
          <w:highlight w:val="none"/>
          <w:lang w:val="en-US" w:eastAsia="zh-CN"/>
        </w:rPr>
        <w:t>企业负责人为同一人或者存在直接控股、管理关系的不同供应商，不得参加同一合同项下的政府采购活动。否则，皆取消投标资格</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lang w:val="en-US" w:eastAsia="zh-CN" w:bidi="ar-SA"/>
        </w:rPr>
        <w:t>提供承诺书，格式自拟；若不提供或提供虚假材料，将作否决投标处理！</w:t>
      </w:r>
      <w:r>
        <w:rPr>
          <w:rFonts w:hint="eastAsia" w:ascii="仿宋" w:hAnsi="仿宋" w:eastAsia="仿宋" w:cs="仿宋"/>
          <w:color w:val="auto"/>
          <w:kern w:val="2"/>
          <w:sz w:val="24"/>
          <w:szCs w:val="24"/>
          <w:highlight w:val="none"/>
          <w:lang w:val="en-US" w:eastAsia="zh-CN"/>
        </w:rPr>
        <w:t>）；</w:t>
      </w:r>
    </w:p>
    <w:p w14:paraId="606AC221">
      <w:pPr>
        <w:widowControl w:val="0"/>
        <w:wordWrap/>
        <w:adjustRightInd/>
        <w:snapToGrid/>
        <w:spacing w:line="432"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7</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b w:val="0"/>
          <w:bCs w:val="0"/>
          <w:color w:val="auto"/>
          <w:kern w:val="2"/>
          <w:sz w:val="24"/>
          <w:szCs w:val="24"/>
          <w:highlight w:val="none"/>
          <w:lang w:val="en-US" w:eastAsia="zh-CN"/>
        </w:rPr>
        <w:t>投标人须具备有效的</w:t>
      </w:r>
      <w:r>
        <w:rPr>
          <w:rFonts w:hint="eastAsia" w:ascii="仿宋" w:hAnsi="仿宋" w:eastAsia="仿宋" w:cs="仿宋"/>
          <w:color w:val="auto"/>
          <w:sz w:val="24"/>
          <w:szCs w:val="24"/>
          <w:highlight w:val="none"/>
        </w:rPr>
        <w:t>《保安服务许可证》</w:t>
      </w:r>
      <w:r>
        <w:rPr>
          <w:rFonts w:hint="eastAsia" w:ascii="仿宋" w:hAnsi="仿宋" w:eastAsia="仿宋" w:cs="仿宋"/>
          <w:color w:val="auto"/>
          <w:kern w:val="0"/>
          <w:sz w:val="24"/>
          <w:szCs w:val="24"/>
          <w:highlight w:val="none"/>
          <w:lang w:val="en-US" w:eastAsia="zh-CN"/>
        </w:rPr>
        <w:t>；</w:t>
      </w:r>
    </w:p>
    <w:p w14:paraId="5A310C48">
      <w:pPr>
        <w:pStyle w:val="56"/>
        <w:wordWrap/>
        <w:adjustRightInd/>
        <w:snapToGrid w:val="0"/>
        <w:spacing w:line="240" w:lineRule="auto"/>
        <w:ind w:left="239" w:leftChars="114" w:firstLine="360" w:firstLineChars="150"/>
        <w:textAlignment w:val="auto"/>
        <w:outlineLvl w:val="2"/>
        <w:rPr>
          <w:rFonts w:hint="eastAsia" w:ascii="仿宋" w:hAnsi="仿宋" w:eastAsia="仿宋" w:cs="仿宋"/>
          <w:color w:val="auto"/>
          <w:kern w:val="2"/>
          <w:sz w:val="24"/>
          <w:szCs w:val="24"/>
          <w:highlight w:val="none"/>
          <w:lang w:val="en-US" w:eastAsia="zh-CN" w:bidi="ar-SA"/>
        </w:rPr>
      </w:pPr>
    </w:p>
    <w:p w14:paraId="403B6D0E">
      <w:pPr>
        <w:spacing w:line="480" w:lineRule="auto"/>
        <w:jc w:val="center"/>
        <w:rPr>
          <w:rFonts w:hint="eastAsia" w:ascii="仿宋" w:hAnsi="仿宋" w:eastAsia="仿宋" w:cs="仿宋"/>
          <w:b/>
          <w:color w:val="auto"/>
          <w:sz w:val="2"/>
          <w:szCs w:val="2"/>
          <w:highlight w:val="none"/>
        </w:rPr>
      </w:pPr>
      <w:r>
        <w:rPr>
          <w:rFonts w:hint="eastAsia" w:ascii="仿宋" w:hAnsi="仿宋" w:eastAsia="仿宋" w:cs="仿宋"/>
          <w:b/>
          <w:bCs/>
          <w:color w:val="auto"/>
          <w:sz w:val="28"/>
          <w:szCs w:val="28"/>
          <w:highlight w:val="none"/>
        </w:rPr>
        <w:br w:type="page"/>
      </w:r>
      <w:bookmarkEnd w:id="144"/>
      <w:bookmarkEnd w:id="145"/>
      <w:bookmarkEnd w:id="146"/>
      <w:bookmarkEnd w:id="147"/>
    </w:p>
    <w:p w14:paraId="4D3C6145">
      <w:pPr>
        <w:numPr>
          <w:ilvl w:val="0"/>
          <w:numId w:val="0"/>
        </w:numPr>
        <w:spacing w:line="360" w:lineRule="auto"/>
        <w:jc w:val="center"/>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投标人基本情况表</w:t>
      </w:r>
    </w:p>
    <w:p w14:paraId="03A9D7E0">
      <w:pPr>
        <w:widowControl w:val="0"/>
        <w:numPr>
          <w:ilvl w:val="0"/>
          <w:numId w:val="0"/>
        </w:numPr>
        <w:wordWrap/>
        <w:adjustRightInd w:val="0"/>
        <w:snapToGrid w:val="0"/>
        <w:spacing w:beforeLines="50" w:afterLines="100" w:line="240" w:lineRule="auto"/>
        <w:jc w:val="both"/>
        <w:textAlignment w:val="auto"/>
        <w:rPr>
          <w:rFonts w:hint="eastAsia" w:ascii="仿宋" w:hAnsi="仿宋" w:eastAsia="仿宋" w:cs="仿宋"/>
          <w:b/>
          <w:color w:val="auto"/>
          <w:sz w:val="2"/>
          <w:szCs w:val="2"/>
          <w:highlight w:val="none"/>
        </w:rPr>
      </w:pPr>
    </w:p>
    <w:tbl>
      <w:tblPr>
        <w:tblStyle w:val="29"/>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753"/>
        <w:gridCol w:w="2063"/>
        <w:gridCol w:w="1870"/>
        <w:gridCol w:w="2685"/>
      </w:tblGrid>
      <w:tr w14:paraId="5AA1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628" w:type="dxa"/>
            <w:vMerge w:val="restart"/>
            <w:vAlign w:val="center"/>
          </w:tcPr>
          <w:p w14:paraId="09FE247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w:t>
            </w:r>
          </w:p>
          <w:p w14:paraId="011AE367">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w:t>
            </w:r>
          </w:p>
          <w:p w14:paraId="6487BD8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w:t>
            </w:r>
          </w:p>
          <w:p w14:paraId="3E32100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概</w:t>
            </w:r>
          </w:p>
          <w:p w14:paraId="1D0C8DF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况</w:t>
            </w:r>
          </w:p>
        </w:tc>
        <w:tc>
          <w:tcPr>
            <w:tcW w:w="1753" w:type="dxa"/>
            <w:vAlign w:val="center"/>
          </w:tcPr>
          <w:p w14:paraId="6CB3FD85">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公司名称</w:t>
            </w:r>
          </w:p>
        </w:tc>
        <w:tc>
          <w:tcPr>
            <w:tcW w:w="6618" w:type="dxa"/>
            <w:gridSpan w:val="3"/>
            <w:vAlign w:val="center"/>
          </w:tcPr>
          <w:p w14:paraId="5F1ABD03">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r>
      <w:tr w14:paraId="50B9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628" w:type="dxa"/>
            <w:vMerge w:val="continue"/>
            <w:vAlign w:val="center"/>
          </w:tcPr>
          <w:p w14:paraId="2695F9A8">
            <w:pPr>
              <w:spacing w:line="360" w:lineRule="auto"/>
              <w:ind w:firstLine="480" w:firstLineChars="200"/>
              <w:rPr>
                <w:rFonts w:hint="eastAsia" w:ascii="仿宋" w:hAnsi="仿宋" w:eastAsia="仿宋" w:cs="仿宋"/>
                <w:color w:val="auto"/>
                <w:sz w:val="24"/>
                <w:szCs w:val="24"/>
                <w:highlight w:val="none"/>
                <w:lang w:val="en-US" w:eastAsia="zh-CN"/>
              </w:rPr>
            </w:pPr>
          </w:p>
        </w:tc>
        <w:tc>
          <w:tcPr>
            <w:tcW w:w="1753" w:type="dxa"/>
            <w:vAlign w:val="center"/>
          </w:tcPr>
          <w:p w14:paraId="1C46F946">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单位地址</w:t>
            </w:r>
          </w:p>
        </w:tc>
        <w:tc>
          <w:tcPr>
            <w:tcW w:w="6618" w:type="dxa"/>
            <w:gridSpan w:val="3"/>
            <w:vAlign w:val="center"/>
          </w:tcPr>
          <w:p w14:paraId="57690359">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r>
      <w:tr w14:paraId="2AC8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8" w:type="dxa"/>
            <w:vMerge w:val="continue"/>
            <w:vAlign w:val="center"/>
          </w:tcPr>
          <w:p w14:paraId="4787E59D">
            <w:pPr>
              <w:spacing w:line="360" w:lineRule="auto"/>
              <w:ind w:firstLine="480" w:firstLineChars="200"/>
              <w:rPr>
                <w:rFonts w:hint="eastAsia" w:ascii="仿宋" w:hAnsi="仿宋" w:eastAsia="仿宋" w:cs="仿宋"/>
                <w:color w:val="auto"/>
                <w:sz w:val="24"/>
                <w:szCs w:val="24"/>
                <w:highlight w:val="none"/>
                <w:lang w:val="en-US" w:eastAsia="zh-CN"/>
              </w:rPr>
            </w:pPr>
          </w:p>
        </w:tc>
        <w:tc>
          <w:tcPr>
            <w:tcW w:w="1753" w:type="dxa"/>
            <w:vAlign w:val="center"/>
          </w:tcPr>
          <w:p w14:paraId="5D346647">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经营范围</w:t>
            </w:r>
          </w:p>
        </w:tc>
        <w:tc>
          <w:tcPr>
            <w:tcW w:w="6618" w:type="dxa"/>
            <w:gridSpan w:val="3"/>
            <w:vAlign w:val="center"/>
          </w:tcPr>
          <w:p w14:paraId="1AAAEEC1">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r>
      <w:tr w14:paraId="1D8D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28" w:type="dxa"/>
            <w:vMerge w:val="continue"/>
            <w:vAlign w:val="center"/>
          </w:tcPr>
          <w:p w14:paraId="34C6D58C">
            <w:pPr>
              <w:spacing w:line="360" w:lineRule="auto"/>
              <w:ind w:firstLine="480" w:firstLineChars="200"/>
              <w:rPr>
                <w:rFonts w:hint="eastAsia" w:ascii="仿宋" w:hAnsi="仿宋" w:eastAsia="仿宋" w:cs="仿宋"/>
                <w:color w:val="auto"/>
                <w:sz w:val="24"/>
                <w:szCs w:val="24"/>
                <w:highlight w:val="none"/>
                <w:lang w:val="en-US" w:eastAsia="zh-CN"/>
              </w:rPr>
            </w:pPr>
          </w:p>
        </w:tc>
        <w:tc>
          <w:tcPr>
            <w:tcW w:w="1753" w:type="dxa"/>
            <w:vAlign w:val="center"/>
          </w:tcPr>
          <w:p w14:paraId="1DA5F727">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成立时间</w:t>
            </w:r>
          </w:p>
        </w:tc>
        <w:tc>
          <w:tcPr>
            <w:tcW w:w="2063" w:type="dxa"/>
            <w:vAlign w:val="center"/>
          </w:tcPr>
          <w:p w14:paraId="0043FE34">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c>
          <w:tcPr>
            <w:tcW w:w="1870" w:type="dxa"/>
            <w:vAlign w:val="center"/>
          </w:tcPr>
          <w:p w14:paraId="0BE03A3B">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经济性质</w:t>
            </w:r>
          </w:p>
        </w:tc>
        <w:tc>
          <w:tcPr>
            <w:tcW w:w="2685" w:type="dxa"/>
            <w:vAlign w:val="center"/>
          </w:tcPr>
          <w:p w14:paraId="6F41C1BC">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r>
      <w:tr w14:paraId="43FC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628" w:type="dxa"/>
            <w:vMerge w:val="continue"/>
            <w:vAlign w:val="center"/>
          </w:tcPr>
          <w:p w14:paraId="72CE50D2">
            <w:pPr>
              <w:spacing w:line="360" w:lineRule="auto"/>
              <w:ind w:firstLine="480" w:firstLineChars="200"/>
              <w:rPr>
                <w:rFonts w:hint="eastAsia" w:ascii="仿宋" w:hAnsi="仿宋" w:eastAsia="仿宋" w:cs="仿宋"/>
                <w:color w:val="auto"/>
                <w:sz w:val="24"/>
                <w:szCs w:val="24"/>
                <w:highlight w:val="none"/>
                <w:lang w:val="en-US" w:eastAsia="zh-CN"/>
              </w:rPr>
            </w:pPr>
          </w:p>
        </w:tc>
        <w:tc>
          <w:tcPr>
            <w:tcW w:w="1753" w:type="dxa"/>
            <w:vAlign w:val="center"/>
          </w:tcPr>
          <w:p w14:paraId="33ED50C1">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w:t>
            </w:r>
          </w:p>
        </w:tc>
        <w:tc>
          <w:tcPr>
            <w:tcW w:w="2063" w:type="dxa"/>
            <w:vAlign w:val="center"/>
          </w:tcPr>
          <w:p w14:paraId="229FEC9F">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c>
          <w:tcPr>
            <w:tcW w:w="1870" w:type="dxa"/>
            <w:vAlign w:val="center"/>
          </w:tcPr>
          <w:p w14:paraId="21F34D7B">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w:t>
            </w:r>
          </w:p>
        </w:tc>
        <w:tc>
          <w:tcPr>
            <w:tcW w:w="2685" w:type="dxa"/>
            <w:vAlign w:val="center"/>
          </w:tcPr>
          <w:p w14:paraId="31FEE48F">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r>
      <w:tr w14:paraId="152F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628" w:type="dxa"/>
            <w:vMerge w:val="continue"/>
            <w:vAlign w:val="center"/>
          </w:tcPr>
          <w:p w14:paraId="3F286FA7">
            <w:pPr>
              <w:spacing w:line="360" w:lineRule="auto"/>
              <w:ind w:firstLine="480" w:firstLineChars="200"/>
              <w:rPr>
                <w:rFonts w:hint="eastAsia" w:ascii="仿宋" w:hAnsi="仿宋" w:eastAsia="仿宋" w:cs="仿宋"/>
                <w:color w:val="auto"/>
                <w:sz w:val="24"/>
                <w:szCs w:val="24"/>
                <w:highlight w:val="none"/>
                <w:lang w:val="en-US" w:eastAsia="zh-CN"/>
              </w:rPr>
            </w:pPr>
          </w:p>
        </w:tc>
        <w:tc>
          <w:tcPr>
            <w:tcW w:w="1753" w:type="dxa"/>
            <w:vAlign w:val="center"/>
          </w:tcPr>
          <w:p w14:paraId="31B8665C">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注册资金</w:t>
            </w:r>
          </w:p>
        </w:tc>
        <w:tc>
          <w:tcPr>
            <w:tcW w:w="2063" w:type="dxa"/>
            <w:vAlign w:val="center"/>
          </w:tcPr>
          <w:p w14:paraId="234CCF43">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c>
          <w:tcPr>
            <w:tcW w:w="1870" w:type="dxa"/>
            <w:vAlign w:val="center"/>
          </w:tcPr>
          <w:p w14:paraId="424FFF41">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技术人员数</w:t>
            </w:r>
          </w:p>
        </w:tc>
        <w:tc>
          <w:tcPr>
            <w:tcW w:w="2685" w:type="dxa"/>
            <w:vAlign w:val="center"/>
          </w:tcPr>
          <w:p w14:paraId="19475BEB">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r>
      <w:tr w14:paraId="5CEE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28" w:type="dxa"/>
            <w:vMerge w:val="continue"/>
            <w:vAlign w:val="center"/>
          </w:tcPr>
          <w:p w14:paraId="4AAC2FC9">
            <w:pPr>
              <w:spacing w:line="360" w:lineRule="auto"/>
              <w:ind w:firstLine="480" w:firstLineChars="200"/>
              <w:rPr>
                <w:rFonts w:hint="eastAsia" w:ascii="仿宋" w:hAnsi="仿宋" w:eastAsia="仿宋" w:cs="仿宋"/>
                <w:color w:val="auto"/>
                <w:sz w:val="24"/>
                <w:szCs w:val="24"/>
                <w:highlight w:val="none"/>
                <w:lang w:val="en-US" w:eastAsia="zh-CN"/>
              </w:rPr>
            </w:pPr>
          </w:p>
        </w:tc>
        <w:tc>
          <w:tcPr>
            <w:tcW w:w="1753" w:type="dxa"/>
            <w:vAlign w:val="center"/>
          </w:tcPr>
          <w:p w14:paraId="149ADD23">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资产总额</w:t>
            </w:r>
          </w:p>
        </w:tc>
        <w:tc>
          <w:tcPr>
            <w:tcW w:w="2063" w:type="dxa"/>
            <w:vAlign w:val="center"/>
          </w:tcPr>
          <w:p w14:paraId="1945D379">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c>
          <w:tcPr>
            <w:tcW w:w="1870" w:type="dxa"/>
            <w:vAlign w:val="center"/>
          </w:tcPr>
          <w:p w14:paraId="2430AA51">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净资产</w:t>
            </w:r>
          </w:p>
        </w:tc>
        <w:tc>
          <w:tcPr>
            <w:tcW w:w="2685" w:type="dxa"/>
            <w:vAlign w:val="center"/>
          </w:tcPr>
          <w:p w14:paraId="5F4B975E">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r>
      <w:tr w14:paraId="6845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28" w:type="dxa"/>
            <w:vMerge w:val="continue"/>
            <w:vAlign w:val="center"/>
          </w:tcPr>
          <w:p w14:paraId="6C99B1E5">
            <w:pPr>
              <w:spacing w:line="360" w:lineRule="auto"/>
              <w:ind w:firstLine="480" w:firstLineChars="200"/>
              <w:rPr>
                <w:rFonts w:hint="eastAsia" w:ascii="仿宋" w:hAnsi="仿宋" w:eastAsia="仿宋" w:cs="仿宋"/>
                <w:color w:val="auto"/>
                <w:sz w:val="24"/>
                <w:szCs w:val="24"/>
                <w:highlight w:val="none"/>
                <w:lang w:val="en-US" w:eastAsia="zh-CN"/>
              </w:rPr>
            </w:pPr>
          </w:p>
        </w:tc>
        <w:tc>
          <w:tcPr>
            <w:tcW w:w="1753" w:type="dxa"/>
            <w:vAlign w:val="center"/>
          </w:tcPr>
          <w:p w14:paraId="36D20814">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工商登记号</w:t>
            </w:r>
          </w:p>
        </w:tc>
        <w:tc>
          <w:tcPr>
            <w:tcW w:w="2063" w:type="dxa"/>
            <w:vAlign w:val="center"/>
          </w:tcPr>
          <w:p w14:paraId="7A7D5996">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c>
          <w:tcPr>
            <w:tcW w:w="1870" w:type="dxa"/>
            <w:vAlign w:val="center"/>
          </w:tcPr>
          <w:p w14:paraId="130E49FC">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税务登记号</w:t>
            </w:r>
          </w:p>
        </w:tc>
        <w:tc>
          <w:tcPr>
            <w:tcW w:w="2685" w:type="dxa"/>
            <w:vAlign w:val="center"/>
          </w:tcPr>
          <w:p w14:paraId="7203338C">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r>
      <w:tr w14:paraId="42D3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628" w:type="dxa"/>
            <w:vMerge w:val="continue"/>
            <w:vAlign w:val="center"/>
          </w:tcPr>
          <w:p w14:paraId="48800B40">
            <w:pPr>
              <w:spacing w:line="360" w:lineRule="auto"/>
              <w:ind w:firstLine="480" w:firstLineChars="200"/>
              <w:rPr>
                <w:rFonts w:hint="eastAsia" w:ascii="仿宋" w:hAnsi="仿宋" w:eastAsia="仿宋" w:cs="仿宋"/>
                <w:color w:val="auto"/>
                <w:sz w:val="24"/>
                <w:szCs w:val="24"/>
                <w:highlight w:val="none"/>
                <w:lang w:val="en-US" w:eastAsia="zh-CN"/>
              </w:rPr>
            </w:pPr>
          </w:p>
        </w:tc>
        <w:tc>
          <w:tcPr>
            <w:tcW w:w="1753" w:type="dxa"/>
            <w:vAlign w:val="center"/>
          </w:tcPr>
          <w:p w14:paraId="5D26A5E1">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是否依法纳税</w:t>
            </w:r>
          </w:p>
        </w:tc>
        <w:tc>
          <w:tcPr>
            <w:tcW w:w="2063" w:type="dxa"/>
            <w:vAlign w:val="center"/>
          </w:tcPr>
          <w:p w14:paraId="1D6D0B83">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c>
          <w:tcPr>
            <w:tcW w:w="1870" w:type="dxa"/>
            <w:vAlign w:val="center"/>
          </w:tcPr>
          <w:p w14:paraId="7A8046F5">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是否参加社保</w:t>
            </w:r>
          </w:p>
        </w:tc>
        <w:tc>
          <w:tcPr>
            <w:tcW w:w="2685" w:type="dxa"/>
            <w:vAlign w:val="center"/>
          </w:tcPr>
          <w:p w14:paraId="44F1071A">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r>
      <w:tr w14:paraId="1475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628" w:type="dxa"/>
            <w:vMerge w:val="continue"/>
            <w:vAlign w:val="center"/>
          </w:tcPr>
          <w:p w14:paraId="373E3AEE">
            <w:pPr>
              <w:spacing w:line="360" w:lineRule="auto"/>
              <w:ind w:firstLine="480" w:firstLineChars="200"/>
              <w:rPr>
                <w:rFonts w:hint="eastAsia" w:ascii="仿宋" w:hAnsi="仿宋" w:eastAsia="仿宋" w:cs="仿宋"/>
                <w:color w:val="auto"/>
                <w:sz w:val="24"/>
                <w:szCs w:val="24"/>
                <w:highlight w:val="none"/>
                <w:lang w:val="en-US" w:eastAsia="zh-CN"/>
              </w:rPr>
            </w:pPr>
          </w:p>
        </w:tc>
        <w:tc>
          <w:tcPr>
            <w:tcW w:w="1753" w:type="dxa"/>
            <w:vAlign w:val="center"/>
          </w:tcPr>
          <w:p w14:paraId="12245E54">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近三年公司</w:t>
            </w:r>
          </w:p>
          <w:p w14:paraId="7E214EDA">
            <w:pPr>
              <w:widowControl w:val="0"/>
              <w:wordWrap/>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信誉（如有）</w:t>
            </w:r>
          </w:p>
        </w:tc>
        <w:tc>
          <w:tcPr>
            <w:tcW w:w="6618" w:type="dxa"/>
            <w:gridSpan w:val="3"/>
            <w:vAlign w:val="center"/>
          </w:tcPr>
          <w:p w14:paraId="08834B9F">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p w14:paraId="0A5FFFBE">
            <w:pPr>
              <w:widowControl w:val="0"/>
              <w:wordWrap/>
              <w:adjustRightInd/>
              <w:snapToGrid/>
              <w:spacing w:line="240" w:lineRule="auto"/>
              <w:ind w:firstLine="480" w:firstLineChars="200"/>
              <w:jc w:val="center"/>
              <w:textAlignment w:val="auto"/>
              <w:rPr>
                <w:rFonts w:hint="eastAsia" w:ascii="仿宋" w:hAnsi="仿宋" w:eastAsia="仿宋" w:cs="仿宋"/>
                <w:color w:val="auto"/>
                <w:sz w:val="24"/>
                <w:szCs w:val="24"/>
                <w:highlight w:val="none"/>
                <w:lang w:val="en-US" w:eastAsia="zh-CN"/>
              </w:rPr>
            </w:pPr>
          </w:p>
        </w:tc>
      </w:tr>
      <w:tr w14:paraId="78DE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628" w:type="dxa"/>
            <w:vMerge w:val="continue"/>
            <w:vAlign w:val="center"/>
          </w:tcPr>
          <w:p w14:paraId="60BD7715">
            <w:pPr>
              <w:spacing w:line="360" w:lineRule="auto"/>
              <w:ind w:firstLine="480" w:firstLineChars="200"/>
              <w:rPr>
                <w:rFonts w:hint="eastAsia" w:ascii="仿宋" w:hAnsi="仿宋" w:eastAsia="仿宋" w:cs="仿宋"/>
                <w:color w:val="auto"/>
                <w:sz w:val="24"/>
                <w:szCs w:val="24"/>
                <w:highlight w:val="none"/>
                <w:lang w:val="en-US" w:eastAsia="zh-CN"/>
              </w:rPr>
            </w:pPr>
          </w:p>
        </w:tc>
        <w:tc>
          <w:tcPr>
            <w:tcW w:w="8371" w:type="dxa"/>
            <w:gridSpan w:val="4"/>
            <w:vAlign w:val="top"/>
          </w:tcPr>
          <w:p w14:paraId="3D6F3C8E">
            <w:pPr>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公司优势及特点：</w:t>
            </w:r>
          </w:p>
        </w:tc>
      </w:tr>
    </w:tbl>
    <w:p w14:paraId="2E9C43C0">
      <w:pPr>
        <w:pStyle w:val="84"/>
        <w:spacing w:before="0" w:beforeAutospacing="0" w:after="0" w:afterAutospacing="0" w:line="240" w:lineRule="auto"/>
        <w:rPr>
          <w:rFonts w:hint="eastAsia" w:ascii="仿宋" w:hAnsi="仿宋" w:eastAsia="仿宋" w:cs="仿宋"/>
          <w:b/>
          <w:bCs/>
          <w:snapToGrid w:val="0"/>
          <w:color w:val="auto"/>
          <w:sz w:val="15"/>
          <w:szCs w:val="15"/>
          <w:highlight w:val="none"/>
        </w:rPr>
      </w:pPr>
    </w:p>
    <w:p w14:paraId="4E2BC3AC">
      <w:pPr>
        <w:pStyle w:val="84"/>
        <w:spacing w:before="0" w:beforeAutospacing="0" w:after="0" w:afterAutospacing="0" w:line="360" w:lineRule="auto"/>
        <w:ind w:firstLine="241" w:firstLineChars="100"/>
        <w:rPr>
          <w:rFonts w:hint="eastAsia" w:ascii="仿宋" w:hAnsi="仿宋" w:eastAsia="仿宋" w:cs="仿宋"/>
          <w:snapToGrid w:val="0"/>
          <w:color w:val="auto"/>
          <w:sz w:val="24"/>
          <w:szCs w:val="24"/>
          <w:highlight w:val="none"/>
        </w:rPr>
      </w:pPr>
      <w:r>
        <w:rPr>
          <w:rFonts w:hint="eastAsia" w:ascii="仿宋" w:hAnsi="仿宋" w:eastAsia="仿宋" w:cs="仿宋"/>
          <w:b/>
          <w:bCs/>
          <w:snapToGrid w:val="0"/>
          <w:color w:val="auto"/>
          <w:sz w:val="24"/>
          <w:szCs w:val="24"/>
          <w:highlight w:val="none"/>
        </w:rPr>
        <w:t>说明：</w:t>
      </w:r>
      <w:r>
        <w:rPr>
          <w:rFonts w:hint="eastAsia" w:ascii="仿宋" w:hAnsi="仿宋" w:eastAsia="仿宋" w:cs="仿宋"/>
          <w:snapToGrid w:val="0"/>
          <w:color w:val="auto"/>
          <w:sz w:val="24"/>
          <w:szCs w:val="24"/>
          <w:highlight w:val="none"/>
        </w:rPr>
        <w:t>本表后应附有</w:t>
      </w:r>
      <w:r>
        <w:rPr>
          <w:rFonts w:hint="eastAsia" w:ascii="仿宋" w:hAnsi="仿宋" w:eastAsia="仿宋" w:cs="仿宋"/>
          <w:snapToGrid w:val="0"/>
          <w:color w:val="auto"/>
          <w:sz w:val="24"/>
          <w:szCs w:val="24"/>
          <w:highlight w:val="none"/>
          <w:lang w:val="en-US" w:eastAsia="zh-CN"/>
        </w:rPr>
        <w:t>投标供应商营业执照</w:t>
      </w:r>
      <w:r>
        <w:rPr>
          <w:rFonts w:hint="eastAsia" w:ascii="仿宋" w:hAnsi="仿宋" w:eastAsia="仿宋" w:cs="仿宋"/>
          <w:snapToGrid w:val="0"/>
          <w:color w:val="auto"/>
          <w:sz w:val="24"/>
          <w:szCs w:val="24"/>
          <w:highlight w:val="none"/>
        </w:rPr>
        <w:t>。</w:t>
      </w:r>
    </w:p>
    <w:p w14:paraId="30635837">
      <w:pPr>
        <w:snapToGrid w:val="0"/>
        <w:rPr>
          <w:rFonts w:hint="eastAsia" w:ascii="仿宋" w:hAnsi="仿宋" w:eastAsia="仿宋" w:cs="仿宋"/>
          <w:color w:val="auto"/>
          <w:sz w:val="24"/>
          <w:szCs w:val="24"/>
          <w:highlight w:val="none"/>
        </w:rPr>
      </w:pPr>
    </w:p>
    <w:p w14:paraId="6B85472E">
      <w:pPr>
        <w:spacing w:line="360" w:lineRule="auto"/>
        <w:ind w:firstLine="3840" w:firstLineChars="1600"/>
        <w:jc w:val="both"/>
        <w:rPr>
          <w:rFonts w:hint="eastAsia" w:ascii="仿宋" w:hAnsi="仿宋" w:eastAsia="仿宋" w:cs="仿宋"/>
          <w:color w:val="auto"/>
          <w:sz w:val="24"/>
          <w:szCs w:val="24"/>
          <w:highlight w:val="none"/>
        </w:rPr>
      </w:pPr>
    </w:p>
    <w:p w14:paraId="49CCDCD9">
      <w:pPr>
        <w:spacing w:line="360" w:lineRule="auto"/>
        <w:rPr>
          <w:rFonts w:hint="eastAsia" w:ascii="仿宋" w:hAnsi="仿宋" w:eastAsia="仿宋" w:cs="仿宋"/>
          <w:color w:val="auto"/>
          <w:sz w:val="24"/>
          <w:szCs w:val="24"/>
          <w:highlight w:val="none"/>
          <w:lang w:val="en-US" w:eastAsia="zh-CN"/>
        </w:rPr>
      </w:pPr>
    </w:p>
    <w:p w14:paraId="1281D37B">
      <w:pPr>
        <w:pStyle w:val="82"/>
        <w:rPr>
          <w:rFonts w:hint="eastAsia" w:ascii="仿宋" w:hAnsi="仿宋" w:eastAsia="仿宋" w:cs="仿宋"/>
          <w:color w:val="auto"/>
          <w:highlight w:val="none"/>
          <w:lang w:val="en-US" w:eastAsia="zh-CN"/>
        </w:rPr>
      </w:pPr>
    </w:p>
    <w:p w14:paraId="5ACF5C68">
      <w:pPr>
        <w:spacing w:line="360" w:lineRule="auto"/>
        <w:ind w:firstLine="480" w:firstLineChars="200"/>
        <w:rPr>
          <w:rFonts w:hint="eastAsia" w:ascii="仿宋" w:hAnsi="仿宋" w:eastAsia="仿宋" w:cs="仿宋"/>
          <w:color w:val="auto"/>
          <w:sz w:val="24"/>
          <w:szCs w:val="24"/>
          <w:highlight w:val="none"/>
          <w:lang w:val="en-US" w:eastAsia="zh-CN"/>
        </w:rPr>
      </w:pPr>
    </w:p>
    <w:p w14:paraId="722E0EB8">
      <w:pPr>
        <w:spacing w:line="48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投标单位（单位公章）：</w:t>
      </w:r>
    </w:p>
    <w:p w14:paraId="62E28C6A">
      <w:pPr>
        <w:spacing w:line="48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67BA7D4C">
      <w:pPr>
        <w:spacing w:line="480" w:lineRule="auto"/>
        <w:ind w:left="105" w:leftChars="50" w:firstLine="1200" w:firstLineChars="5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年   月   日</w:t>
      </w:r>
      <w:r>
        <w:rPr>
          <w:rFonts w:hint="eastAsia" w:ascii="仿宋" w:hAnsi="仿宋" w:eastAsia="仿宋" w:cs="仿宋"/>
          <w:color w:val="auto"/>
          <w:sz w:val="24"/>
          <w:szCs w:val="24"/>
          <w:highlight w:val="none"/>
          <w:lang w:val="en-US" w:eastAsia="zh-CN"/>
        </w:rPr>
        <w:t xml:space="preserve"> </w:t>
      </w:r>
    </w:p>
    <w:p w14:paraId="1646B858">
      <w:pPr>
        <w:pStyle w:val="14"/>
        <w:rPr>
          <w:rFonts w:hint="eastAsia" w:ascii="仿宋" w:hAnsi="仿宋" w:eastAsia="仿宋" w:cs="仿宋"/>
          <w:color w:val="auto"/>
          <w:sz w:val="24"/>
          <w:szCs w:val="24"/>
          <w:highlight w:val="none"/>
          <w:lang w:val="en-US" w:eastAsia="zh-CN"/>
        </w:rPr>
      </w:pPr>
    </w:p>
    <w:p w14:paraId="1D833EB2">
      <w:pPr>
        <w:pStyle w:val="14"/>
        <w:rPr>
          <w:rFonts w:hint="default" w:ascii="仿宋" w:hAnsi="仿宋" w:eastAsia="仿宋" w:cs="仿宋"/>
          <w:color w:val="auto"/>
          <w:sz w:val="24"/>
          <w:szCs w:val="24"/>
          <w:highlight w:val="none"/>
          <w:lang w:val="en-US" w:eastAsia="zh-CN"/>
        </w:rPr>
      </w:pPr>
    </w:p>
    <w:p w14:paraId="6150154F">
      <w:pPr>
        <w:pStyle w:val="14"/>
        <w:jc w:val="both"/>
        <w:rPr>
          <w:rFonts w:hint="eastAsia" w:ascii="仿宋" w:hAnsi="仿宋" w:eastAsia="仿宋" w:cs="仿宋"/>
          <w:color w:val="auto"/>
          <w:highlight w:val="none"/>
          <w:lang w:val="en-US" w:eastAsia="zh-CN"/>
        </w:rPr>
        <w:sectPr>
          <w:pgSz w:w="11906" w:h="16838"/>
          <w:pgMar w:top="1191" w:right="1417" w:bottom="1191" w:left="1417" w:header="737" w:footer="737" w:gutter="0"/>
          <w:pgBorders>
            <w:top w:val="none" w:sz="0" w:space="0"/>
            <w:left w:val="none" w:sz="0" w:space="0"/>
            <w:bottom w:val="none" w:sz="0" w:space="0"/>
            <w:right w:val="none" w:sz="0" w:space="0"/>
          </w:pgBorders>
          <w:pgNumType w:fmt="decimal"/>
          <w:cols w:space="720" w:num="1"/>
          <w:rtlGutter w:val="0"/>
          <w:docGrid w:linePitch="312" w:charSpace="0"/>
        </w:sectPr>
      </w:pPr>
    </w:p>
    <w:p w14:paraId="003DC42F">
      <w:pPr>
        <w:pStyle w:val="14"/>
        <w:rPr>
          <w:rFonts w:hint="eastAsia" w:ascii="仿宋" w:hAnsi="仿宋" w:eastAsia="仿宋" w:cs="仿宋"/>
          <w:color w:val="auto"/>
          <w:highlight w:val="none"/>
          <w:lang w:val="en-US" w:eastAsia="zh-CN"/>
        </w:rPr>
      </w:pPr>
    </w:p>
    <w:p w14:paraId="4B6911C6">
      <w:pPr>
        <w:spacing w:line="600" w:lineRule="auto"/>
        <w:jc w:val="center"/>
        <w:rPr>
          <w:rStyle w:val="163"/>
          <w:rFonts w:hint="eastAsia" w:ascii="仿宋" w:hAnsi="仿宋" w:eastAsia="仿宋" w:cs="仿宋"/>
          <w:bCs w:val="0"/>
          <w:color w:val="auto"/>
          <w:sz w:val="28"/>
          <w:szCs w:val="28"/>
          <w:highlight w:val="none"/>
        </w:rPr>
      </w:pPr>
      <w:r>
        <w:rPr>
          <w:rStyle w:val="163"/>
          <w:rFonts w:hint="eastAsia" w:ascii="仿宋" w:hAnsi="仿宋" w:eastAsia="仿宋" w:cs="仿宋"/>
          <w:bCs w:val="0"/>
          <w:color w:val="auto"/>
          <w:sz w:val="28"/>
          <w:szCs w:val="28"/>
          <w:highlight w:val="none"/>
          <w:lang w:eastAsia="zh-CN"/>
        </w:rPr>
        <w:t>十</w:t>
      </w:r>
      <w:r>
        <w:rPr>
          <w:rStyle w:val="163"/>
          <w:rFonts w:hint="eastAsia" w:ascii="仿宋" w:hAnsi="仿宋" w:eastAsia="仿宋" w:cs="仿宋"/>
          <w:bCs w:val="0"/>
          <w:color w:val="auto"/>
          <w:sz w:val="28"/>
          <w:szCs w:val="28"/>
          <w:highlight w:val="none"/>
          <w:lang w:val="en-US" w:eastAsia="zh-CN"/>
        </w:rPr>
        <w:t>一</w:t>
      </w:r>
      <w:r>
        <w:rPr>
          <w:rStyle w:val="163"/>
          <w:rFonts w:hint="eastAsia" w:ascii="仿宋" w:hAnsi="仿宋" w:eastAsia="仿宋" w:cs="仿宋"/>
          <w:bCs w:val="0"/>
          <w:color w:val="auto"/>
          <w:sz w:val="28"/>
          <w:szCs w:val="28"/>
          <w:highlight w:val="none"/>
          <w:lang w:eastAsia="zh-CN"/>
        </w:rPr>
        <w:t>、</w:t>
      </w:r>
      <w:r>
        <w:rPr>
          <w:rStyle w:val="163"/>
          <w:rFonts w:hint="eastAsia" w:ascii="仿宋" w:hAnsi="仿宋" w:eastAsia="仿宋" w:cs="仿宋"/>
          <w:bCs w:val="0"/>
          <w:color w:val="auto"/>
          <w:sz w:val="28"/>
          <w:szCs w:val="28"/>
          <w:highlight w:val="none"/>
        </w:rPr>
        <w:t>投标单位（供应商）承诺书</w:t>
      </w:r>
    </w:p>
    <w:p w14:paraId="1E6509B3">
      <w:pPr>
        <w:pStyle w:val="80"/>
        <w:spacing w:line="480" w:lineRule="auto"/>
        <w:ind w:left="46" w:leftChars="22" w:firstLine="562" w:firstLineChars="200"/>
        <w:jc w:val="center"/>
        <w:rPr>
          <w:rFonts w:hint="eastAsia" w:ascii="仿宋" w:hAnsi="仿宋" w:eastAsia="仿宋" w:cs="仿宋"/>
          <w:color w:val="auto"/>
          <w:sz w:val="28"/>
          <w:szCs w:val="28"/>
          <w:highlight w:val="none"/>
        </w:rPr>
      </w:pPr>
      <w:bookmarkStart w:id="148" w:name="_Toc29266"/>
      <w:bookmarkStart w:id="149" w:name="_Toc5662"/>
      <w:bookmarkStart w:id="150" w:name="_Toc8968"/>
      <w:bookmarkStart w:id="151" w:name="_Toc15248"/>
      <w:r>
        <w:rPr>
          <w:rFonts w:hint="eastAsia" w:ascii="仿宋" w:hAnsi="仿宋" w:eastAsia="仿宋" w:cs="仿宋"/>
          <w:b/>
          <w:bCs/>
          <w:color w:val="auto"/>
          <w:sz w:val="28"/>
          <w:szCs w:val="28"/>
          <w:highlight w:val="none"/>
        </w:rPr>
        <w:t>承诺书（1）</w:t>
      </w:r>
    </w:p>
    <w:p w14:paraId="5CD04A27">
      <w:pPr>
        <w:pStyle w:val="80"/>
        <w:widowControl w:val="0"/>
        <w:wordWrap/>
        <w:adjustRightInd/>
        <w:snapToGrid/>
        <w:spacing w:line="480" w:lineRule="auto"/>
        <w:ind w:left="46" w:leftChars="22"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（项目编号、项目名称）</w:t>
      </w:r>
      <w:r>
        <w:rPr>
          <w:rFonts w:hint="eastAsia" w:ascii="仿宋" w:hAnsi="仿宋" w:eastAsia="仿宋" w:cs="仿宋"/>
          <w:color w:val="auto"/>
          <w:sz w:val="24"/>
          <w:szCs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55B282A8">
      <w:pPr>
        <w:pStyle w:val="80"/>
        <w:spacing w:line="480" w:lineRule="auto"/>
        <w:ind w:left="46" w:leftChars="22" w:firstLine="480" w:firstLineChars="200"/>
        <w:rPr>
          <w:rFonts w:hint="eastAsia" w:ascii="仿宋" w:hAnsi="仿宋" w:eastAsia="仿宋" w:cs="仿宋"/>
          <w:color w:val="auto"/>
          <w:sz w:val="24"/>
          <w:szCs w:val="24"/>
          <w:highlight w:val="none"/>
        </w:rPr>
      </w:pPr>
    </w:p>
    <w:p w14:paraId="4B65B9F1">
      <w:pPr>
        <w:pStyle w:val="80"/>
        <w:spacing w:line="480" w:lineRule="auto"/>
        <w:ind w:left="46" w:leftChars="22" w:firstLine="480" w:firstLineChars="200"/>
        <w:rPr>
          <w:rFonts w:hint="eastAsia" w:ascii="仿宋" w:hAnsi="仿宋" w:eastAsia="仿宋" w:cs="仿宋"/>
          <w:color w:val="auto"/>
          <w:sz w:val="24"/>
          <w:szCs w:val="24"/>
          <w:highlight w:val="none"/>
        </w:rPr>
      </w:pPr>
    </w:p>
    <w:p w14:paraId="1A3DFBB9">
      <w:pPr>
        <w:pStyle w:val="80"/>
        <w:spacing w:line="480" w:lineRule="auto"/>
        <w:ind w:left="46" w:leftChars="22" w:firstLine="480" w:firstLineChars="200"/>
        <w:rPr>
          <w:rFonts w:hint="eastAsia" w:ascii="仿宋" w:hAnsi="仿宋" w:eastAsia="仿宋" w:cs="仿宋"/>
          <w:color w:val="auto"/>
          <w:sz w:val="24"/>
          <w:szCs w:val="24"/>
          <w:highlight w:val="none"/>
        </w:rPr>
      </w:pPr>
    </w:p>
    <w:p w14:paraId="7233EE8E">
      <w:pPr>
        <w:pStyle w:val="80"/>
        <w:spacing w:line="480" w:lineRule="auto"/>
        <w:ind w:left="46" w:leftChars="22" w:firstLine="480" w:firstLineChars="200"/>
        <w:rPr>
          <w:rFonts w:hint="eastAsia" w:ascii="仿宋" w:hAnsi="仿宋" w:eastAsia="仿宋" w:cs="仿宋"/>
          <w:color w:val="auto"/>
          <w:sz w:val="24"/>
          <w:szCs w:val="24"/>
          <w:highlight w:val="none"/>
        </w:rPr>
      </w:pPr>
    </w:p>
    <w:p w14:paraId="46DA8CB3">
      <w:pPr>
        <w:spacing w:line="48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47861F9A">
      <w:pPr>
        <w:spacing w:line="48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131F119B">
      <w:pPr>
        <w:spacing w:line="480" w:lineRule="auto"/>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23D11BC">
      <w:pPr>
        <w:pStyle w:val="4"/>
        <w:rPr>
          <w:rFonts w:hint="eastAsia" w:ascii="仿宋" w:hAnsi="仿宋" w:eastAsia="仿宋" w:cs="仿宋"/>
          <w:color w:val="auto"/>
          <w:sz w:val="24"/>
          <w:szCs w:val="24"/>
          <w:highlight w:val="none"/>
        </w:rPr>
      </w:pPr>
    </w:p>
    <w:p w14:paraId="4E019DF1">
      <w:pPr>
        <w:rPr>
          <w:rFonts w:hint="eastAsia" w:ascii="仿宋" w:hAnsi="仿宋" w:eastAsia="仿宋" w:cs="仿宋"/>
          <w:color w:val="auto"/>
          <w:sz w:val="24"/>
          <w:szCs w:val="24"/>
          <w:highlight w:val="none"/>
        </w:rPr>
      </w:pPr>
    </w:p>
    <w:p w14:paraId="71C494CE">
      <w:pPr>
        <w:pStyle w:val="4"/>
        <w:rPr>
          <w:rFonts w:hint="eastAsia" w:ascii="仿宋" w:hAnsi="仿宋" w:eastAsia="仿宋" w:cs="仿宋"/>
          <w:color w:val="auto"/>
          <w:sz w:val="24"/>
          <w:szCs w:val="24"/>
          <w:highlight w:val="none"/>
        </w:rPr>
      </w:pPr>
    </w:p>
    <w:p w14:paraId="50112A74">
      <w:pPr>
        <w:rPr>
          <w:rFonts w:hint="eastAsia" w:ascii="仿宋" w:hAnsi="仿宋" w:eastAsia="仿宋" w:cs="仿宋"/>
          <w:color w:val="auto"/>
          <w:sz w:val="24"/>
          <w:szCs w:val="24"/>
          <w:highlight w:val="none"/>
        </w:rPr>
      </w:pPr>
    </w:p>
    <w:p w14:paraId="469AB3F5">
      <w:pPr>
        <w:rPr>
          <w:rFonts w:hint="eastAsia" w:ascii="仿宋" w:hAnsi="仿宋" w:eastAsia="仿宋" w:cs="仿宋"/>
          <w:color w:val="auto"/>
          <w:sz w:val="24"/>
          <w:szCs w:val="24"/>
          <w:highlight w:val="none"/>
        </w:rPr>
      </w:pPr>
    </w:p>
    <w:p w14:paraId="7935A501">
      <w:pPr>
        <w:rPr>
          <w:rFonts w:hint="eastAsia" w:ascii="仿宋" w:hAnsi="仿宋" w:eastAsia="仿宋" w:cs="仿宋"/>
          <w:color w:val="auto"/>
          <w:sz w:val="24"/>
          <w:szCs w:val="24"/>
          <w:highlight w:val="none"/>
        </w:rPr>
      </w:pPr>
    </w:p>
    <w:p w14:paraId="43515C23">
      <w:pPr>
        <w:rPr>
          <w:rFonts w:hint="eastAsia" w:ascii="仿宋" w:hAnsi="仿宋" w:eastAsia="仿宋" w:cs="仿宋"/>
          <w:color w:val="auto"/>
          <w:sz w:val="24"/>
          <w:szCs w:val="24"/>
          <w:highlight w:val="none"/>
        </w:rPr>
      </w:pPr>
    </w:p>
    <w:p w14:paraId="7478D08E">
      <w:pPr>
        <w:rPr>
          <w:rFonts w:hint="eastAsia" w:ascii="仿宋" w:hAnsi="仿宋" w:eastAsia="仿宋" w:cs="仿宋"/>
          <w:color w:val="auto"/>
          <w:sz w:val="24"/>
          <w:szCs w:val="24"/>
          <w:highlight w:val="none"/>
        </w:rPr>
      </w:pPr>
    </w:p>
    <w:p w14:paraId="77EFCD32">
      <w:pPr>
        <w:rPr>
          <w:rFonts w:hint="eastAsia" w:ascii="仿宋" w:hAnsi="仿宋" w:eastAsia="仿宋" w:cs="仿宋"/>
          <w:color w:val="auto"/>
          <w:sz w:val="24"/>
          <w:szCs w:val="24"/>
          <w:highlight w:val="none"/>
        </w:rPr>
      </w:pPr>
    </w:p>
    <w:p w14:paraId="3B9FF98F">
      <w:pPr>
        <w:pStyle w:val="80"/>
        <w:spacing w:line="360" w:lineRule="auto"/>
        <w:ind w:left="46" w:leftChars="22" w:firstLine="482" w:firstLineChars="200"/>
        <w:jc w:val="center"/>
        <w:rPr>
          <w:rFonts w:hint="eastAsia" w:ascii="仿宋" w:hAnsi="仿宋" w:eastAsia="仿宋" w:cs="仿宋"/>
          <w:b/>
          <w:bCs/>
          <w:color w:val="auto"/>
          <w:sz w:val="24"/>
          <w:szCs w:val="24"/>
          <w:highlight w:val="none"/>
        </w:rPr>
      </w:pPr>
    </w:p>
    <w:p w14:paraId="096F75AE">
      <w:pPr>
        <w:pStyle w:val="80"/>
        <w:spacing w:line="600" w:lineRule="auto"/>
        <w:ind w:left="46" w:leftChars="22" w:firstLine="562" w:firstLineChars="20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承诺书（2）</w:t>
      </w:r>
    </w:p>
    <w:p w14:paraId="285674C3">
      <w:pPr>
        <w:pStyle w:val="80"/>
        <w:widowControl w:val="0"/>
        <w:wordWrap/>
        <w:adjustRightInd/>
        <w:snapToGrid/>
        <w:spacing w:line="432" w:lineRule="auto"/>
        <w:ind w:left="46" w:leftChars="2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我公司承诺在参加本次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（项目编号、项目名称）</w:t>
      </w:r>
      <w:r>
        <w:rPr>
          <w:rFonts w:hint="eastAsia" w:ascii="仿宋" w:hAnsi="仿宋" w:eastAsia="仿宋" w:cs="仿宋"/>
          <w:color w:val="auto"/>
          <w:sz w:val="24"/>
          <w:szCs w:val="24"/>
          <w:highlight w:val="none"/>
        </w:rPr>
        <w:t xml:space="preserve">投标前三年内，无以下行为： </w:t>
      </w:r>
    </w:p>
    <w:p w14:paraId="491567F5">
      <w:pPr>
        <w:pStyle w:val="80"/>
        <w:widowControl w:val="0"/>
        <w:wordWrap/>
        <w:adjustRightInd/>
        <w:snapToGrid/>
        <w:spacing w:line="432" w:lineRule="auto"/>
        <w:ind w:left="46" w:leftChars="2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重大违法行为；</w:t>
      </w:r>
    </w:p>
    <w:p w14:paraId="2CED6DAA">
      <w:pPr>
        <w:pStyle w:val="80"/>
        <w:widowControl w:val="0"/>
        <w:wordWrap/>
        <w:adjustRightInd/>
        <w:snapToGrid/>
        <w:spacing w:line="432" w:lineRule="auto"/>
        <w:ind w:left="46" w:leftChars="2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商业贿赂行为；</w:t>
      </w:r>
    </w:p>
    <w:p w14:paraId="78462A56">
      <w:pPr>
        <w:pStyle w:val="80"/>
        <w:widowControl w:val="0"/>
        <w:wordWrap/>
        <w:adjustRightInd/>
        <w:snapToGrid/>
        <w:spacing w:line="432" w:lineRule="auto"/>
        <w:ind w:left="46" w:leftChars="2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政府采购法《第七十七条》，列入不良行为记录名单的各种行为；</w:t>
      </w:r>
    </w:p>
    <w:p w14:paraId="074A7947">
      <w:pPr>
        <w:pStyle w:val="80"/>
        <w:widowControl w:val="0"/>
        <w:wordWrap/>
        <w:adjustRightInd/>
        <w:snapToGrid/>
        <w:spacing w:line="432" w:lineRule="auto"/>
        <w:ind w:left="46" w:leftChars="2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如有上述行为，我公司及项目参与人员自愿放弃本次项目的投标、报价资格，若为预中标、成交人，也自愿放弃中标、成交资格。</w:t>
      </w:r>
    </w:p>
    <w:p w14:paraId="7462A89E">
      <w:pPr>
        <w:pStyle w:val="80"/>
        <w:spacing w:line="480" w:lineRule="auto"/>
        <w:ind w:left="46" w:leftChars="22" w:firstLine="480" w:firstLineChars="200"/>
        <w:rPr>
          <w:rFonts w:hint="eastAsia" w:ascii="仿宋" w:hAnsi="仿宋" w:eastAsia="仿宋" w:cs="仿宋"/>
          <w:color w:val="auto"/>
          <w:sz w:val="24"/>
          <w:szCs w:val="24"/>
          <w:highlight w:val="none"/>
        </w:rPr>
      </w:pPr>
    </w:p>
    <w:p w14:paraId="122F5F09">
      <w:pPr>
        <w:pStyle w:val="80"/>
        <w:spacing w:line="480" w:lineRule="auto"/>
        <w:ind w:left="46" w:leftChars="22" w:firstLine="480" w:firstLineChars="200"/>
        <w:rPr>
          <w:rFonts w:hint="eastAsia" w:ascii="仿宋" w:hAnsi="仿宋" w:eastAsia="仿宋" w:cs="仿宋"/>
          <w:color w:val="auto"/>
          <w:sz w:val="24"/>
          <w:szCs w:val="24"/>
          <w:highlight w:val="none"/>
        </w:rPr>
      </w:pPr>
    </w:p>
    <w:p w14:paraId="36D6DF32">
      <w:pPr>
        <w:pStyle w:val="80"/>
        <w:spacing w:line="480" w:lineRule="auto"/>
        <w:ind w:left="46" w:leftChars="22" w:firstLine="480" w:firstLineChars="200"/>
        <w:rPr>
          <w:rFonts w:hint="eastAsia" w:ascii="仿宋" w:hAnsi="仿宋" w:eastAsia="仿宋" w:cs="仿宋"/>
          <w:color w:val="auto"/>
          <w:sz w:val="24"/>
          <w:szCs w:val="24"/>
          <w:highlight w:val="none"/>
        </w:rPr>
      </w:pPr>
    </w:p>
    <w:p w14:paraId="082DE67C">
      <w:pPr>
        <w:pStyle w:val="80"/>
        <w:spacing w:line="480" w:lineRule="auto"/>
        <w:ind w:left="46" w:leftChars="22" w:firstLine="480" w:firstLineChars="200"/>
        <w:rPr>
          <w:rFonts w:hint="eastAsia" w:ascii="仿宋" w:hAnsi="仿宋" w:eastAsia="仿宋" w:cs="仿宋"/>
          <w:color w:val="auto"/>
          <w:sz w:val="24"/>
          <w:szCs w:val="24"/>
          <w:highlight w:val="none"/>
        </w:rPr>
      </w:pPr>
    </w:p>
    <w:p w14:paraId="2EB36ED6">
      <w:pPr>
        <w:pStyle w:val="80"/>
        <w:spacing w:line="480" w:lineRule="auto"/>
        <w:ind w:left="46" w:leftChars="22" w:firstLine="480" w:firstLineChars="200"/>
        <w:rPr>
          <w:rFonts w:hint="eastAsia" w:ascii="仿宋" w:hAnsi="仿宋" w:eastAsia="仿宋" w:cs="仿宋"/>
          <w:color w:val="auto"/>
          <w:sz w:val="24"/>
          <w:szCs w:val="24"/>
          <w:highlight w:val="none"/>
        </w:rPr>
      </w:pPr>
    </w:p>
    <w:p w14:paraId="5C3ACD34">
      <w:pPr>
        <w:spacing w:line="48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32DC8C57">
      <w:pPr>
        <w:spacing w:line="48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3F73E327">
      <w:pPr>
        <w:spacing w:line="480" w:lineRule="auto"/>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6AB00CF">
      <w:pPr>
        <w:pStyle w:val="4"/>
        <w:rPr>
          <w:rFonts w:hint="eastAsia" w:ascii="仿宋" w:hAnsi="仿宋" w:eastAsia="仿宋" w:cs="仿宋"/>
          <w:color w:val="auto"/>
          <w:sz w:val="24"/>
          <w:szCs w:val="24"/>
          <w:highlight w:val="none"/>
        </w:rPr>
      </w:pPr>
    </w:p>
    <w:p w14:paraId="02783ADC">
      <w:pPr>
        <w:rPr>
          <w:rFonts w:hint="eastAsia" w:ascii="仿宋" w:hAnsi="仿宋" w:eastAsia="仿宋" w:cs="仿宋"/>
          <w:color w:val="auto"/>
          <w:sz w:val="24"/>
          <w:szCs w:val="24"/>
          <w:highlight w:val="none"/>
        </w:rPr>
      </w:pPr>
    </w:p>
    <w:p w14:paraId="22E7BBFB">
      <w:pPr>
        <w:pStyle w:val="4"/>
        <w:rPr>
          <w:rFonts w:hint="eastAsia" w:ascii="仿宋" w:hAnsi="仿宋" w:eastAsia="仿宋" w:cs="仿宋"/>
          <w:color w:val="auto"/>
          <w:sz w:val="24"/>
          <w:szCs w:val="24"/>
          <w:highlight w:val="none"/>
        </w:rPr>
      </w:pPr>
    </w:p>
    <w:p w14:paraId="2BA2F2C6">
      <w:pPr>
        <w:rPr>
          <w:rFonts w:hint="eastAsia" w:ascii="仿宋" w:hAnsi="仿宋" w:eastAsia="仿宋" w:cs="仿宋"/>
          <w:color w:val="auto"/>
          <w:sz w:val="24"/>
          <w:szCs w:val="24"/>
          <w:highlight w:val="none"/>
        </w:rPr>
      </w:pPr>
    </w:p>
    <w:p w14:paraId="767CB705">
      <w:pPr>
        <w:pStyle w:val="82"/>
        <w:rPr>
          <w:rFonts w:hint="eastAsia" w:ascii="仿宋" w:hAnsi="仿宋" w:eastAsia="仿宋" w:cs="仿宋"/>
          <w:color w:val="auto"/>
          <w:highlight w:val="none"/>
        </w:rPr>
      </w:pPr>
    </w:p>
    <w:p w14:paraId="4610CAD5">
      <w:pPr>
        <w:rPr>
          <w:rFonts w:hint="eastAsia" w:ascii="仿宋" w:hAnsi="仿宋" w:eastAsia="仿宋" w:cs="仿宋"/>
          <w:color w:val="auto"/>
          <w:sz w:val="24"/>
          <w:szCs w:val="24"/>
          <w:highlight w:val="none"/>
        </w:rPr>
      </w:pPr>
    </w:p>
    <w:p w14:paraId="2793F7DE">
      <w:pPr>
        <w:widowControl w:val="0"/>
        <w:numPr>
          <w:ilvl w:val="0"/>
          <w:numId w:val="0"/>
        </w:numPr>
        <w:wordWrap/>
        <w:adjustRightInd w:val="0"/>
        <w:snapToGrid w:val="0"/>
        <w:spacing w:line="240" w:lineRule="auto"/>
        <w:jc w:val="center"/>
        <w:textAlignment w:val="auto"/>
        <w:outlineLvl w:val="0"/>
        <w:rPr>
          <w:rStyle w:val="163"/>
          <w:rFonts w:hint="eastAsia" w:ascii="仿宋" w:hAnsi="仿宋" w:eastAsia="仿宋" w:cs="仿宋"/>
          <w:bCs w:val="0"/>
          <w:color w:val="auto"/>
          <w:kern w:val="2"/>
          <w:sz w:val="24"/>
          <w:szCs w:val="24"/>
          <w:highlight w:val="none"/>
          <w:lang w:val="en-US" w:eastAsia="zh-CN" w:bidi="ar-SA"/>
        </w:rPr>
      </w:pPr>
    </w:p>
    <w:p w14:paraId="686ABAEE">
      <w:pPr>
        <w:widowControl w:val="0"/>
        <w:numPr>
          <w:ilvl w:val="0"/>
          <w:numId w:val="0"/>
        </w:numPr>
        <w:wordWrap/>
        <w:adjustRightInd w:val="0"/>
        <w:snapToGrid w:val="0"/>
        <w:spacing w:line="720" w:lineRule="auto"/>
        <w:jc w:val="center"/>
        <w:textAlignment w:val="auto"/>
        <w:outlineLvl w:val="0"/>
        <w:rPr>
          <w:rStyle w:val="37"/>
          <w:rFonts w:hint="eastAsia" w:ascii="仿宋" w:hAnsi="仿宋" w:eastAsia="仿宋" w:cs="仿宋"/>
          <w:b/>
          <w:bCs/>
          <w:color w:val="auto"/>
          <w:sz w:val="28"/>
          <w:szCs w:val="28"/>
          <w:highlight w:val="none"/>
          <w:lang w:val="zh-CN" w:eastAsia="zh-CN"/>
        </w:rPr>
      </w:pPr>
      <w:r>
        <w:rPr>
          <w:rStyle w:val="163"/>
          <w:rFonts w:hint="eastAsia" w:ascii="仿宋" w:hAnsi="仿宋" w:eastAsia="仿宋" w:cs="仿宋"/>
          <w:bCs w:val="0"/>
          <w:color w:val="auto"/>
          <w:kern w:val="2"/>
          <w:sz w:val="28"/>
          <w:szCs w:val="28"/>
          <w:highlight w:val="none"/>
          <w:lang w:val="en-US" w:eastAsia="zh-CN" w:bidi="ar-SA"/>
        </w:rPr>
        <w:t>十二、</w:t>
      </w:r>
      <w:bookmarkEnd w:id="148"/>
      <w:bookmarkEnd w:id="149"/>
      <w:bookmarkEnd w:id="150"/>
      <w:bookmarkEnd w:id="151"/>
      <w:r>
        <w:rPr>
          <w:rStyle w:val="37"/>
          <w:rFonts w:hint="eastAsia" w:ascii="仿宋" w:hAnsi="仿宋" w:eastAsia="仿宋" w:cs="仿宋"/>
          <w:b/>
          <w:bCs/>
          <w:color w:val="auto"/>
          <w:sz w:val="28"/>
          <w:szCs w:val="28"/>
          <w:highlight w:val="none"/>
          <w:lang w:val="zh-CN" w:eastAsia="zh-CN"/>
        </w:rPr>
        <w:t>中小</w:t>
      </w:r>
      <w:r>
        <w:rPr>
          <w:rStyle w:val="37"/>
          <w:rFonts w:hint="eastAsia" w:ascii="仿宋" w:hAnsi="仿宋" w:eastAsia="仿宋" w:cs="仿宋"/>
          <w:b/>
          <w:bCs/>
          <w:color w:val="auto"/>
          <w:sz w:val="28"/>
          <w:szCs w:val="28"/>
          <w:highlight w:val="none"/>
          <w:lang w:val="en-US" w:eastAsia="zh-CN"/>
        </w:rPr>
        <w:t>微</w:t>
      </w:r>
      <w:r>
        <w:rPr>
          <w:rStyle w:val="37"/>
          <w:rFonts w:hint="eastAsia" w:ascii="仿宋" w:hAnsi="仿宋" w:eastAsia="仿宋" w:cs="仿宋"/>
          <w:b/>
          <w:bCs/>
          <w:color w:val="auto"/>
          <w:sz w:val="28"/>
          <w:szCs w:val="28"/>
          <w:highlight w:val="none"/>
          <w:lang w:val="zh-CN" w:eastAsia="zh-CN"/>
        </w:rPr>
        <w:t>企业声明函（服务）</w:t>
      </w:r>
    </w:p>
    <w:p w14:paraId="52B57986">
      <w:pPr>
        <w:pStyle w:val="14"/>
        <w:keepNext w:val="0"/>
        <w:keepLines w:val="0"/>
        <w:pageBreakBefore w:val="0"/>
        <w:widowControl w:val="0"/>
        <w:kinsoku/>
        <w:wordWrap/>
        <w:overflowPunct/>
        <w:topLinePunct w:val="0"/>
        <w:autoSpaceDE/>
        <w:autoSpaceDN/>
        <w:bidi w:val="0"/>
        <w:adjustRightInd/>
        <w:snapToGrid/>
        <w:spacing w:line="456" w:lineRule="auto"/>
        <w:ind w:right="295" w:firstLine="64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w:t>
      </w:r>
      <w:r>
        <w:rPr>
          <w:rFonts w:hint="eastAsia" w:ascii="仿宋" w:hAnsi="仿宋" w:eastAsia="仿宋" w:cs="仿宋"/>
          <w:color w:val="auto"/>
          <w:sz w:val="24"/>
          <w:szCs w:val="24"/>
          <w:highlight w:val="none"/>
          <w:lang w:eastAsia="zh-CN"/>
        </w:rPr>
        <w:t>中小企</w:t>
      </w:r>
      <w:r>
        <w:rPr>
          <w:rFonts w:hint="eastAsia" w:ascii="仿宋" w:hAnsi="仿宋" w:eastAsia="仿宋" w:cs="仿宋"/>
          <w:color w:val="auto"/>
          <w:sz w:val="24"/>
          <w:szCs w:val="24"/>
          <w:highlight w:val="none"/>
        </w:rPr>
        <w:t>业发展管理办法》（财库〔2020〕46号）的规定，本公司（联合体）参加</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pacing w:val="-15"/>
          <w:sz w:val="24"/>
          <w:szCs w:val="24"/>
          <w:highlight w:val="none"/>
        </w:rPr>
        <w:t>的</w:t>
      </w:r>
      <w:r>
        <w:rPr>
          <w:rFonts w:hint="eastAsia" w:ascii="仿宋" w:hAnsi="仿宋" w:eastAsia="仿宋" w:cs="仿宋"/>
          <w:color w:val="auto"/>
          <w:spacing w:val="-15"/>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采购活动</w:t>
      </w:r>
      <w:r>
        <w:rPr>
          <w:rFonts w:hint="eastAsia" w:ascii="仿宋" w:hAnsi="仿宋" w:eastAsia="仿宋" w:cs="仿宋"/>
          <w:color w:val="auto"/>
          <w:spacing w:val="-1"/>
          <w:sz w:val="24"/>
          <w:szCs w:val="24"/>
          <w:highlight w:val="none"/>
        </w:rPr>
        <w:t>，服务全部由符合政策要求的</w:t>
      </w:r>
      <w:r>
        <w:rPr>
          <w:rFonts w:hint="eastAsia" w:ascii="仿宋" w:hAnsi="仿宋" w:eastAsia="仿宋" w:cs="仿宋"/>
          <w:color w:val="auto"/>
          <w:spacing w:val="-1"/>
          <w:sz w:val="24"/>
          <w:szCs w:val="24"/>
          <w:highlight w:val="none"/>
          <w:lang w:eastAsia="zh-CN"/>
        </w:rPr>
        <w:t>中小微企</w:t>
      </w:r>
      <w:r>
        <w:rPr>
          <w:rFonts w:hint="eastAsia" w:ascii="仿宋" w:hAnsi="仿宋" w:eastAsia="仿宋" w:cs="仿宋"/>
          <w:color w:val="auto"/>
          <w:spacing w:val="-1"/>
          <w:sz w:val="24"/>
          <w:szCs w:val="24"/>
          <w:highlight w:val="none"/>
        </w:rPr>
        <w:t>业承接）。相关企业（含联合体中的</w:t>
      </w:r>
      <w:r>
        <w:rPr>
          <w:rFonts w:hint="eastAsia" w:ascii="仿宋" w:hAnsi="仿宋" w:eastAsia="仿宋" w:cs="仿宋"/>
          <w:color w:val="auto"/>
          <w:spacing w:val="-1"/>
          <w:sz w:val="24"/>
          <w:szCs w:val="24"/>
          <w:highlight w:val="none"/>
          <w:lang w:eastAsia="zh-CN"/>
        </w:rPr>
        <w:t>中小微企</w:t>
      </w:r>
      <w:r>
        <w:rPr>
          <w:rFonts w:hint="eastAsia" w:ascii="仿宋" w:hAnsi="仿宋" w:eastAsia="仿宋" w:cs="仿宋"/>
          <w:color w:val="auto"/>
          <w:spacing w:val="-1"/>
          <w:sz w:val="24"/>
          <w:szCs w:val="24"/>
          <w:highlight w:val="none"/>
        </w:rPr>
        <w:t>业、签订分包意向协议的</w:t>
      </w:r>
      <w:r>
        <w:rPr>
          <w:rFonts w:hint="eastAsia" w:ascii="仿宋" w:hAnsi="仿宋" w:eastAsia="仿宋" w:cs="仿宋"/>
          <w:color w:val="auto"/>
          <w:spacing w:val="-1"/>
          <w:sz w:val="24"/>
          <w:szCs w:val="24"/>
          <w:highlight w:val="none"/>
          <w:lang w:eastAsia="zh-CN"/>
        </w:rPr>
        <w:t>中小微企</w:t>
      </w:r>
      <w:r>
        <w:rPr>
          <w:rFonts w:hint="eastAsia" w:ascii="仿宋" w:hAnsi="仿宋" w:eastAsia="仿宋" w:cs="仿宋"/>
          <w:color w:val="auto"/>
          <w:spacing w:val="-1"/>
          <w:sz w:val="24"/>
          <w:szCs w:val="24"/>
          <w:highlight w:val="none"/>
        </w:rPr>
        <w:t>业）的具体情况如下</w:t>
      </w:r>
      <w:r>
        <w:rPr>
          <w:rFonts w:hint="eastAsia" w:ascii="仿宋" w:hAnsi="仿宋" w:eastAsia="仿宋" w:cs="仿宋"/>
          <w:color w:val="auto"/>
          <w:sz w:val="24"/>
          <w:szCs w:val="24"/>
          <w:highlight w:val="none"/>
        </w:rPr>
        <w:t>：</w:t>
      </w:r>
    </w:p>
    <w:p w14:paraId="3665150D">
      <w:pPr>
        <w:pStyle w:val="124"/>
        <w:keepNext w:val="0"/>
        <w:keepLines w:val="0"/>
        <w:pageBreakBefore w:val="0"/>
        <w:widowControl w:val="0"/>
        <w:numPr>
          <w:ilvl w:val="0"/>
          <w:numId w:val="0"/>
        </w:numPr>
        <w:tabs>
          <w:tab w:val="left" w:pos="1243"/>
        </w:tabs>
        <w:kinsoku/>
        <w:wordWrap/>
        <w:overflowPunct/>
        <w:topLinePunct w:val="0"/>
        <w:autoSpaceDE/>
        <w:autoSpaceDN/>
        <w:bidi w:val="0"/>
        <w:adjustRightInd/>
        <w:snapToGrid/>
        <w:spacing w:before="0" w:after="0" w:line="456" w:lineRule="auto"/>
        <w:ind w:right="0" w:rightChars="0" w:firstLine="480" w:firstLineChars="200"/>
        <w:jc w:val="both"/>
        <w:textAlignment w:val="auto"/>
        <w:rPr>
          <w:rFonts w:hint="eastAsia" w:ascii="仿宋" w:hAnsi="仿宋" w:eastAsia="仿宋" w:cs="仿宋"/>
          <w:color w:val="auto"/>
          <w:sz w:val="24"/>
          <w:szCs w:val="24"/>
          <w:highlight w:val="none"/>
          <w:u w:val="single" w:color="000000"/>
          <w:lang w:val="zh-CN" w:eastAsia="zh-CN" w:bidi="zh-CN"/>
        </w:rPr>
      </w:pPr>
      <w:r>
        <w:rPr>
          <w:rFonts w:hint="eastAsia" w:ascii="仿宋" w:hAnsi="仿宋" w:eastAsia="仿宋" w:cs="仿宋"/>
          <w:color w:val="auto"/>
          <w:sz w:val="24"/>
          <w:szCs w:val="24"/>
          <w:highlight w:val="none"/>
          <w:u w:val="single"/>
          <w:lang w:val="en-US" w:eastAsia="zh-CN" w:bidi="zh-CN"/>
        </w:rPr>
        <w:t>1.</w:t>
      </w:r>
      <w:r>
        <w:rPr>
          <w:rFonts w:hint="eastAsia" w:ascii="仿宋" w:hAnsi="仿宋" w:eastAsia="仿宋" w:cs="仿宋"/>
          <w:color w:val="auto"/>
          <w:sz w:val="24"/>
          <w:szCs w:val="24"/>
          <w:highlight w:val="none"/>
          <w:u w:val="single"/>
          <w:lang w:val="zh-CN" w:eastAsia="zh-CN" w:bidi="zh-CN"/>
        </w:rPr>
        <w:t>（标的名称）</w:t>
      </w:r>
      <w:r>
        <w:rPr>
          <w:rFonts w:hint="eastAsia" w:ascii="仿宋" w:hAnsi="仿宋" w:eastAsia="仿宋" w:cs="仿宋"/>
          <w:color w:val="auto"/>
          <w:sz w:val="24"/>
          <w:szCs w:val="24"/>
          <w:highlight w:val="none"/>
          <w:u w:val="single"/>
          <w:lang w:val="en-US" w:eastAsia="zh-CN" w:bidi="zh-CN"/>
        </w:rPr>
        <w:t xml:space="preserve"> </w:t>
      </w:r>
      <w:r>
        <w:rPr>
          <w:rFonts w:hint="eastAsia" w:ascii="仿宋" w:hAnsi="仿宋" w:eastAsia="仿宋" w:cs="仿宋"/>
          <w:color w:val="auto"/>
          <w:spacing w:val="-60"/>
          <w:w w:val="99"/>
          <w:sz w:val="24"/>
          <w:szCs w:val="24"/>
          <w:highlight w:val="none"/>
          <w:u w:val="none"/>
        </w:rPr>
        <w:t>，</w:t>
      </w:r>
      <w:r>
        <w:rPr>
          <w:rFonts w:hint="eastAsia" w:ascii="仿宋" w:hAnsi="仿宋" w:eastAsia="仿宋" w:cs="仿宋"/>
          <w:color w:val="auto"/>
          <w:kern w:val="2"/>
          <w:sz w:val="24"/>
          <w:szCs w:val="24"/>
          <w:highlight w:val="none"/>
          <w:lang w:val="en-US" w:eastAsia="zh-CN" w:bidi="ar-SA"/>
        </w:rPr>
        <w:t>属于</w:t>
      </w:r>
      <w:r>
        <w:rPr>
          <w:rFonts w:hint="eastAsia" w:ascii="仿宋" w:hAnsi="仿宋" w:eastAsia="仿宋" w:cs="仿宋"/>
          <w:b/>
          <w:bCs/>
          <w:color w:val="auto"/>
          <w:kern w:val="2"/>
          <w:sz w:val="24"/>
          <w:szCs w:val="24"/>
          <w:highlight w:val="none"/>
          <w:u w:val="single"/>
          <w:lang w:val="en-US" w:eastAsia="zh-CN" w:bidi="ar-SA"/>
        </w:rPr>
        <w:t>（</w:t>
      </w:r>
      <w:r>
        <w:rPr>
          <w:rStyle w:val="32"/>
          <w:rFonts w:hint="eastAsia" w:ascii="仿宋" w:hAnsi="仿宋" w:eastAsia="仿宋" w:cs="仿宋"/>
          <w:b/>
          <w:bCs/>
          <w:i w:val="0"/>
          <w:iCs w:val="0"/>
          <w:caps w:val="0"/>
          <w:color w:val="auto"/>
          <w:spacing w:val="0"/>
          <w:sz w:val="24"/>
          <w:szCs w:val="24"/>
          <w:highlight w:val="none"/>
          <w:u w:val="single"/>
          <w:shd w:val="clear" w:fill="FFFFFF"/>
        </w:rPr>
        <w:t>租赁和商务服务业</w:t>
      </w:r>
      <w:r>
        <w:rPr>
          <w:rFonts w:hint="eastAsia" w:ascii="仿宋" w:hAnsi="仿宋" w:eastAsia="仿宋" w:cs="仿宋"/>
          <w:b/>
          <w:bCs/>
          <w:color w:val="auto"/>
          <w:kern w:val="2"/>
          <w:sz w:val="24"/>
          <w:szCs w:val="24"/>
          <w:highlight w:val="none"/>
          <w:u w:val="single"/>
          <w:lang w:val="zh-CN" w:eastAsia="zh-CN" w:bidi="ar-SA"/>
        </w:rPr>
        <w:t>）</w:t>
      </w:r>
      <w:r>
        <w:rPr>
          <w:rFonts w:hint="eastAsia" w:ascii="仿宋" w:hAnsi="仿宋" w:eastAsia="仿宋" w:cs="仿宋"/>
          <w:color w:val="auto"/>
          <w:sz w:val="24"/>
          <w:szCs w:val="24"/>
          <w:highlight w:val="none"/>
          <w:u w:val="none"/>
          <w:lang w:val="zh-CN" w:eastAsia="zh-CN" w:bidi="zh-CN"/>
        </w:rPr>
        <w:t>；承建（承接）企业为</w:t>
      </w:r>
      <w:r>
        <w:rPr>
          <w:rFonts w:hint="eastAsia" w:ascii="仿宋" w:hAnsi="仿宋" w:eastAsia="仿宋" w:cs="仿宋"/>
          <w:color w:val="auto"/>
          <w:sz w:val="24"/>
          <w:szCs w:val="24"/>
          <w:highlight w:val="none"/>
          <w:u w:val="single" w:color="000000"/>
          <w:lang w:val="zh-CN" w:eastAsia="zh-CN" w:bidi="zh-CN"/>
        </w:rPr>
        <w:t>（企业名称），</w:t>
      </w:r>
      <w:r>
        <w:rPr>
          <w:rFonts w:hint="eastAsia" w:ascii="仿宋" w:hAnsi="仿宋" w:eastAsia="仿宋" w:cs="仿宋"/>
          <w:color w:val="auto"/>
          <w:spacing w:val="5"/>
          <w:w w:val="99"/>
          <w:sz w:val="24"/>
          <w:szCs w:val="24"/>
          <w:highlight w:val="none"/>
        </w:rPr>
        <w:t>从</w:t>
      </w:r>
      <w:r>
        <w:rPr>
          <w:rFonts w:hint="eastAsia" w:ascii="仿宋" w:hAnsi="仿宋" w:eastAsia="仿宋" w:cs="仿宋"/>
          <w:color w:val="auto"/>
          <w:spacing w:val="7"/>
          <w:w w:val="99"/>
          <w:sz w:val="24"/>
          <w:szCs w:val="24"/>
          <w:highlight w:val="none"/>
        </w:rPr>
        <w:t>业</w:t>
      </w:r>
      <w:r>
        <w:rPr>
          <w:rFonts w:hint="eastAsia" w:ascii="仿宋" w:hAnsi="仿宋" w:eastAsia="仿宋" w:cs="仿宋"/>
          <w:color w:val="auto"/>
          <w:spacing w:val="5"/>
          <w:w w:val="99"/>
          <w:sz w:val="24"/>
          <w:szCs w:val="24"/>
          <w:highlight w:val="none"/>
        </w:rPr>
        <w:t>人</w:t>
      </w:r>
      <w:r>
        <w:rPr>
          <w:rFonts w:hint="eastAsia" w:ascii="仿宋" w:hAnsi="仿宋" w:eastAsia="仿宋" w:cs="仿宋"/>
          <w:color w:val="auto"/>
          <w:spacing w:val="7"/>
          <w:w w:val="99"/>
          <w:sz w:val="24"/>
          <w:szCs w:val="24"/>
          <w:highlight w:val="none"/>
        </w:rPr>
        <w:t>员</w:t>
      </w:r>
      <w:r>
        <w:rPr>
          <w:rFonts w:hint="eastAsia" w:ascii="仿宋" w:hAnsi="仿宋" w:eastAsia="仿宋" w:cs="仿宋"/>
          <w:color w:val="auto"/>
          <w:w w:val="99"/>
          <w:sz w:val="24"/>
          <w:szCs w:val="24"/>
          <w:highlight w:val="none"/>
          <w:u w:val="single"/>
        </w:rPr>
        <w:t xml:space="preserve"> </w:t>
      </w:r>
      <w:r>
        <w:rPr>
          <w:rFonts w:hint="eastAsia" w:ascii="仿宋" w:hAnsi="仿宋" w:eastAsia="仿宋" w:cs="仿宋"/>
          <w:color w:val="auto"/>
          <w:w w:val="99"/>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7"/>
          <w:w w:val="99"/>
          <w:sz w:val="24"/>
          <w:szCs w:val="24"/>
          <w:highlight w:val="none"/>
        </w:rPr>
        <w:t>人</w:t>
      </w:r>
      <w:r>
        <w:rPr>
          <w:rFonts w:hint="eastAsia" w:ascii="仿宋" w:hAnsi="仿宋" w:eastAsia="仿宋" w:cs="仿宋"/>
          <w:color w:val="auto"/>
          <w:spacing w:val="5"/>
          <w:w w:val="99"/>
          <w:sz w:val="24"/>
          <w:szCs w:val="24"/>
          <w:highlight w:val="none"/>
        </w:rPr>
        <w:t>，</w:t>
      </w:r>
      <w:r>
        <w:rPr>
          <w:rFonts w:hint="eastAsia" w:ascii="仿宋" w:hAnsi="仿宋" w:eastAsia="仿宋" w:cs="仿宋"/>
          <w:color w:val="auto"/>
          <w:spacing w:val="7"/>
          <w:w w:val="99"/>
          <w:sz w:val="24"/>
          <w:szCs w:val="24"/>
          <w:highlight w:val="none"/>
        </w:rPr>
        <w:t>营</w:t>
      </w:r>
      <w:r>
        <w:rPr>
          <w:rFonts w:hint="eastAsia" w:ascii="仿宋" w:hAnsi="仿宋" w:eastAsia="仿宋" w:cs="仿宋"/>
          <w:color w:val="auto"/>
          <w:w w:val="99"/>
          <w:sz w:val="24"/>
          <w:szCs w:val="24"/>
          <w:highlight w:val="none"/>
        </w:rPr>
        <w:t>业</w:t>
      </w:r>
      <w:r>
        <w:rPr>
          <w:rFonts w:hint="eastAsia" w:ascii="仿宋" w:hAnsi="仿宋" w:eastAsia="仿宋" w:cs="仿宋"/>
          <w:color w:val="auto"/>
          <w:sz w:val="24"/>
          <w:szCs w:val="24"/>
          <w:highlight w:val="none"/>
        </w:rPr>
        <w:t>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"_bookmark0"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position w:val="16"/>
          <w:sz w:val="24"/>
          <w:szCs w:val="24"/>
          <w:highlight w:val="none"/>
        </w:rPr>
        <w:t>1</w:t>
      </w:r>
      <w:r>
        <w:rPr>
          <w:rFonts w:hint="eastAsia" w:ascii="仿宋" w:hAnsi="仿宋" w:eastAsia="仿宋" w:cs="仿宋"/>
          <w:color w:val="auto"/>
          <w:position w:val="16"/>
          <w:sz w:val="24"/>
          <w:szCs w:val="24"/>
          <w:highlight w:val="none"/>
        </w:rPr>
        <w:fldChar w:fldCharType="end"/>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color="auto"/>
        </w:rPr>
        <w:t>（中型企业、小型企业、微型企业）</w:t>
      </w:r>
      <w:r>
        <w:rPr>
          <w:rFonts w:hint="eastAsia" w:ascii="仿宋" w:hAnsi="仿宋" w:eastAsia="仿宋" w:cs="仿宋"/>
          <w:color w:val="auto"/>
          <w:sz w:val="24"/>
          <w:szCs w:val="24"/>
          <w:highlight w:val="none"/>
          <w:u w:val="single" w:color="auto"/>
          <w:lang w:val="zh-CN" w:eastAsia="zh-CN" w:bidi="zh-CN"/>
        </w:rPr>
        <w:t>；</w:t>
      </w:r>
    </w:p>
    <w:p w14:paraId="538B36FC">
      <w:pPr>
        <w:pStyle w:val="124"/>
        <w:keepNext w:val="0"/>
        <w:keepLines w:val="0"/>
        <w:pageBreakBefore w:val="0"/>
        <w:widowControl w:val="0"/>
        <w:numPr>
          <w:ilvl w:val="0"/>
          <w:numId w:val="0"/>
        </w:numPr>
        <w:tabs>
          <w:tab w:val="left" w:pos="1243"/>
          <w:tab w:val="left" w:pos="1806"/>
          <w:tab w:val="left" w:pos="5005"/>
          <w:tab w:val="left" w:pos="7213"/>
        </w:tabs>
        <w:kinsoku/>
        <w:wordWrap/>
        <w:overflowPunct/>
        <w:topLinePunct w:val="0"/>
        <w:autoSpaceDE/>
        <w:autoSpaceDN/>
        <w:bidi w:val="0"/>
        <w:adjustRightInd/>
        <w:snapToGrid/>
        <w:spacing w:before="0" w:after="0" w:line="456" w:lineRule="auto"/>
        <w:ind w:left="239" w:leftChars="114" w:right="138" w:rightChars="0" w:firstLine="240" w:firstLineChars="100"/>
        <w:jc w:val="both"/>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single"/>
          <w:lang w:val="en-US" w:eastAsia="zh-CN" w:bidi="zh-CN"/>
        </w:rPr>
        <w:t>2.（</w:t>
      </w:r>
      <w:r>
        <w:rPr>
          <w:rFonts w:hint="eastAsia" w:ascii="仿宋" w:hAnsi="仿宋" w:eastAsia="仿宋" w:cs="仿宋"/>
          <w:color w:val="auto"/>
          <w:sz w:val="24"/>
          <w:szCs w:val="24"/>
          <w:highlight w:val="none"/>
          <w:u w:val="single"/>
          <w:lang w:val="zh-CN" w:eastAsia="zh-CN" w:bidi="zh-CN"/>
        </w:rPr>
        <w:t>标的名称）</w:t>
      </w:r>
      <w:r>
        <w:rPr>
          <w:rFonts w:hint="eastAsia" w:ascii="仿宋" w:hAnsi="仿宋" w:eastAsia="仿宋" w:cs="仿宋"/>
          <w:color w:val="auto"/>
          <w:sz w:val="24"/>
          <w:szCs w:val="24"/>
          <w:highlight w:val="none"/>
          <w:u w:val="single"/>
          <w:lang w:val="en-US" w:eastAsia="zh-CN" w:bidi="zh-CN"/>
        </w:rPr>
        <w:t xml:space="preserve"> </w:t>
      </w:r>
      <w:r>
        <w:rPr>
          <w:rFonts w:hint="eastAsia" w:ascii="仿宋" w:hAnsi="仿宋" w:eastAsia="仿宋" w:cs="仿宋"/>
          <w:color w:val="auto"/>
          <w:spacing w:val="-84"/>
          <w:w w:val="99"/>
          <w:sz w:val="24"/>
          <w:szCs w:val="24"/>
          <w:highlight w:val="none"/>
          <w:u w:val="none"/>
        </w:rPr>
        <w:t>，</w:t>
      </w:r>
      <w:r>
        <w:rPr>
          <w:rFonts w:hint="eastAsia" w:ascii="仿宋" w:hAnsi="仿宋" w:eastAsia="仿宋" w:cs="仿宋"/>
          <w:color w:val="auto"/>
          <w:kern w:val="2"/>
          <w:sz w:val="24"/>
          <w:szCs w:val="24"/>
          <w:highlight w:val="none"/>
          <w:lang w:val="en-US" w:eastAsia="zh-CN" w:bidi="ar-SA"/>
        </w:rPr>
        <w:t>属于</w:t>
      </w:r>
      <w:r>
        <w:rPr>
          <w:rFonts w:hint="eastAsia" w:ascii="仿宋" w:hAnsi="仿宋" w:eastAsia="仿宋" w:cs="仿宋"/>
          <w:b/>
          <w:bCs/>
          <w:color w:val="auto"/>
          <w:kern w:val="2"/>
          <w:sz w:val="24"/>
          <w:szCs w:val="24"/>
          <w:highlight w:val="none"/>
          <w:u w:val="single"/>
          <w:lang w:val="en-US" w:eastAsia="zh-CN" w:bidi="ar-SA"/>
        </w:rPr>
        <w:t>（</w:t>
      </w:r>
      <w:r>
        <w:rPr>
          <w:rStyle w:val="32"/>
          <w:rFonts w:hint="eastAsia" w:ascii="仿宋" w:hAnsi="仿宋" w:eastAsia="仿宋" w:cs="仿宋"/>
          <w:b/>
          <w:bCs/>
          <w:i w:val="0"/>
          <w:iCs w:val="0"/>
          <w:caps w:val="0"/>
          <w:color w:val="auto"/>
          <w:spacing w:val="0"/>
          <w:sz w:val="24"/>
          <w:szCs w:val="24"/>
          <w:highlight w:val="none"/>
          <w:u w:val="single"/>
          <w:shd w:val="clear" w:fill="FFFFFF"/>
        </w:rPr>
        <w:t>租赁和商务服务业</w:t>
      </w:r>
      <w:r>
        <w:rPr>
          <w:rFonts w:hint="eastAsia" w:ascii="仿宋" w:hAnsi="仿宋" w:eastAsia="仿宋" w:cs="仿宋"/>
          <w:b/>
          <w:bCs/>
          <w:color w:val="auto"/>
          <w:kern w:val="2"/>
          <w:sz w:val="24"/>
          <w:szCs w:val="24"/>
          <w:highlight w:val="none"/>
          <w:u w:val="single"/>
          <w:lang w:val="zh-CN" w:eastAsia="zh-CN" w:bidi="ar-SA"/>
        </w:rPr>
        <w:t>）</w:t>
      </w:r>
      <w:r>
        <w:rPr>
          <w:rFonts w:hint="eastAsia" w:ascii="仿宋" w:hAnsi="仿宋" w:eastAsia="仿宋" w:cs="仿宋"/>
          <w:color w:val="auto"/>
          <w:sz w:val="24"/>
          <w:szCs w:val="24"/>
          <w:highlight w:val="none"/>
          <w:u w:val="none"/>
          <w:lang w:val="zh-CN" w:eastAsia="zh-CN" w:bidi="zh-CN"/>
        </w:rPr>
        <w:t>；承建（承接）企业为</w:t>
      </w:r>
      <w:r>
        <w:rPr>
          <w:rFonts w:hint="eastAsia" w:ascii="仿宋" w:hAnsi="仿宋" w:eastAsia="仿宋" w:cs="仿宋"/>
          <w:color w:val="auto"/>
          <w:sz w:val="24"/>
          <w:szCs w:val="24"/>
          <w:highlight w:val="none"/>
          <w:u w:val="single" w:color="000000"/>
          <w:lang w:val="zh-CN" w:eastAsia="zh-CN" w:bidi="zh-CN"/>
        </w:rPr>
        <w:t>（企业名称），</w:t>
      </w:r>
      <w:r>
        <w:rPr>
          <w:rFonts w:hint="eastAsia" w:ascii="仿宋" w:hAnsi="仿宋" w:eastAsia="仿宋" w:cs="仿宋"/>
          <w:color w:val="auto"/>
          <w:spacing w:val="5"/>
          <w:w w:val="99"/>
          <w:sz w:val="24"/>
          <w:szCs w:val="24"/>
          <w:highlight w:val="none"/>
          <w:u w:val="none"/>
        </w:rPr>
        <w:t>从</w:t>
      </w:r>
      <w:r>
        <w:rPr>
          <w:rFonts w:hint="eastAsia" w:ascii="仿宋" w:hAnsi="仿宋" w:eastAsia="仿宋" w:cs="仿宋"/>
          <w:color w:val="auto"/>
          <w:spacing w:val="7"/>
          <w:w w:val="99"/>
          <w:sz w:val="24"/>
          <w:szCs w:val="24"/>
          <w:highlight w:val="none"/>
          <w:u w:val="none"/>
        </w:rPr>
        <w:t>业</w:t>
      </w:r>
      <w:r>
        <w:rPr>
          <w:rFonts w:hint="eastAsia" w:ascii="仿宋" w:hAnsi="仿宋" w:eastAsia="仿宋" w:cs="仿宋"/>
          <w:color w:val="auto"/>
          <w:spacing w:val="5"/>
          <w:w w:val="99"/>
          <w:sz w:val="24"/>
          <w:szCs w:val="24"/>
          <w:highlight w:val="none"/>
          <w:u w:val="none"/>
        </w:rPr>
        <w:t>人</w:t>
      </w:r>
      <w:r>
        <w:rPr>
          <w:rFonts w:hint="eastAsia" w:ascii="仿宋" w:hAnsi="仿宋" w:eastAsia="仿宋" w:cs="仿宋"/>
          <w:color w:val="auto"/>
          <w:spacing w:val="7"/>
          <w:w w:val="99"/>
          <w:sz w:val="24"/>
          <w:szCs w:val="24"/>
          <w:highlight w:val="none"/>
          <w:u w:val="none"/>
        </w:rPr>
        <w:t>员</w:t>
      </w:r>
      <w:r>
        <w:rPr>
          <w:rFonts w:hint="eastAsia" w:ascii="仿宋" w:hAnsi="仿宋" w:eastAsia="仿宋" w:cs="仿宋"/>
          <w:color w:val="auto"/>
          <w:w w:val="99"/>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7"/>
          <w:w w:val="99"/>
          <w:sz w:val="24"/>
          <w:szCs w:val="24"/>
          <w:highlight w:val="none"/>
          <w:u w:val="none"/>
        </w:rPr>
        <w:t>人</w:t>
      </w:r>
      <w:r>
        <w:rPr>
          <w:rFonts w:hint="eastAsia" w:ascii="仿宋" w:hAnsi="仿宋" w:eastAsia="仿宋" w:cs="仿宋"/>
          <w:color w:val="auto"/>
          <w:spacing w:val="5"/>
          <w:w w:val="99"/>
          <w:sz w:val="24"/>
          <w:szCs w:val="24"/>
          <w:highlight w:val="none"/>
          <w:u w:val="none"/>
        </w:rPr>
        <w:t>，</w:t>
      </w:r>
      <w:r>
        <w:rPr>
          <w:rFonts w:hint="eastAsia" w:ascii="仿宋" w:hAnsi="仿宋" w:eastAsia="仿宋" w:cs="仿宋"/>
          <w:color w:val="auto"/>
          <w:spacing w:val="7"/>
          <w:w w:val="99"/>
          <w:sz w:val="24"/>
          <w:szCs w:val="24"/>
          <w:highlight w:val="none"/>
          <w:u w:val="none"/>
        </w:rPr>
        <w:t>营</w:t>
      </w:r>
      <w:r>
        <w:rPr>
          <w:rFonts w:hint="eastAsia" w:ascii="仿宋" w:hAnsi="仿宋" w:eastAsia="仿宋" w:cs="仿宋"/>
          <w:color w:val="auto"/>
          <w:w w:val="99"/>
          <w:sz w:val="24"/>
          <w:szCs w:val="24"/>
          <w:highlight w:val="none"/>
          <w:u w:val="none"/>
        </w:rPr>
        <w:t>业</w:t>
      </w:r>
      <w:r>
        <w:rPr>
          <w:rFonts w:hint="eastAsia" w:ascii="仿宋" w:hAnsi="仿宋" w:eastAsia="仿宋" w:cs="仿宋"/>
          <w:color w:val="auto"/>
          <w:sz w:val="24"/>
          <w:szCs w:val="24"/>
          <w:highlight w:val="none"/>
          <w:u w:val="none"/>
        </w:rPr>
        <w:t>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"_bookmark0"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position w:val="16"/>
          <w:sz w:val="24"/>
          <w:szCs w:val="24"/>
          <w:highlight w:val="none"/>
        </w:rPr>
        <w:t>1</w:t>
      </w:r>
      <w:r>
        <w:rPr>
          <w:rFonts w:hint="eastAsia" w:ascii="仿宋" w:hAnsi="仿宋" w:eastAsia="仿宋" w:cs="仿宋"/>
          <w:color w:val="auto"/>
          <w:position w:val="16"/>
          <w:sz w:val="24"/>
          <w:szCs w:val="24"/>
          <w:highlight w:val="none"/>
        </w:rPr>
        <w:fldChar w:fldCharType="end"/>
      </w:r>
      <w:r>
        <w:rPr>
          <w:rFonts w:hint="eastAsia" w:ascii="仿宋" w:hAnsi="仿宋" w:eastAsia="仿宋" w:cs="仿宋"/>
          <w:color w:val="auto"/>
          <w:sz w:val="24"/>
          <w:szCs w:val="24"/>
          <w:highlight w:val="none"/>
          <w:u w:val="none"/>
        </w:rPr>
        <w:t>，属</w:t>
      </w:r>
      <w:r>
        <w:rPr>
          <w:rFonts w:hint="eastAsia" w:ascii="仿宋" w:hAnsi="仿宋" w:eastAsia="仿宋" w:cs="仿宋"/>
          <w:color w:val="auto"/>
          <w:spacing w:val="-12"/>
          <w:sz w:val="24"/>
          <w:szCs w:val="24"/>
          <w:highlight w:val="none"/>
          <w:u w:val="none"/>
        </w:rPr>
        <w:t>于</w:t>
      </w:r>
      <w:r>
        <w:rPr>
          <w:rFonts w:hint="eastAsia" w:ascii="仿宋" w:hAnsi="仿宋" w:eastAsia="仿宋" w:cs="仿宋"/>
          <w:color w:val="auto"/>
          <w:sz w:val="24"/>
          <w:szCs w:val="24"/>
          <w:highlight w:val="none"/>
          <w:u w:val="single" w:color="000000"/>
          <w:lang w:val="zh-CN" w:eastAsia="zh-CN" w:bidi="zh-CN"/>
        </w:rPr>
        <w:t>（中型企业、小型企业、微型企业）；</w:t>
      </w:r>
    </w:p>
    <w:p w14:paraId="3D9D1FDF">
      <w:pPr>
        <w:pStyle w:val="14"/>
        <w:keepNext w:val="0"/>
        <w:keepLines w:val="0"/>
        <w:pageBreakBefore w:val="0"/>
        <w:widowControl w:val="0"/>
        <w:kinsoku/>
        <w:wordWrap/>
        <w:overflowPunct/>
        <w:topLinePunct w:val="0"/>
        <w:autoSpaceDE/>
        <w:autoSpaceDN/>
        <w:bidi w:val="0"/>
        <w:adjustRightInd/>
        <w:snapToGrid/>
        <w:spacing w:before="11" w:line="456" w:lineRule="auto"/>
        <w:ind w:left="8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1F03BF8E">
      <w:pPr>
        <w:pStyle w:val="14"/>
        <w:keepNext w:val="0"/>
        <w:keepLines w:val="0"/>
        <w:pageBreakBefore w:val="0"/>
        <w:widowControl w:val="0"/>
        <w:kinsoku/>
        <w:wordWrap/>
        <w:overflowPunct/>
        <w:topLinePunct w:val="0"/>
        <w:autoSpaceDE/>
        <w:autoSpaceDN/>
        <w:bidi w:val="0"/>
        <w:adjustRightInd/>
        <w:snapToGrid/>
        <w:spacing w:before="108" w:line="456" w:lineRule="auto"/>
        <w:ind w:right="297" w:firstLine="46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以上企业，不属于大企业的分支机构，不存在控股股东为大企业的情形，也不存在与大企业的负责人为同一人的情形。</w:t>
      </w:r>
    </w:p>
    <w:p w14:paraId="2E040A29">
      <w:pPr>
        <w:pStyle w:val="14"/>
        <w:keepNext w:val="0"/>
        <w:keepLines w:val="0"/>
        <w:pageBreakBefore w:val="0"/>
        <w:widowControl w:val="0"/>
        <w:kinsoku/>
        <w:wordWrap/>
        <w:overflowPunct/>
        <w:topLinePunct w:val="0"/>
        <w:autoSpaceDE/>
        <w:autoSpaceDN/>
        <w:bidi w:val="0"/>
        <w:adjustRightInd/>
        <w:snapToGrid/>
        <w:spacing w:line="456" w:lineRule="auto"/>
        <w:ind w:right="255"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本企业对上述声明内容的真实性负责。如有虚假，将依法承担相应责任。</w:t>
      </w:r>
    </w:p>
    <w:p w14:paraId="40510801">
      <w:pPr>
        <w:pStyle w:val="14"/>
        <w:spacing w:before="29" w:line="240" w:lineRule="auto"/>
        <w:ind w:left="4060" w:right="2046"/>
        <w:rPr>
          <w:rFonts w:hint="eastAsia" w:ascii="仿宋" w:hAnsi="仿宋" w:eastAsia="仿宋" w:cs="仿宋"/>
          <w:color w:val="auto"/>
          <w:w w:val="99"/>
          <w:sz w:val="24"/>
          <w:szCs w:val="24"/>
          <w:highlight w:val="none"/>
        </w:rPr>
      </w:pPr>
    </w:p>
    <w:p w14:paraId="0A3E3ED5">
      <w:pPr>
        <w:pStyle w:val="14"/>
        <w:spacing w:before="29" w:line="480" w:lineRule="auto"/>
        <w:ind w:left="4060" w:right="2046"/>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企业</w:t>
      </w:r>
      <w:r>
        <w:rPr>
          <w:rFonts w:hint="eastAsia" w:ascii="仿宋" w:hAnsi="仿宋" w:eastAsia="仿宋" w:cs="仿宋"/>
          <w:color w:val="auto"/>
          <w:sz w:val="24"/>
          <w:szCs w:val="24"/>
          <w:highlight w:val="none"/>
        </w:rPr>
        <w:t>名称（盖章）：</w:t>
      </w:r>
    </w:p>
    <w:p w14:paraId="06EAB62F">
      <w:pPr>
        <w:pStyle w:val="14"/>
        <w:spacing w:before="29" w:line="360" w:lineRule="auto"/>
        <w:ind w:left="4060" w:right="2046"/>
        <w:rPr>
          <w:rFonts w:hint="eastAsia" w:ascii="仿宋" w:hAnsi="仿宋" w:eastAsia="仿宋" w:cs="仿宋"/>
          <w:color w:val="auto"/>
          <w:spacing w:val="24"/>
          <w:sz w:val="24"/>
          <w:szCs w:val="24"/>
          <w:highlight w:val="none"/>
        </w:rPr>
      </w:pPr>
      <w:r>
        <w:rPr>
          <w:rFonts w:hint="eastAsia" w:ascii="仿宋" w:hAnsi="仿宋" w:eastAsia="仿宋" w:cs="仿宋"/>
          <w:color w:val="auto"/>
          <w:spacing w:val="24"/>
          <w:sz w:val="24"/>
          <w:szCs w:val="24"/>
          <w:highlight w:val="none"/>
        </w:rPr>
        <w:t>日</w:t>
      </w:r>
      <w:r>
        <w:rPr>
          <w:rFonts w:hint="eastAsia" w:ascii="仿宋" w:hAnsi="仿宋" w:eastAsia="仿宋" w:cs="仿宋"/>
          <w:color w:val="auto"/>
          <w:spacing w:val="24"/>
          <w:sz w:val="24"/>
          <w:szCs w:val="24"/>
          <w:highlight w:val="none"/>
          <w:lang w:val="en-US" w:eastAsia="zh-CN"/>
        </w:rPr>
        <w:t xml:space="preserve"> </w:t>
      </w:r>
      <w:r>
        <w:rPr>
          <w:rFonts w:hint="eastAsia" w:ascii="仿宋" w:hAnsi="仿宋" w:eastAsia="仿宋" w:cs="仿宋"/>
          <w:color w:val="auto"/>
          <w:spacing w:val="24"/>
          <w:sz w:val="24"/>
          <w:szCs w:val="24"/>
          <w:highlight w:val="none"/>
        </w:rPr>
        <w:t>期：</w:t>
      </w:r>
    </w:p>
    <w:p w14:paraId="7D817913">
      <w:pPr>
        <w:spacing w:before="94" w:line="360" w:lineRule="auto"/>
        <w:ind w:left="220" w:right="0" w:firstLine="0"/>
        <w:jc w:val="left"/>
        <w:rPr>
          <w:rFonts w:hint="eastAsia" w:ascii="仿宋" w:hAnsi="仿宋" w:eastAsia="仿宋" w:cs="仿宋"/>
          <w:color w:val="auto"/>
          <w:position w:val="6"/>
          <w:sz w:val="24"/>
          <w:szCs w:val="24"/>
          <w:highlight w:val="none"/>
        </w:rPr>
      </w:pPr>
    </w:p>
    <w:p w14:paraId="403B18D8">
      <w:pPr>
        <w:spacing w:before="94" w:line="360" w:lineRule="auto"/>
        <w:ind w:left="220" w:right="0" w:firstLine="0"/>
        <w:jc w:val="left"/>
        <w:rPr>
          <w:rFonts w:hint="eastAsia" w:ascii="仿宋" w:hAnsi="仿宋" w:eastAsia="仿宋" w:cs="仿宋"/>
          <w:color w:val="auto"/>
          <w:sz w:val="24"/>
          <w:szCs w:val="24"/>
          <w:highlight w:val="none"/>
        </w:rPr>
      </w:pPr>
      <w:r>
        <w:rPr>
          <w:rFonts w:hint="eastAsia" w:ascii="仿宋" w:hAnsi="仿宋" w:eastAsia="仿宋" w:cs="仿宋"/>
          <w:color w:val="auto"/>
          <w:position w:val="6"/>
          <w:sz w:val="24"/>
          <w:szCs w:val="24"/>
          <w:highlight w:val="none"/>
        </w:rPr>
        <w:t>1</w:t>
      </w:r>
      <w:bookmarkStart w:id="152" w:name="_bookmark0"/>
      <w:bookmarkEnd w:id="152"/>
      <w:r>
        <w:rPr>
          <w:rFonts w:hint="eastAsia" w:ascii="仿宋" w:hAnsi="仿宋" w:eastAsia="仿宋" w:cs="仿宋"/>
          <w:color w:val="auto"/>
          <w:position w:val="6"/>
          <w:sz w:val="24"/>
          <w:szCs w:val="24"/>
          <w:highlight w:val="none"/>
        </w:rPr>
        <w:t xml:space="preserve"> </w:t>
      </w:r>
      <w:r>
        <w:rPr>
          <w:rFonts w:hint="eastAsia" w:ascii="仿宋" w:hAnsi="仿宋" w:eastAsia="仿宋" w:cs="仿宋"/>
          <w:color w:val="auto"/>
          <w:sz w:val="24"/>
          <w:szCs w:val="24"/>
          <w:highlight w:val="none"/>
        </w:rPr>
        <w:t>从业人员、营业收入、资产总额填报上一年度数据，无上一年度数据的新成立企业可不填报。</w:t>
      </w:r>
    </w:p>
    <w:p w14:paraId="68CBD906">
      <w:pPr>
        <w:spacing w:line="360" w:lineRule="auto"/>
        <w:jc w:val="center"/>
        <w:rPr>
          <w:rFonts w:hint="eastAsia" w:ascii="仿宋" w:hAnsi="仿宋" w:eastAsia="仿宋" w:cs="仿宋"/>
          <w:b/>
          <w:bCs/>
          <w:color w:val="auto"/>
          <w:sz w:val="24"/>
          <w:szCs w:val="24"/>
          <w:highlight w:val="none"/>
        </w:rPr>
      </w:pPr>
    </w:p>
    <w:p w14:paraId="65F9A6B7">
      <w:pPr>
        <w:spacing w:line="48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JY</w:t>
      </w:r>
      <w:r>
        <w:rPr>
          <w:rFonts w:hint="eastAsia" w:ascii="仿宋" w:hAnsi="仿宋" w:eastAsia="仿宋" w:cs="仿宋"/>
          <w:b/>
          <w:bCs/>
          <w:color w:val="auto"/>
          <w:sz w:val="28"/>
          <w:szCs w:val="28"/>
          <w:highlight w:val="none"/>
        </w:rPr>
        <w:t>企业声明函</w:t>
      </w:r>
    </w:p>
    <w:p w14:paraId="74D60671">
      <w:pPr>
        <w:spacing w:line="480" w:lineRule="auto"/>
        <w:jc w:val="center"/>
        <w:rPr>
          <w:rFonts w:hint="eastAsia" w:ascii="仿宋" w:hAnsi="仿宋" w:eastAsia="仿宋" w:cs="仿宋"/>
          <w:color w:val="auto"/>
          <w:sz w:val="24"/>
          <w:szCs w:val="24"/>
          <w:highlight w:val="none"/>
        </w:rPr>
      </w:pPr>
      <w:bookmarkStart w:id="153" w:name="_Toc32447"/>
      <w:r>
        <w:rPr>
          <w:rFonts w:hint="eastAsia" w:ascii="仿宋" w:hAnsi="仿宋" w:eastAsia="仿宋" w:cs="仿宋"/>
          <w:color w:val="auto"/>
          <w:sz w:val="24"/>
          <w:szCs w:val="24"/>
          <w:highlight w:val="none"/>
          <w:lang w:val="en-US" w:eastAsia="zh-CN"/>
        </w:rPr>
        <w:t>【不属于JY企业的无需填写、递交】</w:t>
      </w:r>
      <w:bookmarkEnd w:id="153"/>
    </w:p>
    <w:p w14:paraId="7BDAA5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p>
    <w:p w14:paraId="001BC0B3">
      <w:pPr>
        <w:keepNext w:val="0"/>
        <w:keepLines w:val="0"/>
        <w:pageBreakBefore w:val="0"/>
        <w:widowControl w:val="0"/>
        <w:kinsoku/>
        <w:wordWrap/>
        <w:overflowPunct/>
        <w:topLinePunct w:val="0"/>
        <w:autoSpaceDE/>
        <w:autoSpaceDN/>
        <w:bidi w:val="0"/>
        <w:adjustRightInd/>
        <w:snapToGrid/>
        <w:spacing w:line="432" w:lineRule="auto"/>
        <w:ind w:left="0" w:leftChars="0" w:firstLine="660" w:firstLineChars="2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本公司郑重声明，根据《关于政府采购支持</w:t>
      </w:r>
      <w:r>
        <w:rPr>
          <w:rFonts w:hint="eastAsia" w:ascii="仿宋" w:hAnsi="仿宋" w:eastAsia="仿宋" w:cs="仿宋"/>
          <w:color w:val="auto"/>
          <w:sz w:val="24"/>
          <w:szCs w:val="24"/>
          <w:highlight w:val="none"/>
          <w:lang w:eastAsia="zh-CN"/>
        </w:rPr>
        <w:t>JY</w:t>
      </w:r>
      <w:r>
        <w:rPr>
          <w:rFonts w:hint="eastAsia" w:ascii="仿宋" w:hAnsi="仿宋" w:eastAsia="仿宋" w:cs="仿宋"/>
          <w:color w:val="auto"/>
          <w:sz w:val="24"/>
          <w:szCs w:val="24"/>
          <w:highlight w:val="none"/>
        </w:rPr>
        <w:t>企业发展有关问题的通知》（财库[2014]68号）的规定，本公司为</w:t>
      </w:r>
      <w:r>
        <w:rPr>
          <w:rFonts w:hint="eastAsia" w:ascii="仿宋" w:hAnsi="仿宋" w:eastAsia="仿宋" w:cs="仿宋"/>
          <w:color w:val="auto"/>
          <w:sz w:val="24"/>
          <w:szCs w:val="24"/>
          <w:highlight w:val="none"/>
          <w:lang w:eastAsia="zh-CN"/>
        </w:rPr>
        <w:t>JY</w:t>
      </w:r>
      <w:r>
        <w:rPr>
          <w:rFonts w:hint="eastAsia" w:ascii="仿宋" w:hAnsi="仿宋" w:eastAsia="仿宋" w:cs="仿宋"/>
          <w:color w:val="auto"/>
          <w:sz w:val="24"/>
          <w:szCs w:val="24"/>
          <w:highlight w:val="none"/>
        </w:rPr>
        <w:t>企业。即，本公司同时满足以下条件：</w:t>
      </w:r>
    </w:p>
    <w:p w14:paraId="21FE7909">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1.根据《关于政府采购支持</w:t>
      </w:r>
      <w:r>
        <w:rPr>
          <w:rFonts w:hint="eastAsia" w:ascii="仿宋" w:hAnsi="仿宋" w:eastAsia="仿宋" w:cs="仿宋"/>
          <w:color w:val="auto"/>
          <w:sz w:val="24"/>
          <w:szCs w:val="24"/>
          <w:highlight w:val="none"/>
          <w:lang w:eastAsia="zh-CN"/>
        </w:rPr>
        <w:t>JY</w:t>
      </w:r>
      <w:r>
        <w:rPr>
          <w:rFonts w:hint="eastAsia" w:ascii="仿宋" w:hAnsi="仿宋" w:eastAsia="仿宋" w:cs="仿宋"/>
          <w:color w:val="auto"/>
          <w:sz w:val="24"/>
          <w:szCs w:val="24"/>
          <w:highlight w:val="none"/>
        </w:rPr>
        <w:t>企业发展有关问题的通知》（财库[2014]68号）规定的标准，本公司是由司法部认定的为罪犯、</w:t>
      </w:r>
      <w:r>
        <w:rPr>
          <w:rFonts w:hint="eastAsia" w:ascii="仿宋" w:hAnsi="仿宋" w:eastAsia="仿宋" w:cs="仿宋"/>
          <w:color w:val="auto"/>
          <w:sz w:val="24"/>
          <w:szCs w:val="24"/>
          <w:highlight w:val="none"/>
          <w:lang w:eastAsia="zh-CN"/>
        </w:rPr>
        <w:t>JD</w:t>
      </w:r>
      <w:r>
        <w:rPr>
          <w:rFonts w:hint="eastAsia" w:ascii="仿宋" w:hAnsi="仿宋" w:eastAsia="仿宋" w:cs="仿宋"/>
          <w:color w:val="auto"/>
          <w:sz w:val="24"/>
          <w:szCs w:val="24"/>
          <w:highlight w:val="none"/>
        </w:rPr>
        <w:t>人员提供生产项目和劳动对象，且全部产权属于司法部</w:t>
      </w:r>
      <w:r>
        <w:rPr>
          <w:rFonts w:hint="eastAsia" w:ascii="仿宋" w:hAnsi="仿宋" w:eastAsia="仿宋" w:cs="仿宋"/>
          <w:color w:val="auto"/>
          <w:sz w:val="24"/>
          <w:szCs w:val="24"/>
          <w:highlight w:val="none"/>
          <w:lang w:eastAsia="zh-CN"/>
        </w:rPr>
        <w:t>JY</w:t>
      </w:r>
      <w:r>
        <w:rPr>
          <w:rFonts w:hint="eastAsia" w:ascii="仿宋" w:hAnsi="仿宋" w:eastAsia="仿宋" w:cs="仿宋"/>
          <w:color w:val="auto"/>
          <w:sz w:val="24"/>
          <w:szCs w:val="24"/>
          <w:highlight w:val="none"/>
        </w:rPr>
        <w:t>管理局、</w:t>
      </w:r>
      <w:r>
        <w:rPr>
          <w:rFonts w:hint="eastAsia" w:ascii="仿宋" w:hAnsi="仿宋" w:eastAsia="仿宋" w:cs="仿宋"/>
          <w:color w:val="auto"/>
          <w:sz w:val="24"/>
          <w:szCs w:val="24"/>
          <w:highlight w:val="none"/>
          <w:lang w:eastAsia="zh-CN"/>
        </w:rPr>
        <w:t>JD</w:t>
      </w:r>
      <w:r>
        <w:rPr>
          <w:rFonts w:hint="eastAsia" w:ascii="仿宋" w:hAnsi="仿宋" w:eastAsia="仿宋" w:cs="仿宋"/>
          <w:color w:val="auto"/>
          <w:sz w:val="24"/>
          <w:szCs w:val="24"/>
          <w:highlight w:val="none"/>
        </w:rPr>
        <w:t>管理局、直属煤矿管理局，各省、自治区、直辖市</w:t>
      </w:r>
      <w:r>
        <w:rPr>
          <w:rFonts w:hint="eastAsia" w:ascii="仿宋" w:hAnsi="仿宋" w:eastAsia="仿宋" w:cs="仿宋"/>
          <w:color w:val="auto"/>
          <w:sz w:val="24"/>
          <w:szCs w:val="24"/>
          <w:highlight w:val="none"/>
          <w:lang w:eastAsia="zh-CN"/>
        </w:rPr>
        <w:t>JY</w:t>
      </w:r>
      <w:r>
        <w:rPr>
          <w:rFonts w:hint="eastAsia" w:ascii="仿宋" w:hAnsi="仿宋" w:eastAsia="仿宋" w:cs="仿宋"/>
          <w:color w:val="auto"/>
          <w:sz w:val="24"/>
          <w:szCs w:val="24"/>
          <w:highlight w:val="none"/>
        </w:rPr>
        <w:t>管理局、</w:t>
      </w:r>
      <w:r>
        <w:rPr>
          <w:rFonts w:hint="eastAsia" w:ascii="仿宋" w:hAnsi="仿宋" w:eastAsia="仿宋" w:cs="仿宋"/>
          <w:color w:val="auto"/>
          <w:sz w:val="24"/>
          <w:szCs w:val="24"/>
          <w:highlight w:val="none"/>
          <w:lang w:eastAsia="zh-CN"/>
        </w:rPr>
        <w:t>JD</w:t>
      </w:r>
      <w:r>
        <w:rPr>
          <w:rFonts w:hint="eastAsia" w:ascii="仿宋" w:hAnsi="仿宋" w:eastAsia="仿宋" w:cs="仿宋"/>
          <w:color w:val="auto"/>
          <w:sz w:val="24"/>
          <w:szCs w:val="24"/>
          <w:highlight w:val="none"/>
        </w:rPr>
        <w:t>管理局，各地(设区的市)</w:t>
      </w:r>
      <w:r>
        <w:rPr>
          <w:rFonts w:hint="eastAsia" w:ascii="仿宋" w:hAnsi="仿宋" w:eastAsia="仿宋" w:cs="仿宋"/>
          <w:color w:val="auto"/>
          <w:sz w:val="24"/>
          <w:szCs w:val="24"/>
          <w:highlight w:val="none"/>
          <w:lang w:eastAsia="zh-CN"/>
        </w:rPr>
        <w:t>JY</w:t>
      </w:r>
      <w:r>
        <w:rPr>
          <w:rFonts w:hint="eastAsia" w:ascii="仿宋" w:hAnsi="仿宋" w:eastAsia="仿宋" w:cs="仿宋"/>
          <w:color w:val="auto"/>
          <w:sz w:val="24"/>
          <w:szCs w:val="24"/>
          <w:highlight w:val="none"/>
        </w:rPr>
        <w:t>、强制隔离</w:t>
      </w:r>
      <w:r>
        <w:rPr>
          <w:rFonts w:hint="eastAsia" w:ascii="仿宋" w:hAnsi="仿宋" w:eastAsia="仿宋" w:cs="仿宋"/>
          <w:color w:val="auto"/>
          <w:sz w:val="24"/>
          <w:szCs w:val="24"/>
          <w:highlight w:val="none"/>
          <w:lang w:eastAsia="zh-CN"/>
        </w:rPr>
        <w:t>JD</w:t>
      </w:r>
      <w:r>
        <w:rPr>
          <w:rFonts w:hint="eastAsia" w:ascii="仿宋" w:hAnsi="仿宋" w:eastAsia="仿宋" w:cs="仿宋"/>
          <w:color w:val="auto"/>
          <w:sz w:val="24"/>
          <w:szCs w:val="24"/>
          <w:highlight w:val="none"/>
        </w:rPr>
        <w:t>所、</w:t>
      </w:r>
      <w:r>
        <w:rPr>
          <w:rFonts w:hint="eastAsia" w:ascii="仿宋" w:hAnsi="仿宋" w:eastAsia="仿宋" w:cs="仿宋"/>
          <w:color w:val="auto"/>
          <w:sz w:val="24"/>
          <w:szCs w:val="24"/>
          <w:highlight w:val="none"/>
          <w:lang w:eastAsia="zh-CN"/>
        </w:rPr>
        <w:t>JD</w:t>
      </w:r>
      <w:r>
        <w:rPr>
          <w:rFonts w:hint="eastAsia" w:ascii="仿宋" w:hAnsi="仿宋" w:eastAsia="仿宋" w:cs="仿宋"/>
          <w:color w:val="auto"/>
          <w:sz w:val="24"/>
          <w:szCs w:val="24"/>
          <w:highlight w:val="none"/>
        </w:rPr>
        <w:t>康复所，以及新疆生产建设兵团</w:t>
      </w:r>
      <w:r>
        <w:rPr>
          <w:rFonts w:hint="eastAsia" w:ascii="仿宋" w:hAnsi="仿宋" w:eastAsia="仿宋" w:cs="仿宋"/>
          <w:color w:val="auto"/>
          <w:sz w:val="24"/>
          <w:szCs w:val="24"/>
          <w:highlight w:val="none"/>
          <w:lang w:eastAsia="zh-CN"/>
        </w:rPr>
        <w:t>JY</w:t>
      </w:r>
      <w:r>
        <w:rPr>
          <w:rFonts w:hint="eastAsia" w:ascii="仿宋" w:hAnsi="仿宋" w:eastAsia="仿宋" w:cs="仿宋"/>
          <w:color w:val="auto"/>
          <w:sz w:val="24"/>
          <w:szCs w:val="24"/>
          <w:highlight w:val="none"/>
        </w:rPr>
        <w:t>管理局、</w:t>
      </w:r>
      <w:r>
        <w:rPr>
          <w:rFonts w:hint="eastAsia" w:ascii="仿宋" w:hAnsi="仿宋" w:eastAsia="仿宋" w:cs="仿宋"/>
          <w:color w:val="auto"/>
          <w:sz w:val="24"/>
          <w:szCs w:val="24"/>
          <w:highlight w:val="none"/>
          <w:lang w:eastAsia="zh-CN"/>
        </w:rPr>
        <w:t>JD</w:t>
      </w:r>
      <w:r>
        <w:rPr>
          <w:rFonts w:hint="eastAsia" w:ascii="仿宋" w:hAnsi="仿宋" w:eastAsia="仿宋" w:cs="仿宋"/>
          <w:color w:val="auto"/>
          <w:sz w:val="24"/>
          <w:szCs w:val="24"/>
          <w:highlight w:val="none"/>
        </w:rPr>
        <w:t>管理局的企业。</w:t>
      </w:r>
    </w:p>
    <w:p w14:paraId="0EA56022">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t>2.本公司参加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）采购活动时提供的是本企业的产品（包括由本企业承担的工程和提供的服务），或者提供的是其他</w:t>
      </w:r>
      <w:r>
        <w:rPr>
          <w:rFonts w:hint="eastAsia" w:ascii="仿宋" w:hAnsi="仿宋" w:eastAsia="仿宋" w:cs="仿宋"/>
          <w:color w:val="auto"/>
          <w:sz w:val="24"/>
          <w:szCs w:val="24"/>
          <w:highlight w:val="none"/>
          <w:lang w:eastAsia="zh-CN"/>
        </w:rPr>
        <w:t>JY</w:t>
      </w:r>
      <w:r>
        <w:rPr>
          <w:rFonts w:hint="eastAsia" w:ascii="仿宋" w:hAnsi="仿宋" w:eastAsia="仿宋" w:cs="仿宋"/>
          <w:color w:val="auto"/>
          <w:sz w:val="24"/>
          <w:szCs w:val="24"/>
          <w:highlight w:val="none"/>
        </w:rPr>
        <w:t>企业制造的产品。</w:t>
      </w:r>
    </w:p>
    <w:p w14:paraId="29BD19A9">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本公司对上述声明的真实性负责。如有虚假，将依法承担相应责任。</w:t>
      </w:r>
    </w:p>
    <w:p w14:paraId="0A4AFE82">
      <w:pPr>
        <w:spacing w:line="360" w:lineRule="auto"/>
        <w:ind w:left="0" w:leftChars="0" w:firstLine="420" w:firstLineChars="175"/>
        <w:rPr>
          <w:rFonts w:hint="eastAsia" w:ascii="仿宋" w:hAnsi="仿宋" w:eastAsia="仿宋" w:cs="仿宋"/>
          <w:color w:val="auto"/>
          <w:sz w:val="24"/>
          <w:szCs w:val="24"/>
          <w:highlight w:val="none"/>
        </w:rPr>
      </w:pPr>
    </w:p>
    <w:p w14:paraId="57A4F81D">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附件：省级以上</w:t>
      </w:r>
      <w:r>
        <w:rPr>
          <w:rFonts w:hint="eastAsia" w:ascii="仿宋" w:hAnsi="仿宋" w:eastAsia="仿宋" w:cs="仿宋"/>
          <w:color w:val="auto"/>
          <w:sz w:val="24"/>
          <w:szCs w:val="24"/>
          <w:highlight w:val="none"/>
          <w:lang w:eastAsia="zh-CN"/>
        </w:rPr>
        <w:t>JY</w:t>
      </w:r>
      <w:r>
        <w:rPr>
          <w:rFonts w:hint="eastAsia" w:ascii="仿宋" w:hAnsi="仿宋" w:eastAsia="仿宋" w:cs="仿宋"/>
          <w:color w:val="auto"/>
          <w:sz w:val="24"/>
          <w:szCs w:val="24"/>
          <w:highlight w:val="none"/>
        </w:rPr>
        <w:t>管理局、</w:t>
      </w:r>
      <w:r>
        <w:rPr>
          <w:rFonts w:hint="eastAsia" w:ascii="仿宋" w:hAnsi="仿宋" w:eastAsia="仿宋" w:cs="仿宋"/>
          <w:color w:val="auto"/>
          <w:sz w:val="24"/>
          <w:szCs w:val="24"/>
          <w:highlight w:val="none"/>
          <w:lang w:eastAsia="zh-CN"/>
        </w:rPr>
        <w:t>JD</w:t>
      </w:r>
      <w:r>
        <w:rPr>
          <w:rFonts w:hint="eastAsia" w:ascii="仿宋" w:hAnsi="仿宋" w:eastAsia="仿宋" w:cs="仿宋"/>
          <w:color w:val="auto"/>
          <w:sz w:val="24"/>
          <w:szCs w:val="24"/>
          <w:highlight w:val="none"/>
        </w:rPr>
        <w:t>管理局(含新疆生产建设兵团)出具的属于</w:t>
      </w:r>
      <w:r>
        <w:rPr>
          <w:rFonts w:hint="eastAsia" w:ascii="仿宋" w:hAnsi="仿宋" w:eastAsia="仿宋" w:cs="仿宋"/>
          <w:color w:val="auto"/>
          <w:sz w:val="24"/>
          <w:szCs w:val="24"/>
          <w:highlight w:val="none"/>
          <w:lang w:eastAsia="zh-CN"/>
        </w:rPr>
        <w:t>JY</w:t>
      </w:r>
      <w:r>
        <w:rPr>
          <w:rFonts w:hint="eastAsia" w:ascii="仿宋" w:hAnsi="仿宋" w:eastAsia="仿宋" w:cs="仿宋"/>
          <w:color w:val="auto"/>
          <w:sz w:val="24"/>
          <w:szCs w:val="24"/>
          <w:highlight w:val="none"/>
        </w:rPr>
        <w:t>企业的证明文件</w:t>
      </w:r>
      <w:r>
        <w:rPr>
          <w:rFonts w:hint="eastAsia" w:ascii="仿宋" w:hAnsi="仿宋" w:eastAsia="仿宋" w:cs="仿宋"/>
          <w:color w:val="auto"/>
          <w:sz w:val="24"/>
          <w:szCs w:val="24"/>
          <w:highlight w:val="none"/>
          <w:lang w:eastAsia="zh-CN"/>
        </w:rPr>
        <w:t>。</w:t>
      </w:r>
    </w:p>
    <w:p w14:paraId="0EDB3789">
      <w:pPr>
        <w:rPr>
          <w:rFonts w:hint="eastAsia" w:ascii="仿宋" w:hAnsi="仿宋" w:eastAsia="仿宋" w:cs="仿宋"/>
          <w:color w:val="auto"/>
          <w:sz w:val="24"/>
          <w:szCs w:val="24"/>
          <w:highlight w:val="none"/>
        </w:rPr>
      </w:pPr>
    </w:p>
    <w:p w14:paraId="09667039">
      <w:pPr>
        <w:rPr>
          <w:rFonts w:hint="eastAsia" w:ascii="仿宋" w:hAnsi="仿宋" w:eastAsia="仿宋" w:cs="仿宋"/>
          <w:color w:val="auto"/>
          <w:sz w:val="24"/>
          <w:szCs w:val="24"/>
          <w:highlight w:val="none"/>
        </w:rPr>
      </w:pPr>
    </w:p>
    <w:p w14:paraId="1BD97DCE">
      <w:pPr>
        <w:pStyle w:val="14"/>
        <w:rPr>
          <w:rFonts w:hint="eastAsia" w:ascii="仿宋" w:hAnsi="仿宋" w:eastAsia="仿宋" w:cs="仿宋"/>
          <w:color w:val="auto"/>
          <w:sz w:val="24"/>
          <w:szCs w:val="24"/>
          <w:highlight w:val="none"/>
        </w:rPr>
      </w:pPr>
    </w:p>
    <w:p w14:paraId="4BF40E25">
      <w:pPr>
        <w:rPr>
          <w:rFonts w:hint="eastAsia" w:ascii="仿宋" w:hAnsi="仿宋" w:eastAsia="仿宋" w:cs="仿宋"/>
          <w:color w:val="auto"/>
          <w:sz w:val="24"/>
          <w:szCs w:val="24"/>
          <w:highlight w:val="none"/>
        </w:rPr>
      </w:pPr>
    </w:p>
    <w:p w14:paraId="04B28859">
      <w:pPr>
        <w:rPr>
          <w:rFonts w:hint="eastAsia" w:ascii="仿宋" w:hAnsi="仿宋" w:eastAsia="仿宋" w:cs="仿宋"/>
          <w:color w:val="auto"/>
          <w:sz w:val="24"/>
          <w:szCs w:val="24"/>
          <w:highlight w:val="none"/>
        </w:rPr>
      </w:pPr>
    </w:p>
    <w:p w14:paraId="07809C07">
      <w:pPr>
        <w:rPr>
          <w:rFonts w:hint="eastAsia" w:ascii="仿宋" w:hAnsi="仿宋" w:eastAsia="仿宋" w:cs="仿宋"/>
          <w:color w:val="auto"/>
          <w:sz w:val="24"/>
          <w:szCs w:val="24"/>
          <w:highlight w:val="none"/>
        </w:rPr>
      </w:pPr>
    </w:p>
    <w:p w14:paraId="21D9C242">
      <w:pPr>
        <w:pStyle w:val="14"/>
        <w:rPr>
          <w:rFonts w:hint="eastAsia" w:ascii="仿宋" w:hAnsi="仿宋" w:eastAsia="仿宋" w:cs="仿宋"/>
          <w:color w:val="auto"/>
          <w:highlight w:val="none"/>
        </w:rPr>
      </w:pPr>
    </w:p>
    <w:p w14:paraId="229D1052">
      <w:pPr>
        <w:rPr>
          <w:rFonts w:hint="eastAsia" w:ascii="仿宋" w:hAnsi="仿宋" w:eastAsia="仿宋" w:cs="仿宋"/>
          <w:color w:val="auto"/>
          <w:sz w:val="24"/>
          <w:szCs w:val="24"/>
          <w:highlight w:val="none"/>
        </w:rPr>
      </w:pPr>
    </w:p>
    <w:p w14:paraId="43EE6340">
      <w:pPr>
        <w:spacing w:line="480" w:lineRule="auto"/>
        <w:ind w:firstLine="2160" w:firstLineChars="9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1707FFC4">
      <w:pPr>
        <w:spacing w:line="48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41A524F2">
      <w:pPr>
        <w:spacing w:line="480" w:lineRule="auto"/>
        <w:ind w:firstLine="2640" w:firstLineChars="11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14:paraId="7E94663D">
      <w:pPr>
        <w:spacing w:line="480" w:lineRule="auto"/>
        <w:jc w:val="right"/>
        <w:rPr>
          <w:rFonts w:hint="eastAsia" w:ascii="仿宋" w:hAnsi="仿宋" w:eastAsia="仿宋" w:cs="仿宋"/>
          <w:color w:val="auto"/>
          <w:highlight w:val="none"/>
        </w:rPr>
        <w:sectPr>
          <w:pgSz w:w="11906" w:h="16838"/>
          <w:pgMar w:top="1191" w:right="1417" w:bottom="1191" w:left="1417" w:header="737" w:footer="737" w:gutter="0"/>
          <w:pgBorders>
            <w:top w:val="none" w:sz="0" w:space="0"/>
            <w:left w:val="none" w:sz="0" w:space="0"/>
            <w:bottom w:val="none" w:sz="0" w:space="0"/>
            <w:right w:val="none" w:sz="0" w:space="0"/>
          </w:pgBorders>
          <w:pgNumType w:fmt="decimal"/>
          <w:cols w:space="720" w:num="1"/>
          <w:rtlGutter w:val="0"/>
          <w:docGrid w:linePitch="312" w:charSpace="0"/>
        </w:sectPr>
      </w:pPr>
    </w:p>
    <w:p w14:paraId="7038C99B">
      <w:pPr>
        <w:spacing w:line="360" w:lineRule="auto"/>
        <w:jc w:val="center"/>
        <w:rPr>
          <w:rFonts w:hint="eastAsia" w:ascii="仿宋" w:hAnsi="仿宋" w:eastAsia="仿宋" w:cs="仿宋"/>
          <w:b/>
          <w:bCs/>
          <w:color w:val="auto"/>
          <w:sz w:val="24"/>
          <w:szCs w:val="24"/>
          <w:highlight w:val="none"/>
        </w:rPr>
      </w:pPr>
    </w:p>
    <w:p w14:paraId="05821E31">
      <w:pPr>
        <w:spacing w:line="48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残疾人福利性单位声明函</w:t>
      </w:r>
    </w:p>
    <w:p w14:paraId="66DB3624">
      <w:pPr>
        <w:spacing w:line="48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【不属于残疾人福利性单位的无需填写、递交】</w:t>
      </w:r>
    </w:p>
    <w:p w14:paraId="43B221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p>
    <w:p w14:paraId="37DDADF1">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本单位郑重声明，根据《关于促进残疾人就业政府采购政策的通知》（财库[2017]141号）的规定，本单位为残疾人福利性单位。即，本单位同时满足以下条件：</w:t>
      </w:r>
    </w:p>
    <w:p w14:paraId="5A70393A">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1.安置的残疾人占本单位在职职工人数的比例不低于25%（含25%），并且安置的残疾人人数不少于10人（含10人）；</w:t>
      </w:r>
    </w:p>
    <w:p w14:paraId="3B166816">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2.本单位依法与安置的每位残疾人签订了一年以上（含一年）的劳动合同或服务协议；</w:t>
      </w:r>
    </w:p>
    <w:p w14:paraId="3BCCFDBD">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3.本单位为安置的每位残疾人按月足额缴纳了基本养老保险、基本医疗保险、失业保险、工伤保险和生育保险等社会保险费；</w:t>
      </w:r>
    </w:p>
    <w:p w14:paraId="24DAA321">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4.本单位通过银行等金融机构向安置的每位残疾人，按月支付了不低于单位所在区县适用的经省级人民政府批准的月最低工资标准的工资；</w:t>
      </w:r>
    </w:p>
    <w:p w14:paraId="26B87A36">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5.本单位参加 项目（项目编号： ）采购活动时提供的是本单位的产品（包括由本单位承担的工程和提供的服务），或者提供的是其他残疾人福利性单位制造的产品。</w:t>
      </w:r>
    </w:p>
    <w:p w14:paraId="7C04D5FC">
      <w:pPr>
        <w:rPr>
          <w:rFonts w:hint="eastAsia" w:ascii="仿宋" w:hAnsi="仿宋" w:eastAsia="仿宋" w:cs="仿宋"/>
          <w:color w:val="auto"/>
          <w:highlight w:val="none"/>
        </w:rPr>
      </w:pPr>
    </w:p>
    <w:p w14:paraId="10F45C8F">
      <w:pPr>
        <w:spacing w:line="360" w:lineRule="auto"/>
        <w:ind w:left="0" w:leftChars="0" w:firstLine="422" w:firstLineChars="175"/>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本公司对上述声明的真实性负责。如有虚假，将依法承担相应责任。</w:t>
      </w:r>
    </w:p>
    <w:p w14:paraId="1917A355">
      <w:pPr>
        <w:spacing w:line="360" w:lineRule="auto"/>
        <w:ind w:left="0" w:leftChars="0" w:firstLine="420" w:firstLineChars="175"/>
        <w:rPr>
          <w:rFonts w:hint="eastAsia" w:ascii="仿宋" w:hAnsi="仿宋" w:eastAsia="仿宋" w:cs="仿宋"/>
          <w:color w:val="auto"/>
          <w:sz w:val="24"/>
          <w:szCs w:val="24"/>
          <w:highlight w:val="none"/>
        </w:rPr>
      </w:pPr>
    </w:p>
    <w:p w14:paraId="3F87AC64">
      <w:pPr>
        <w:spacing w:line="360" w:lineRule="auto"/>
        <w:ind w:left="0" w:leftChars="0" w:firstLine="420" w:firstLineChars="17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附件：近三个月依法为安置残疾人缴纳社会保障资金的证明文件</w:t>
      </w:r>
      <w:r>
        <w:rPr>
          <w:rFonts w:hint="eastAsia" w:ascii="仿宋" w:hAnsi="仿宋" w:eastAsia="仿宋" w:cs="仿宋"/>
          <w:color w:val="auto"/>
          <w:sz w:val="24"/>
          <w:szCs w:val="24"/>
          <w:highlight w:val="none"/>
          <w:lang w:eastAsia="zh-CN"/>
        </w:rPr>
        <w:t>。</w:t>
      </w:r>
    </w:p>
    <w:p w14:paraId="344D031C">
      <w:pPr>
        <w:pStyle w:val="14"/>
        <w:rPr>
          <w:rFonts w:hint="eastAsia" w:ascii="仿宋" w:hAnsi="仿宋" w:eastAsia="仿宋" w:cs="仿宋"/>
          <w:color w:val="auto"/>
          <w:sz w:val="24"/>
          <w:szCs w:val="24"/>
          <w:highlight w:val="none"/>
        </w:rPr>
      </w:pPr>
    </w:p>
    <w:p w14:paraId="0F27585C">
      <w:pPr>
        <w:rPr>
          <w:rFonts w:hint="eastAsia" w:ascii="仿宋" w:hAnsi="仿宋" w:eastAsia="仿宋" w:cs="仿宋"/>
          <w:color w:val="auto"/>
          <w:sz w:val="24"/>
          <w:szCs w:val="24"/>
          <w:highlight w:val="none"/>
        </w:rPr>
      </w:pPr>
    </w:p>
    <w:p w14:paraId="0C41D670">
      <w:pPr>
        <w:pStyle w:val="14"/>
        <w:rPr>
          <w:rFonts w:hint="eastAsia" w:ascii="仿宋" w:hAnsi="仿宋" w:eastAsia="仿宋" w:cs="仿宋"/>
          <w:color w:val="auto"/>
          <w:sz w:val="24"/>
          <w:szCs w:val="24"/>
          <w:highlight w:val="none"/>
        </w:rPr>
      </w:pPr>
    </w:p>
    <w:p w14:paraId="2F522289">
      <w:pPr>
        <w:rPr>
          <w:rFonts w:hint="eastAsia" w:ascii="仿宋" w:hAnsi="仿宋" w:eastAsia="仿宋" w:cs="仿宋"/>
          <w:color w:val="auto"/>
          <w:highlight w:val="none"/>
        </w:rPr>
      </w:pPr>
    </w:p>
    <w:p w14:paraId="18CB0845">
      <w:pPr>
        <w:pStyle w:val="14"/>
        <w:rPr>
          <w:rFonts w:hint="eastAsia" w:ascii="仿宋" w:hAnsi="仿宋" w:eastAsia="仿宋" w:cs="仿宋"/>
          <w:color w:val="auto"/>
          <w:highlight w:val="none"/>
        </w:rPr>
      </w:pPr>
    </w:p>
    <w:p w14:paraId="2A688116">
      <w:pPr>
        <w:spacing w:line="480" w:lineRule="auto"/>
        <w:ind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7A34A814">
      <w:pPr>
        <w:spacing w:line="48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5838CE25">
      <w:pPr>
        <w:spacing w:line="480" w:lineRule="auto"/>
        <w:ind w:firstLine="1680" w:firstLineChars="7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14:paraId="79534883">
      <w:pPr>
        <w:spacing w:line="480" w:lineRule="auto"/>
        <w:jc w:val="right"/>
        <w:rPr>
          <w:rFonts w:hint="eastAsia" w:ascii="仿宋" w:hAnsi="仿宋" w:eastAsia="仿宋" w:cs="仿宋"/>
          <w:color w:val="auto"/>
          <w:highlight w:val="none"/>
        </w:rPr>
        <w:sectPr>
          <w:headerReference r:id="rId8" w:type="default"/>
          <w:footerReference r:id="rId9" w:type="default"/>
          <w:pgSz w:w="11906" w:h="16838"/>
          <w:pgMar w:top="1191" w:right="1417" w:bottom="1191" w:left="1417" w:header="737" w:footer="737" w:gutter="0"/>
          <w:pgBorders>
            <w:top w:val="none" w:sz="0" w:space="0"/>
            <w:left w:val="none" w:sz="0" w:space="0"/>
            <w:bottom w:val="none" w:sz="0" w:space="0"/>
            <w:right w:val="none" w:sz="0" w:space="0"/>
          </w:pgBorders>
          <w:pgNumType w:fmt="decimal"/>
          <w:cols w:space="720" w:num="1"/>
          <w:rtlGutter w:val="0"/>
          <w:docGrid w:linePitch="312" w:charSpace="0"/>
        </w:sectPr>
      </w:pPr>
    </w:p>
    <w:p w14:paraId="2E29B7D5">
      <w:pPr>
        <w:pStyle w:val="3"/>
        <w:numPr>
          <w:ilvl w:val="0"/>
          <w:numId w:val="0"/>
        </w:numPr>
        <w:spacing w:before="156" w:after="156" w:line="480" w:lineRule="auto"/>
        <w:jc w:val="center"/>
        <w:rPr>
          <w:rFonts w:hint="eastAsia" w:ascii="仿宋" w:hAnsi="仿宋" w:eastAsia="仿宋" w:cs="仿宋"/>
          <w:b/>
          <w:bCs/>
          <w:color w:val="auto"/>
          <w:kern w:val="2"/>
          <w:sz w:val="24"/>
          <w:szCs w:val="24"/>
          <w:highlight w:val="none"/>
          <w:lang w:val="en-US" w:eastAsia="zh-CN" w:bidi="ar-SA"/>
        </w:rPr>
      </w:pPr>
      <w:bookmarkStart w:id="154" w:name="_Toc480368440"/>
      <w:bookmarkStart w:id="155" w:name="_Toc16687"/>
      <w:bookmarkStart w:id="156" w:name="_Toc31830"/>
      <w:bookmarkStart w:id="157" w:name="_Toc12999"/>
      <w:bookmarkStart w:id="158" w:name="_Toc23806"/>
      <w:bookmarkStart w:id="159" w:name="_Toc24887"/>
      <w:bookmarkStart w:id="160" w:name="_Toc20918"/>
      <w:r>
        <w:rPr>
          <w:rFonts w:hint="eastAsia" w:ascii="仿宋" w:hAnsi="仿宋" w:eastAsia="仿宋" w:cs="仿宋"/>
          <w:b/>
          <w:bCs/>
          <w:color w:val="auto"/>
          <w:kern w:val="2"/>
          <w:sz w:val="28"/>
          <w:szCs w:val="28"/>
          <w:highlight w:val="none"/>
          <w:lang w:val="en-US" w:eastAsia="zh-CN" w:bidi="ar-SA"/>
        </w:rPr>
        <w:t>十三、人员健康体检</w:t>
      </w:r>
    </w:p>
    <w:p w14:paraId="3B51F78C">
      <w:pPr>
        <w:pStyle w:val="4"/>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包括但不限于</w:t>
      </w:r>
      <w:r>
        <w:rPr>
          <w:rFonts w:hint="eastAsia" w:ascii="仿宋" w:hAnsi="仿宋" w:eastAsia="仿宋" w:cs="仿宋"/>
          <w:b w:val="0"/>
          <w:bCs w:val="0"/>
          <w:color w:val="auto"/>
          <w:kern w:val="2"/>
          <w:sz w:val="24"/>
          <w:szCs w:val="24"/>
          <w:highlight w:val="none"/>
          <w:lang w:val="en-US" w:eastAsia="zh-CN" w:bidi="ar-SA"/>
        </w:rPr>
        <w:t>（具体详见评标标准，否则评审专家在评审时将不予采信）：</w:t>
      </w:r>
    </w:p>
    <w:p w14:paraId="2DA102B0">
      <w:pPr>
        <w:numPr>
          <w:ilvl w:val="0"/>
          <w:numId w:val="0"/>
        </w:numPr>
        <w:rPr>
          <w:rFonts w:hint="eastAsia" w:ascii="仿宋" w:hAnsi="仿宋" w:eastAsia="仿宋" w:cs="仿宋"/>
          <w:color w:val="auto"/>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投标人认为更有利于此次投标的其它资料；</w:t>
      </w:r>
    </w:p>
    <w:p w14:paraId="1826EBA3">
      <w:pPr>
        <w:rPr>
          <w:rFonts w:hint="eastAsia" w:ascii="仿宋" w:hAnsi="仿宋" w:eastAsia="仿宋" w:cs="仿宋"/>
          <w:b/>
          <w:bCs/>
          <w:color w:val="auto"/>
          <w:kern w:val="2"/>
          <w:sz w:val="28"/>
          <w:szCs w:val="28"/>
          <w:highlight w:val="none"/>
          <w:lang w:val="en-US" w:eastAsia="zh-CN" w:bidi="ar-SA"/>
        </w:rPr>
      </w:pPr>
    </w:p>
    <w:p w14:paraId="684529D1">
      <w:pPr>
        <w:pStyle w:val="14"/>
        <w:rPr>
          <w:rFonts w:hint="eastAsia" w:ascii="仿宋" w:hAnsi="仿宋" w:eastAsia="仿宋" w:cs="仿宋"/>
          <w:color w:val="auto"/>
          <w:highlight w:val="none"/>
          <w:lang w:val="en-US" w:eastAsia="zh-CN"/>
        </w:rPr>
      </w:pPr>
    </w:p>
    <w:p w14:paraId="737A2F5C">
      <w:pPr>
        <w:pStyle w:val="3"/>
        <w:numPr>
          <w:ilvl w:val="0"/>
          <w:numId w:val="0"/>
        </w:numPr>
        <w:spacing w:before="156" w:after="156" w:line="480" w:lineRule="auto"/>
        <w:jc w:val="center"/>
        <w:rPr>
          <w:rFonts w:hint="eastAsia" w:ascii="仿宋" w:hAnsi="仿宋" w:eastAsia="仿宋" w:cs="仿宋"/>
          <w:b/>
          <w:bCs/>
          <w:color w:val="auto"/>
          <w:kern w:val="2"/>
          <w:sz w:val="28"/>
          <w:szCs w:val="28"/>
          <w:highlight w:val="none"/>
          <w:lang w:val="en-US" w:eastAsia="zh-CN" w:bidi="ar-SA"/>
        </w:rPr>
      </w:pPr>
    </w:p>
    <w:p w14:paraId="13F9BE32">
      <w:pPr>
        <w:pStyle w:val="3"/>
        <w:numPr>
          <w:ilvl w:val="0"/>
          <w:numId w:val="0"/>
        </w:numPr>
        <w:spacing w:before="156" w:after="156" w:line="240" w:lineRule="auto"/>
        <w:jc w:val="center"/>
        <w:rPr>
          <w:rFonts w:hint="eastAsia" w:ascii="仿宋" w:hAnsi="仿宋" w:eastAsia="仿宋" w:cs="仿宋"/>
          <w:b/>
          <w:bCs/>
          <w:color w:val="auto"/>
          <w:kern w:val="2"/>
          <w:sz w:val="24"/>
          <w:szCs w:val="24"/>
          <w:highlight w:val="none"/>
          <w:lang w:val="en-US" w:eastAsia="zh-CN" w:bidi="ar-SA"/>
        </w:rPr>
      </w:pPr>
    </w:p>
    <w:p w14:paraId="16F73950">
      <w:pPr>
        <w:rPr>
          <w:rFonts w:hint="eastAsia" w:ascii="仿宋" w:hAnsi="仿宋" w:eastAsia="仿宋" w:cs="仿宋"/>
          <w:color w:val="auto"/>
          <w:highlight w:val="none"/>
          <w:lang w:val="en-US" w:eastAsia="zh-CN"/>
        </w:rPr>
      </w:pPr>
    </w:p>
    <w:p w14:paraId="4E1F51E7">
      <w:pPr>
        <w:pStyle w:val="3"/>
        <w:numPr>
          <w:ilvl w:val="0"/>
          <w:numId w:val="0"/>
        </w:numPr>
        <w:spacing w:before="156" w:after="156" w:line="48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十四、服务方案与安防落实</w:t>
      </w:r>
    </w:p>
    <w:p w14:paraId="531AF685">
      <w:pPr>
        <w:pStyle w:val="4"/>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包括但不限于</w:t>
      </w:r>
      <w:r>
        <w:rPr>
          <w:rFonts w:hint="eastAsia" w:ascii="仿宋" w:hAnsi="仿宋" w:eastAsia="仿宋" w:cs="仿宋"/>
          <w:b w:val="0"/>
          <w:bCs w:val="0"/>
          <w:color w:val="auto"/>
          <w:kern w:val="2"/>
          <w:sz w:val="24"/>
          <w:szCs w:val="24"/>
          <w:highlight w:val="none"/>
          <w:lang w:val="en-US" w:eastAsia="zh-CN" w:bidi="ar-SA"/>
        </w:rPr>
        <w:t>（具体详见评标标准，否则评审专家在评审时将不予采信）：</w:t>
      </w:r>
    </w:p>
    <w:p w14:paraId="12D9AEBE">
      <w:pPr>
        <w:numPr>
          <w:ilvl w:val="0"/>
          <w:numId w:val="0"/>
        </w:numPr>
        <w:rPr>
          <w:rFonts w:hint="eastAsia" w:ascii="仿宋" w:hAnsi="仿宋" w:eastAsia="仿宋" w:cs="仿宋"/>
          <w:color w:val="auto"/>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投标人认为更有利于此次投标的其它资料；</w:t>
      </w:r>
    </w:p>
    <w:p w14:paraId="071AE644">
      <w:pPr>
        <w:rPr>
          <w:rFonts w:hint="eastAsia" w:ascii="仿宋" w:hAnsi="仿宋" w:eastAsia="仿宋" w:cs="仿宋"/>
          <w:b/>
          <w:bCs/>
          <w:color w:val="auto"/>
          <w:kern w:val="2"/>
          <w:sz w:val="28"/>
          <w:szCs w:val="28"/>
          <w:highlight w:val="none"/>
          <w:lang w:val="en-US" w:eastAsia="zh-CN" w:bidi="ar-SA"/>
        </w:rPr>
      </w:pPr>
    </w:p>
    <w:p w14:paraId="4E1FCD3A">
      <w:pPr>
        <w:pStyle w:val="14"/>
        <w:rPr>
          <w:rFonts w:hint="eastAsia" w:ascii="仿宋" w:hAnsi="仿宋" w:eastAsia="仿宋" w:cs="仿宋"/>
          <w:color w:val="auto"/>
          <w:highlight w:val="none"/>
          <w:lang w:val="en-US" w:eastAsia="zh-CN"/>
        </w:rPr>
      </w:pPr>
    </w:p>
    <w:p w14:paraId="1B4E532E">
      <w:pPr>
        <w:pStyle w:val="3"/>
        <w:numPr>
          <w:ilvl w:val="0"/>
          <w:numId w:val="0"/>
        </w:numPr>
        <w:spacing w:before="156" w:after="156" w:line="480" w:lineRule="auto"/>
        <w:jc w:val="center"/>
        <w:rPr>
          <w:rFonts w:hint="eastAsia" w:ascii="仿宋" w:hAnsi="仿宋" w:eastAsia="仿宋" w:cs="仿宋"/>
          <w:b/>
          <w:bCs/>
          <w:color w:val="auto"/>
          <w:kern w:val="2"/>
          <w:sz w:val="28"/>
          <w:szCs w:val="28"/>
          <w:highlight w:val="none"/>
          <w:lang w:val="en-US" w:eastAsia="zh-CN" w:bidi="ar-SA"/>
        </w:rPr>
      </w:pPr>
    </w:p>
    <w:p w14:paraId="0E68DC69">
      <w:pPr>
        <w:pStyle w:val="3"/>
        <w:numPr>
          <w:ilvl w:val="0"/>
          <w:numId w:val="0"/>
        </w:numPr>
        <w:spacing w:before="156" w:after="156" w:line="240" w:lineRule="auto"/>
        <w:jc w:val="center"/>
        <w:rPr>
          <w:rFonts w:hint="eastAsia" w:ascii="仿宋" w:hAnsi="仿宋" w:eastAsia="仿宋" w:cs="仿宋"/>
          <w:b/>
          <w:bCs/>
          <w:color w:val="auto"/>
          <w:kern w:val="2"/>
          <w:sz w:val="24"/>
          <w:szCs w:val="24"/>
          <w:highlight w:val="none"/>
          <w:lang w:val="en-US" w:eastAsia="zh-CN" w:bidi="ar-SA"/>
        </w:rPr>
      </w:pPr>
    </w:p>
    <w:p w14:paraId="42865C11">
      <w:pPr>
        <w:rPr>
          <w:rFonts w:hint="eastAsia" w:ascii="仿宋" w:hAnsi="仿宋" w:eastAsia="仿宋" w:cs="仿宋"/>
          <w:color w:val="auto"/>
          <w:highlight w:val="none"/>
          <w:lang w:val="en-US" w:eastAsia="zh-CN"/>
        </w:rPr>
      </w:pPr>
    </w:p>
    <w:p w14:paraId="52E9DFF6">
      <w:pPr>
        <w:pStyle w:val="3"/>
        <w:numPr>
          <w:ilvl w:val="0"/>
          <w:numId w:val="0"/>
        </w:numPr>
        <w:spacing w:before="156" w:after="156" w:line="480" w:lineRule="auto"/>
        <w:jc w:val="center"/>
        <w:rPr>
          <w:rFonts w:hint="eastAsia" w:ascii="仿宋" w:hAnsi="仿宋" w:eastAsia="仿宋" w:cs="仿宋"/>
          <w:b/>
          <w:bCs/>
          <w:color w:val="auto"/>
          <w:kern w:val="2"/>
          <w:sz w:val="28"/>
          <w:szCs w:val="28"/>
          <w:highlight w:val="none"/>
          <w:lang w:val="en-US" w:eastAsia="zh-CN" w:bidi="ar-SA"/>
        </w:rPr>
      </w:pPr>
    </w:p>
    <w:p w14:paraId="6DF53EDE">
      <w:pPr>
        <w:pStyle w:val="3"/>
        <w:numPr>
          <w:ilvl w:val="0"/>
          <w:numId w:val="0"/>
        </w:numPr>
        <w:spacing w:before="156" w:after="156" w:line="48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十五、应急处置方案</w:t>
      </w:r>
    </w:p>
    <w:p w14:paraId="71ED4DCF">
      <w:pPr>
        <w:pStyle w:val="4"/>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包括但不限于</w:t>
      </w:r>
      <w:r>
        <w:rPr>
          <w:rFonts w:hint="eastAsia" w:ascii="仿宋" w:hAnsi="仿宋" w:eastAsia="仿宋" w:cs="仿宋"/>
          <w:b w:val="0"/>
          <w:bCs w:val="0"/>
          <w:color w:val="auto"/>
          <w:kern w:val="2"/>
          <w:sz w:val="24"/>
          <w:szCs w:val="24"/>
          <w:highlight w:val="none"/>
          <w:lang w:val="en-US" w:eastAsia="zh-CN" w:bidi="ar-SA"/>
        </w:rPr>
        <w:t>（具体详见评标标准，否则评审专家在评审时将不予采信）：</w:t>
      </w:r>
    </w:p>
    <w:p w14:paraId="28B46CB7">
      <w:pPr>
        <w:numPr>
          <w:ilvl w:val="0"/>
          <w:numId w:val="0"/>
        </w:numPr>
        <w:rPr>
          <w:rFonts w:hint="eastAsia" w:ascii="仿宋" w:hAnsi="仿宋" w:eastAsia="仿宋" w:cs="仿宋"/>
          <w:color w:val="auto"/>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投标人认为更有利于此次投标的其它资料；</w:t>
      </w:r>
    </w:p>
    <w:p w14:paraId="24523F6F">
      <w:pPr>
        <w:pStyle w:val="14"/>
        <w:rPr>
          <w:rFonts w:hint="eastAsia" w:ascii="仿宋" w:hAnsi="仿宋" w:eastAsia="仿宋" w:cs="仿宋"/>
          <w:color w:val="auto"/>
          <w:highlight w:val="none"/>
          <w:lang w:val="en-US" w:eastAsia="zh-CN"/>
        </w:rPr>
      </w:pPr>
    </w:p>
    <w:p w14:paraId="4D0291DB">
      <w:pPr>
        <w:jc w:val="center"/>
        <w:rPr>
          <w:rFonts w:hint="eastAsia" w:ascii="仿宋" w:hAnsi="仿宋" w:eastAsia="仿宋" w:cs="仿宋"/>
          <w:b/>
          <w:bCs/>
          <w:color w:val="auto"/>
          <w:kern w:val="2"/>
          <w:sz w:val="28"/>
          <w:szCs w:val="28"/>
          <w:highlight w:val="none"/>
          <w:lang w:val="en-US" w:eastAsia="zh-CN" w:bidi="ar-SA"/>
        </w:rPr>
      </w:pPr>
    </w:p>
    <w:p w14:paraId="48FA9D62">
      <w:pPr>
        <w:jc w:val="center"/>
        <w:rPr>
          <w:rFonts w:hint="eastAsia" w:ascii="仿宋" w:hAnsi="仿宋" w:eastAsia="仿宋" w:cs="仿宋"/>
          <w:b/>
          <w:bCs/>
          <w:color w:val="auto"/>
          <w:kern w:val="2"/>
          <w:sz w:val="28"/>
          <w:szCs w:val="28"/>
          <w:highlight w:val="none"/>
          <w:lang w:val="en-US" w:eastAsia="zh-CN" w:bidi="ar-SA"/>
        </w:rPr>
      </w:pPr>
    </w:p>
    <w:p w14:paraId="67DA1560">
      <w:pPr>
        <w:jc w:val="center"/>
        <w:rPr>
          <w:rFonts w:hint="eastAsia" w:ascii="仿宋" w:hAnsi="仿宋" w:eastAsia="仿宋" w:cs="仿宋"/>
          <w:b/>
          <w:bCs/>
          <w:color w:val="auto"/>
          <w:kern w:val="2"/>
          <w:sz w:val="28"/>
          <w:szCs w:val="28"/>
          <w:highlight w:val="none"/>
          <w:lang w:val="en-US" w:eastAsia="zh-CN" w:bidi="ar-SA"/>
        </w:rPr>
      </w:pPr>
    </w:p>
    <w:p w14:paraId="102D8850">
      <w:pPr>
        <w:rPr>
          <w:rFonts w:hint="eastAsia" w:ascii="仿宋" w:hAnsi="仿宋" w:eastAsia="仿宋" w:cs="仿宋"/>
          <w:color w:val="auto"/>
          <w:highlight w:val="none"/>
          <w:lang w:val="en-US" w:eastAsia="zh-CN"/>
        </w:rPr>
      </w:pPr>
    </w:p>
    <w:p w14:paraId="0C7D16AA">
      <w:pPr>
        <w:pStyle w:val="3"/>
        <w:numPr>
          <w:ilvl w:val="0"/>
          <w:numId w:val="0"/>
        </w:numPr>
        <w:spacing w:before="156" w:after="156" w:line="240" w:lineRule="auto"/>
        <w:jc w:val="center"/>
        <w:rPr>
          <w:rFonts w:hint="eastAsia" w:ascii="仿宋" w:hAnsi="仿宋" w:eastAsia="仿宋" w:cs="仿宋"/>
          <w:b/>
          <w:bCs/>
          <w:color w:val="auto"/>
          <w:kern w:val="2"/>
          <w:sz w:val="22"/>
          <w:szCs w:val="22"/>
          <w:highlight w:val="none"/>
          <w:lang w:val="en-US" w:eastAsia="zh-CN" w:bidi="ar-SA"/>
        </w:rPr>
      </w:pPr>
    </w:p>
    <w:p w14:paraId="70D03BDA">
      <w:pPr>
        <w:pStyle w:val="3"/>
        <w:numPr>
          <w:ilvl w:val="0"/>
          <w:numId w:val="0"/>
        </w:numPr>
        <w:spacing w:before="156" w:after="156" w:line="48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十六、</w:t>
      </w:r>
      <w:bookmarkEnd w:id="154"/>
      <w:r>
        <w:rPr>
          <w:rFonts w:hint="eastAsia" w:ascii="仿宋" w:hAnsi="仿宋" w:eastAsia="仿宋" w:cs="仿宋"/>
          <w:b/>
          <w:bCs/>
          <w:color w:val="auto"/>
          <w:kern w:val="2"/>
          <w:sz w:val="28"/>
          <w:szCs w:val="28"/>
          <w:highlight w:val="none"/>
          <w:lang w:val="en-US" w:eastAsia="zh-CN" w:bidi="ar-SA"/>
        </w:rPr>
        <w:t>现场管理与培训体系</w:t>
      </w:r>
    </w:p>
    <w:p w14:paraId="295F5C46">
      <w:pPr>
        <w:pStyle w:val="4"/>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包括但不限于</w:t>
      </w:r>
      <w:r>
        <w:rPr>
          <w:rFonts w:hint="eastAsia" w:ascii="仿宋" w:hAnsi="仿宋" w:eastAsia="仿宋" w:cs="仿宋"/>
          <w:b w:val="0"/>
          <w:bCs w:val="0"/>
          <w:color w:val="auto"/>
          <w:kern w:val="2"/>
          <w:sz w:val="24"/>
          <w:szCs w:val="24"/>
          <w:highlight w:val="none"/>
          <w:lang w:val="en-US" w:eastAsia="zh-CN" w:bidi="ar-SA"/>
        </w:rPr>
        <w:t>（具体详见评标标准，否则评审专家在评审时将不予采信）：</w:t>
      </w:r>
    </w:p>
    <w:p w14:paraId="68D3A5A3">
      <w:p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投标人认为更有利于此次投标的其它资料；</w:t>
      </w:r>
    </w:p>
    <w:p w14:paraId="10542F09">
      <w:pPr>
        <w:rPr>
          <w:rFonts w:hint="eastAsia" w:ascii="仿宋" w:hAnsi="仿宋" w:eastAsia="仿宋" w:cs="仿宋"/>
          <w:b w:val="0"/>
          <w:bCs w:val="0"/>
          <w:color w:val="auto"/>
          <w:kern w:val="2"/>
          <w:sz w:val="24"/>
          <w:szCs w:val="24"/>
          <w:highlight w:val="none"/>
          <w:lang w:val="en-US" w:eastAsia="zh-CN" w:bidi="ar-SA"/>
        </w:rPr>
      </w:pPr>
    </w:p>
    <w:p w14:paraId="05B2C4E1">
      <w:pPr>
        <w:pStyle w:val="14"/>
        <w:rPr>
          <w:rFonts w:hint="eastAsia" w:ascii="仿宋" w:hAnsi="仿宋" w:eastAsia="仿宋" w:cs="仿宋"/>
          <w:b w:val="0"/>
          <w:bCs w:val="0"/>
          <w:color w:val="auto"/>
          <w:kern w:val="2"/>
          <w:sz w:val="24"/>
          <w:szCs w:val="24"/>
          <w:highlight w:val="none"/>
          <w:lang w:val="en-US" w:eastAsia="zh-CN" w:bidi="ar-SA"/>
        </w:rPr>
      </w:pPr>
    </w:p>
    <w:p w14:paraId="292AF132">
      <w:pPr>
        <w:pStyle w:val="14"/>
        <w:rPr>
          <w:rFonts w:hint="eastAsia" w:ascii="仿宋" w:hAnsi="仿宋" w:eastAsia="仿宋" w:cs="仿宋"/>
          <w:b w:val="0"/>
          <w:bCs w:val="0"/>
          <w:color w:val="auto"/>
          <w:kern w:val="2"/>
          <w:sz w:val="24"/>
          <w:szCs w:val="24"/>
          <w:highlight w:val="none"/>
          <w:lang w:val="en-US" w:eastAsia="zh-CN" w:bidi="ar-SA"/>
        </w:rPr>
      </w:pPr>
    </w:p>
    <w:p w14:paraId="2989C9D3">
      <w:pPr>
        <w:pStyle w:val="14"/>
        <w:rPr>
          <w:rFonts w:hint="eastAsia" w:ascii="仿宋" w:hAnsi="仿宋" w:eastAsia="仿宋" w:cs="仿宋"/>
          <w:b w:val="0"/>
          <w:bCs w:val="0"/>
          <w:color w:val="auto"/>
          <w:kern w:val="2"/>
          <w:sz w:val="24"/>
          <w:szCs w:val="24"/>
          <w:highlight w:val="none"/>
          <w:lang w:val="en-US" w:eastAsia="zh-CN" w:bidi="ar-SA"/>
        </w:rPr>
      </w:pPr>
    </w:p>
    <w:p w14:paraId="1C146DD1">
      <w:pPr>
        <w:rPr>
          <w:rFonts w:hint="eastAsia" w:ascii="仿宋" w:hAnsi="仿宋" w:eastAsia="仿宋" w:cs="仿宋"/>
          <w:color w:val="auto"/>
          <w:highlight w:val="none"/>
          <w:lang w:val="en-US" w:eastAsia="zh-CN"/>
        </w:rPr>
      </w:pPr>
    </w:p>
    <w:p w14:paraId="06DFDD4C">
      <w:pPr>
        <w:rPr>
          <w:rFonts w:hint="eastAsia" w:ascii="仿宋" w:hAnsi="仿宋" w:eastAsia="仿宋" w:cs="仿宋"/>
          <w:color w:val="auto"/>
          <w:highlight w:val="none"/>
          <w:lang w:val="en-US" w:eastAsia="zh-CN"/>
        </w:rPr>
      </w:pPr>
    </w:p>
    <w:p w14:paraId="77F5378C">
      <w:pPr>
        <w:rPr>
          <w:rFonts w:hint="eastAsia" w:ascii="仿宋" w:hAnsi="仿宋" w:eastAsia="仿宋" w:cs="仿宋"/>
          <w:color w:val="auto"/>
          <w:highlight w:val="none"/>
          <w:lang w:val="en-US" w:eastAsia="zh-CN"/>
        </w:rPr>
      </w:pPr>
    </w:p>
    <w:p w14:paraId="4BD44D4B">
      <w:pPr>
        <w:pStyle w:val="3"/>
        <w:numPr>
          <w:ilvl w:val="0"/>
          <w:numId w:val="0"/>
        </w:numPr>
        <w:spacing w:before="156" w:after="156" w:line="48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十七、工资发放保障方案</w:t>
      </w:r>
    </w:p>
    <w:p w14:paraId="219FE66E">
      <w:pPr>
        <w:pStyle w:val="4"/>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包括但不限于</w:t>
      </w:r>
      <w:r>
        <w:rPr>
          <w:rFonts w:hint="eastAsia" w:ascii="仿宋" w:hAnsi="仿宋" w:eastAsia="仿宋" w:cs="仿宋"/>
          <w:b w:val="0"/>
          <w:bCs w:val="0"/>
          <w:color w:val="auto"/>
          <w:kern w:val="2"/>
          <w:sz w:val="24"/>
          <w:szCs w:val="24"/>
          <w:highlight w:val="none"/>
          <w:lang w:val="en-US" w:eastAsia="zh-CN" w:bidi="ar-SA"/>
        </w:rPr>
        <w:t>（具体详见评标标准，否则评审专家在评审时将不予采信）：</w:t>
      </w:r>
    </w:p>
    <w:p w14:paraId="67CB47B7">
      <w:p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投标人认为更有利于此次投标的其它资料；</w:t>
      </w:r>
    </w:p>
    <w:p w14:paraId="6CE17021">
      <w:pPr>
        <w:rPr>
          <w:rFonts w:hint="eastAsia" w:ascii="仿宋" w:hAnsi="仿宋" w:eastAsia="仿宋" w:cs="仿宋"/>
          <w:color w:val="auto"/>
          <w:highlight w:val="none"/>
          <w:lang w:val="en-US" w:eastAsia="zh-CN"/>
        </w:rPr>
      </w:pPr>
    </w:p>
    <w:p w14:paraId="1CB24DE9">
      <w:pPr>
        <w:rPr>
          <w:rFonts w:hint="eastAsia" w:ascii="仿宋" w:hAnsi="仿宋" w:eastAsia="仿宋" w:cs="仿宋"/>
          <w:color w:val="auto"/>
          <w:highlight w:val="none"/>
          <w:lang w:val="en-US" w:eastAsia="zh-CN"/>
        </w:rPr>
      </w:pPr>
    </w:p>
    <w:p w14:paraId="080DE3FD">
      <w:pPr>
        <w:rPr>
          <w:rFonts w:hint="eastAsia" w:ascii="仿宋" w:hAnsi="仿宋" w:eastAsia="仿宋" w:cs="仿宋"/>
          <w:color w:val="auto"/>
          <w:highlight w:val="none"/>
          <w:lang w:val="en-US" w:eastAsia="zh-CN"/>
        </w:rPr>
      </w:pPr>
    </w:p>
    <w:p w14:paraId="477A0732">
      <w:pPr>
        <w:rPr>
          <w:rFonts w:hint="eastAsia" w:ascii="仿宋" w:hAnsi="仿宋" w:eastAsia="仿宋" w:cs="仿宋"/>
          <w:color w:val="auto"/>
          <w:highlight w:val="none"/>
          <w:lang w:val="en-US" w:eastAsia="zh-CN"/>
        </w:rPr>
      </w:pPr>
    </w:p>
    <w:p w14:paraId="5A910314">
      <w:pPr>
        <w:rPr>
          <w:rFonts w:hint="eastAsia" w:ascii="仿宋" w:hAnsi="仿宋" w:eastAsia="仿宋" w:cs="仿宋"/>
          <w:color w:val="auto"/>
          <w:highlight w:val="none"/>
          <w:lang w:val="en-US" w:eastAsia="zh-CN"/>
        </w:rPr>
      </w:pPr>
    </w:p>
    <w:p w14:paraId="447AF29B">
      <w:pPr>
        <w:rPr>
          <w:rFonts w:hint="eastAsia" w:ascii="仿宋" w:hAnsi="仿宋" w:eastAsia="仿宋" w:cs="仿宋"/>
          <w:color w:val="auto"/>
          <w:highlight w:val="none"/>
          <w:lang w:val="en-US" w:eastAsia="zh-CN"/>
        </w:rPr>
      </w:pPr>
    </w:p>
    <w:p w14:paraId="5F8C96A3">
      <w:pPr>
        <w:rPr>
          <w:rFonts w:hint="eastAsia" w:ascii="仿宋" w:hAnsi="仿宋" w:eastAsia="仿宋" w:cs="仿宋"/>
          <w:color w:val="auto"/>
          <w:highlight w:val="none"/>
          <w:lang w:val="en-US" w:eastAsia="zh-CN"/>
        </w:rPr>
      </w:pPr>
    </w:p>
    <w:p w14:paraId="1C2D5083">
      <w:pPr>
        <w:rPr>
          <w:rFonts w:hint="eastAsia" w:ascii="仿宋" w:hAnsi="仿宋" w:eastAsia="仿宋" w:cs="仿宋"/>
          <w:color w:val="auto"/>
          <w:highlight w:val="none"/>
          <w:lang w:val="en-US" w:eastAsia="zh-CN"/>
        </w:rPr>
      </w:pPr>
    </w:p>
    <w:p w14:paraId="18193BF1">
      <w:pPr>
        <w:rPr>
          <w:rFonts w:hint="eastAsia" w:ascii="仿宋" w:hAnsi="仿宋" w:eastAsia="仿宋" w:cs="仿宋"/>
          <w:color w:val="auto"/>
          <w:highlight w:val="none"/>
          <w:lang w:val="en-US" w:eastAsia="zh-CN"/>
        </w:rPr>
      </w:pPr>
    </w:p>
    <w:p w14:paraId="49B3E939">
      <w:pPr>
        <w:pStyle w:val="3"/>
        <w:numPr>
          <w:ilvl w:val="0"/>
          <w:numId w:val="0"/>
        </w:numPr>
        <w:spacing w:before="156" w:after="156" w:line="48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十八、月度考核方案</w:t>
      </w:r>
    </w:p>
    <w:p w14:paraId="1DA4FCB7">
      <w:pPr>
        <w:pStyle w:val="4"/>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包括但不限于</w:t>
      </w:r>
      <w:r>
        <w:rPr>
          <w:rFonts w:hint="eastAsia" w:ascii="仿宋" w:hAnsi="仿宋" w:eastAsia="仿宋" w:cs="仿宋"/>
          <w:b w:val="0"/>
          <w:bCs w:val="0"/>
          <w:color w:val="auto"/>
          <w:kern w:val="2"/>
          <w:sz w:val="24"/>
          <w:szCs w:val="24"/>
          <w:highlight w:val="none"/>
          <w:lang w:val="en-US" w:eastAsia="zh-CN" w:bidi="ar-SA"/>
        </w:rPr>
        <w:t>（具体详见评标标准，否则评审专家在评审时将不予采信）：</w:t>
      </w:r>
    </w:p>
    <w:p w14:paraId="338EA22D">
      <w:pPr>
        <w:spacing w:line="240" w:lineRule="auto"/>
        <w:rPr>
          <w:rFonts w:hint="eastAsia" w:ascii="仿宋" w:hAnsi="仿宋" w:eastAsia="仿宋" w:cs="仿宋"/>
          <w:color w:val="auto"/>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投标人认为更有利于此次投标的其它资料；</w:t>
      </w:r>
    </w:p>
    <w:p w14:paraId="3EA235D3">
      <w:pPr>
        <w:rPr>
          <w:rFonts w:hint="eastAsia" w:ascii="仿宋" w:hAnsi="仿宋" w:eastAsia="仿宋" w:cs="仿宋"/>
          <w:color w:val="auto"/>
          <w:highlight w:val="none"/>
          <w:lang w:val="en-US" w:eastAsia="zh-CN"/>
        </w:rPr>
      </w:pPr>
    </w:p>
    <w:p w14:paraId="03E0344A">
      <w:pPr>
        <w:rPr>
          <w:rFonts w:hint="eastAsia" w:ascii="仿宋" w:hAnsi="仿宋" w:eastAsia="仿宋" w:cs="仿宋"/>
          <w:color w:val="auto"/>
          <w:highlight w:val="none"/>
          <w:lang w:val="en-US" w:eastAsia="zh-CN"/>
        </w:rPr>
      </w:pPr>
    </w:p>
    <w:p w14:paraId="1130B358">
      <w:pPr>
        <w:rPr>
          <w:rFonts w:hint="eastAsia" w:ascii="仿宋" w:hAnsi="仿宋" w:eastAsia="仿宋" w:cs="仿宋"/>
          <w:color w:val="auto"/>
          <w:highlight w:val="none"/>
          <w:lang w:val="en-US" w:eastAsia="zh-CN"/>
        </w:rPr>
      </w:pPr>
    </w:p>
    <w:p w14:paraId="73C5C339">
      <w:pPr>
        <w:rPr>
          <w:rFonts w:hint="eastAsia" w:ascii="仿宋" w:hAnsi="仿宋" w:eastAsia="仿宋" w:cs="仿宋"/>
          <w:color w:val="auto"/>
          <w:highlight w:val="none"/>
          <w:lang w:val="en-US" w:eastAsia="zh-CN"/>
        </w:rPr>
      </w:pPr>
    </w:p>
    <w:p w14:paraId="7B515896">
      <w:pPr>
        <w:rPr>
          <w:rFonts w:hint="eastAsia" w:ascii="仿宋" w:hAnsi="仿宋" w:eastAsia="仿宋" w:cs="仿宋"/>
          <w:color w:val="auto"/>
          <w:highlight w:val="none"/>
          <w:lang w:val="en-US" w:eastAsia="zh-CN"/>
        </w:rPr>
      </w:pPr>
    </w:p>
    <w:p w14:paraId="270BCBCD">
      <w:pPr>
        <w:rPr>
          <w:rFonts w:hint="eastAsia" w:ascii="仿宋" w:hAnsi="仿宋" w:eastAsia="仿宋" w:cs="仿宋"/>
          <w:color w:val="auto"/>
          <w:highlight w:val="none"/>
          <w:lang w:val="en-US" w:eastAsia="zh-CN"/>
        </w:rPr>
      </w:pPr>
    </w:p>
    <w:p w14:paraId="14A07F15">
      <w:pPr>
        <w:rPr>
          <w:rFonts w:hint="eastAsia" w:ascii="仿宋" w:hAnsi="仿宋" w:eastAsia="仿宋" w:cs="仿宋"/>
          <w:color w:val="auto"/>
          <w:highlight w:val="none"/>
          <w:lang w:val="en-US" w:eastAsia="zh-CN"/>
        </w:rPr>
      </w:pPr>
    </w:p>
    <w:p w14:paraId="3EF44424">
      <w:pPr>
        <w:rPr>
          <w:rFonts w:hint="eastAsia" w:ascii="仿宋" w:hAnsi="仿宋" w:eastAsia="仿宋" w:cs="仿宋"/>
          <w:color w:val="auto"/>
          <w:highlight w:val="none"/>
          <w:lang w:val="en-US" w:eastAsia="zh-CN"/>
        </w:rPr>
      </w:pPr>
    </w:p>
    <w:p w14:paraId="463A8537">
      <w:pPr>
        <w:pStyle w:val="14"/>
        <w:rPr>
          <w:rFonts w:hint="eastAsia" w:ascii="仿宋" w:hAnsi="仿宋" w:eastAsia="仿宋" w:cs="仿宋"/>
          <w:color w:val="auto"/>
          <w:highlight w:val="none"/>
          <w:lang w:val="en-US" w:eastAsia="zh-CN"/>
        </w:rPr>
      </w:pPr>
    </w:p>
    <w:p w14:paraId="6B5F1D9A">
      <w:pPr>
        <w:pStyle w:val="14"/>
        <w:spacing w:line="360" w:lineRule="auto"/>
        <w:rPr>
          <w:rFonts w:hint="eastAsia" w:ascii="仿宋" w:hAnsi="仿宋" w:eastAsia="仿宋" w:cs="仿宋"/>
          <w:color w:val="auto"/>
          <w:sz w:val="24"/>
          <w:szCs w:val="32"/>
          <w:highlight w:val="none"/>
          <w:lang w:val="en-US" w:eastAsia="zh-CN"/>
        </w:rPr>
      </w:pPr>
    </w:p>
    <w:p w14:paraId="3507CB53">
      <w:pPr>
        <w:pStyle w:val="3"/>
        <w:numPr>
          <w:ilvl w:val="0"/>
          <w:numId w:val="0"/>
        </w:numPr>
        <w:spacing w:before="156" w:after="156" w:line="480" w:lineRule="auto"/>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十九、管理制度方案</w:t>
      </w:r>
    </w:p>
    <w:p w14:paraId="7D7FD136">
      <w:pPr>
        <w:pStyle w:val="4"/>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包括但不限于</w:t>
      </w:r>
      <w:r>
        <w:rPr>
          <w:rFonts w:hint="eastAsia" w:ascii="仿宋" w:hAnsi="仿宋" w:eastAsia="仿宋" w:cs="仿宋"/>
          <w:b w:val="0"/>
          <w:bCs w:val="0"/>
          <w:color w:val="auto"/>
          <w:kern w:val="2"/>
          <w:sz w:val="24"/>
          <w:szCs w:val="24"/>
          <w:highlight w:val="none"/>
          <w:lang w:val="en-US" w:eastAsia="zh-CN" w:bidi="ar-SA"/>
        </w:rPr>
        <w:t>（具体详见评标标准，否则评审专家在评审时将不予采信）：</w:t>
      </w:r>
    </w:p>
    <w:p w14:paraId="004E5528">
      <w:pPr>
        <w:spacing w:line="24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投标人认为更有利于此次投标的其它资料；</w:t>
      </w:r>
    </w:p>
    <w:p w14:paraId="3F759E3B">
      <w:pPr>
        <w:spacing w:line="600" w:lineRule="auto"/>
        <w:jc w:val="center"/>
        <w:rPr>
          <w:rFonts w:hint="eastAsia" w:ascii="仿宋" w:hAnsi="仿宋" w:eastAsia="仿宋" w:cs="仿宋"/>
          <w:b/>
          <w:bCs/>
          <w:color w:val="auto"/>
          <w:spacing w:val="60"/>
          <w:sz w:val="32"/>
          <w:szCs w:val="32"/>
          <w:highlight w:val="none"/>
        </w:rPr>
      </w:pPr>
    </w:p>
    <w:p w14:paraId="76164696">
      <w:pPr>
        <w:spacing w:line="600" w:lineRule="auto"/>
        <w:jc w:val="center"/>
        <w:rPr>
          <w:rFonts w:hint="eastAsia" w:ascii="仿宋" w:hAnsi="仿宋" w:eastAsia="仿宋" w:cs="仿宋"/>
          <w:b/>
          <w:bCs/>
          <w:color w:val="auto"/>
          <w:spacing w:val="60"/>
          <w:sz w:val="32"/>
          <w:szCs w:val="32"/>
          <w:highlight w:val="none"/>
        </w:rPr>
      </w:pPr>
    </w:p>
    <w:p w14:paraId="26578C5B">
      <w:pPr>
        <w:spacing w:line="600" w:lineRule="auto"/>
        <w:jc w:val="center"/>
        <w:rPr>
          <w:rFonts w:hint="eastAsia" w:ascii="仿宋" w:hAnsi="仿宋" w:eastAsia="仿宋" w:cs="仿宋"/>
          <w:b/>
          <w:bCs/>
          <w:color w:val="auto"/>
          <w:spacing w:val="60"/>
          <w:sz w:val="32"/>
          <w:szCs w:val="32"/>
          <w:highlight w:val="none"/>
        </w:rPr>
      </w:pPr>
    </w:p>
    <w:p w14:paraId="53957935">
      <w:pPr>
        <w:spacing w:line="600" w:lineRule="auto"/>
        <w:jc w:val="center"/>
        <w:rPr>
          <w:rFonts w:hint="eastAsia" w:ascii="仿宋" w:hAnsi="仿宋" w:eastAsia="仿宋" w:cs="仿宋"/>
          <w:b/>
          <w:bCs/>
          <w:color w:val="auto"/>
          <w:spacing w:val="60"/>
          <w:sz w:val="32"/>
          <w:szCs w:val="32"/>
          <w:highlight w:val="none"/>
        </w:rPr>
      </w:pPr>
    </w:p>
    <w:p w14:paraId="60CCAB42">
      <w:pPr>
        <w:pStyle w:val="3"/>
        <w:numPr>
          <w:ilvl w:val="0"/>
          <w:numId w:val="0"/>
        </w:numPr>
        <w:spacing w:before="156" w:after="156" w:line="360" w:lineRule="auto"/>
        <w:jc w:val="center"/>
        <w:rPr>
          <w:rFonts w:hint="eastAsia" w:ascii="仿宋" w:hAnsi="仿宋" w:eastAsia="仿宋" w:cs="仿宋"/>
          <w:b/>
          <w:bCs/>
          <w:color w:val="auto"/>
          <w:kern w:val="2"/>
          <w:sz w:val="24"/>
          <w:szCs w:val="24"/>
          <w:highlight w:val="none"/>
          <w:lang w:val="en-US" w:eastAsia="zh-CN" w:bidi="ar-SA"/>
        </w:rPr>
      </w:pPr>
    </w:p>
    <w:p w14:paraId="11B62774">
      <w:pPr>
        <w:pStyle w:val="3"/>
        <w:numPr>
          <w:ilvl w:val="0"/>
          <w:numId w:val="0"/>
        </w:numPr>
        <w:spacing w:before="156" w:after="156" w:line="480" w:lineRule="auto"/>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二十、供应商认为需要提供的其他资料</w:t>
      </w:r>
      <w:bookmarkStart w:id="163" w:name="_GoBack"/>
      <w:bookmarkEnd w:id="163"/>
    </w:p>
    <w:p w14:paraId="0D9F289D">
      <w:pPr>
        <w:pStyle w:val="89"/>
        <w:widowControl w:val="0"/>
        <w:numPr>
          <w:ilvl w:val="0"/>
          <w:numId w:val="0"/>
        </w:numPr>
        <w:adjustRightInd w:val="0"/>
        <w:jc w:val="center"/>
        <w:textAlignment w:val="baseline"/>
        <w:rPr>
          <w:rFonts w:hint="eastAsia" w:ascii="仿宋" w:hAnsi="仿宋" w:eastAsia="仿宋" w:cs="仿宋"/>
          <w:b w:val="0"/>
          <w:bCs w:val="0"/>
          <w:color w:val="auto"/>
          <w:sz w:val="24"/>
          <w:szCs w:val="24"/>
          <w:highlight w:val="none"/>
          <w:lang w:val="en-US" w:eastAsia="zh-CN"/>
        </w:rPr>
      </w:pPr>
    </w:p>
    <w:p w14:paraId="2AAF4957">
      <w:pPr>
        <w:pStyle w:val="89"/>
        <w:widowControl w:val="0"/>
        <w:numPr>
          <w:ilvl w:val="0"/>
          <w:numId w:val="0"/>
        </w:numPr>
        <w:wordWrap/>
        <w:adjustRightInd w:val="0"/>
        <w:snapToGrid/>
        <w:spacing w:line="408" w:lineRule="auto"/>
        <w:jc w:val="center"/>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（提供此次投标的其它承诺书及</w:t>
      </w:r>
      <w:r>
        <w:rPr>
          <w:rFonts w:hint="eastAsia" w:ascii="仿宋" w:hAnsi="仿宋" w:eastAsia="仿宋" w:cs="仿宋"/>
          <w:b w:val="0"/>
          <w:bCs w:val="0"/>
          <w:color w:val="auto"/>
          <w:kern w:val="2"/>
          <w:sz w:val="24"/>
          <w:szCs w:val="24"/>
          <w:highlight w:val="none"/>
          <w:lang w:val="en-US" w:eastAsia="zh-CN" w:bidi="ar-SA"/>
        </w:rPr>
        <w:t>投标人认为更有利于此次投标的其它材料</w:t>
      </w:r>
      <w:r>
        <w:rPr>
          <w:rFonts w:hint="eastAsia" w:ascii="仿宋" w:hAnsi="仿宋" w:eastAsia="仿宋" w:cs="仿宋"/>
          <w:b w:val="0"/>
          <w:bCs w:val="0"/>
          <w:color w:val="auto"/>
          <w:sz w:val="24"/>
          <w:szCs w:val="24"/>
          <w:highlight w:val="none"/>
          <w:lang w:val="en-US" w:eastAsia="zh-CN"/>
        </w:rPr>
        <w:t>，</w:t>
      </w:r>
    </w:p>
    <w:p w14:paraId="437B6948">
      <w:pPr>
        <w:pStyle w:val="89"/>
        <w:widowControl w:val="0"/>
        <w:numPr>
          <w:ilvl w:val="0"/>
          <w:numId w:val="0"/>
        </w:numPr>
        <w:adjustRightInd w:val="0"/>
        <w:spacing w:line="360" w:lineRule="auto"/>
        <w:jc w:val="center"/>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可在此附件中提交或填写；投标人须对证明材料的真实性和有效性负责，</w:t>
      </w:r>
    </w:p>
    <w:p w14:paraId="16C5E40F">
      <w:pPr>
        <w:pStyle w:val="89"/>
        <w:widowControl w:val="0"/>
        <w:numPr>
          <w:ilvl w:val="0"/>
          <w:numId w:val="0"/>
        </w:numPr>
        <w:wordWrap/>
        <w:adjustRightInd w:val="0"/>
        <w:snapToGrid/>
        <w:spacing w:line="408" w:lineRule="auto"/>
        <w:jc w:val="center"/>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若提供虚假证明材料，则按相关法规规定执行处罚。）</w:t>
      </w:r>
    </w:p>
    <w:p w14:paraId="2E9E8F1F">
      <w:pPr>
        <w:spacing w:line="360" w:lineRule="auto"/>
        <w:jc w:val="center"/>
        <w:rPr>
          <w:rFonts w:hint="eastAsia" w:ascii="仿宋" w:hAnsi="仿宋" w:eastAsia="仿宋" w:cs="仿宋"/>
          <w:b/>
          <w:bCs/>
          <w:color w:val="auto"/>
          <w:spacing w:val="60"/>
          <w:sz w:val="28"/>
          <w:szCs w:val="28"/>
          <w:highlight w:val="none"/>
        </w:rPr>
      </w:pPr>
    </w:p>
    <w:p w14:paraId="7F0E43A7">
      <w:pPr>
        <w:spacing w:line="360" w:lineRule="auto"/>
        <w:jc w:val="center"/>
        <w:rPr>
          <w:rFonts w:hint="eastAsia" w:ascii="仿宋" w:hAnsi="仿宋" w:eastAsia="仿宋" w:cs="仿宋"/>
          <w:b/>
          <w:bCs/>
          <w:color w:val="auto"/>
          <w:spacing w:val="60"/>
          <w:sz w:val="28"/>
          <w:szCs w:val="28"/>
          <w:highlight w:val="none"/>
        </w:rPr>
      </w:pPr>
    </w:p>
    <w:p w14:paraId="3D7DC04F">
      <w:pPr>
        <w:spacing w:line="360" w:lineRule="auto"/>
        <w:jc w:val="center"/>
        <w:rPr>
          <w:rFonts w:hint="eastAsia" w:ascii="仿宋" w:hAnsi="仿宋" w:eastAsia="仿宋" w:cs="仿宋"/>
          <w:b/>
          <w:bCs/>
          <w:color w:val="auto"/>
          <w:spacing w:val="60"/>
          <w:sz w:val="28"/>
          <w:szCs w:val="28"/>
          <w:highlight w:val="none"/>
        </w:rPr>
      </w:pPr>
    </w:p>
    <w:p w14:paraId="707D7E6F">
      <w:pPr>
        <w:spacing w:line="360" w:lineRule="auto"/>
        <w:jc w:val="center"/>
        <w:rPr>
          <w:rFonts w:hint="eastAsia" w:ascii="仿宋" w:hAnsi="仿宋" w:eastAsia="仿宋" w:cs="仿宋"/>
          <w:b/>
          <w:bCs/>
          <w:color w:val="auto"/>
          <w:spacing w:val="60"/>
          <w:sz w:val="28"/>
          <w:szCs w:val="28"/>
          <w:highlight w:val="none"/>
        </w:rPr>
      </w:pPr>
    </w:p>
    <w:p w14:paraId="3F75AEA9">
      <w:pPr>
        <w:spacing w:line="360" w:lineRule="auto"/>
        <w:jc w:val="center"/>
        <w:rPr>
          <w:rFonts w:hint="eastAsia" w:ascii="仿宋" w:hAnsi="仿宋" w:eastAsia="仿宋" w:cs="仿宋"/>
          <w:b/>
          <w:bCs/>
          <w:color w:val="auto"/>
          <w:spacing w:val="60"/>
          <w:sz w:val="28"/>
          <w:szCs w:val="28"/>
          <w:highlight w:val="none"/>
        </w:rPr>
      </w:pPr>
    </w:p>
    <w:p w14:paraId="164E4569">
      <w:pPr>
        <w:spacing w:line="360" w:lineRule="auto"/>
        <w:jc w:val="center"/>
        <w:rPr>
          <w:rFonts w:hint="eastAsia" w:ascii="仿宋" w:hAnsi="仿宋" w:eastAsia="仿宋" w:cs="仿宋"/>
          <w:b/>
          <w:bCs/>
          <w:color w:val="auto"/>
          <w:spacing w:val="60"/>
          <w:sz w:val="28"/>
          <w:szCs w:val="28"/>
          <w:highlight w:val="none"/>
        </w:rPr>
      </w:pPr>
    </w:p>
    <w:p w14:paraId="0360755D">
      <w:pPr>
        <w:spacing w:line="360" w:lineRule="auto"/>
        <w:jc w:val="center"/>
        <w:rPr>
          <w:rFonts w:hint="eastAsia" w:ascii="仿宋" w:hAnsi="仿宋" w:eastAsia="仿宋" w:cs="仿宋"/>
          <w:b/>
          <w:bCs/>
          <w:color w:val="auto"/>
          <w:spacing w:val="60"/>
          <w:sz w:val="28"/>
          <w:szCs w:val="28"/>
          <w:highlight w:val="none"/>
        </w:rPr>
      </w:pPr>
    </w:p>
    <w:p w14:paraId="68DEDE39">
      <w:pPr>
        <w:spacing w:line="360" w:lineRule="auto"/>
        <w:jc w:val="center"/>
        <w:rPr>
          <w:rFonts w:hint="eastAsia" w:ascii="仿宋" w:hAnsi="仿宋" w:eastAsia="仿宋" w:cs="仿宋"/>
          <w:b/>
          <w:bCs/>
          <w:color w:val="auto"/>
          <w:spacing w:val="60"/>
          <w:sz w:val="28"/>
          <w:szCs w:val="28"/>
          <w:highlight w:val="none"/>
        </w:rPr>
      </w:pPr>
    </w:p>
    <w:p w14:paraId="2D254457">
      <w:pPr>
        <w:spacing w:line="600"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spacing w:val="60"/>
          <w:sz w:val="32"/>
          <w:szCs w:val="32"/>
          <w:highlight w:val="none"/>
        </w:rPr>
        <w:t>注意事项</w:t>
      </w:r>
      <w:bookmarkEnd w:id="155"/>
      <w:bookmarkEnd w:id="156"/>
      <w:bookmarkEnd w:id="157"/>
      <w:bookmarkEnd w:id="158"/>
      <w:bookmarkEnd w:id="159"/>
      <w:bookmarkEnd w:id="160"/>
    </w:p>
    <w:p w14:paraId="07E535E2">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1、投标人对所附表格中要求的资料和询问应做出肯定的回答。</w:t>
      </w:r>
    </w:p>
    <w:p w14:paraId="6F6555E5">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文件的签字人应保证他所做的声明及对一切问题的回答的真实性和准确。</w:t>
      </w:r>
    </w:p>
    <w:p w14:paraId="1BD53400">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3、投标人提供的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文件将由招标人使用，并据此进行评价和判断，确定投标人的能力。</w:t>
      </w:r>
    </w:p>
    <w:p w14:paraId="0CF2F7FF">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4、投标人提交的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文件将给予保密，但不退还。</w:t>
      </w:r>
    </w:p>
    <w:p w14:paraId="132DAA4E">
      <w:pPr>
        <w:spacing w:line="240" w:lineRule="auto"/>
        <w:rPr>
          <w:rFonts w:hint="eastAsia" w:ascii="仿宋" w:hAnsi="仿宋" w:eastAsia="仿宋" w:cs="仿宋"/>
          <w:color w:val="auto"/>
          <w:sz w:val="20"/>
          <w:highlight w:val="none"/>
        </w:rPr>
      </w:pPr>
      <w:r>
        <w:rPr>
          <w:rFonts w:hint="eastAsia" w:ascii="仿宋" w:hAnsi="仿宋" w:eastAsia="仿宋" w:cs="仿宋"/>
          <w:color w:val="auto"/>
          <w:sz w:val="28"/>
          <w:szCs w:val="28"/>
          <w:highlight w:val="none"/>
        </w:rPr>
        <w:t xml:space="preserve">  </w:t>
      </w:r>
    </w:p>
    <w:p w14:paraId="5BE866DE">
      <w:pPr>
        <w:spacing w:line="240" w:lineRule="auto"/>
        <w:rPr>
          <w:rFonts w:hint="eastAsia" w:ascii="仿宋" w:hAnsi="仿宋" w:eastAsia="仿宋" w:cs="仿宋"/>
          <w:color w:val="auto"/>
          <w:sz w:val="20"/>
          <w:highlight w:val="none"/>
        </w:rPr>
      </w:pPr>
    </w:p>
    <w:p w14:paraId="5F637AFD">
      <w:pPr>
        <w:spacing w:line="240" w:lineRule="auto"/>
        <w:rPr>
          <w:rFonts w:hint="eastAsia" w:ascii="仿宋" w:hAnsi="仿宋" w:eastAsia="仿宋" w:cs="仿宋"/>
          <w:color w:val="auto"/>
          <w:sz w:val="20"/>
          <w:highlight w:val="none"/>
        </w:rPr>
      </w:pPr>
    </w:p>
    <w:p w14:paraId="2198E471">
      <w:pPr>
        <w:spacing w:line="240" w:lineRule="auto"/>
        <w:rPr>
          <w:rFonts w:hint="eastAsia" w:ascii="仿宋" w:hAnsi="仿宋" w:eastAsia="仿宋" w:cs="仿宋"/>
          <w:color w:val="auto"/>
          <w:sz w:val="20"/>
          <w:highlight w:val="none"/>
        </w:rPr>
      </w:pPr>
    </w:p>
    <w:p w14:paraId="46F0D5D5">
      <w:pPr>
        <w:spacing w:line="240" w:lineRule="auto"/>
        <w:jc w:val="center"/>
        <w:rPr>
          <w:rFonts w:hint="eastAsia" w:ascii="仿宋" w:hAnsi="仿宋" w:eastAsia="仿宋" w:cs="仿宋"/>
          <w:b/>
          <w:bCs/>
          <w:color w:val="auto"/>
          <w:sz w:val="44"/>
          <w:szCs w:val="44"/>
          <w:highlight w:val="none"/>
        </w:rPr>
      </w:pPr>
    </w:p>
    <w:p w14:paraId="0B673306">
      <w:pPr>
        <w:spacing w:line="380" w:lineRule="exact"/>
        <w:rPr>
          <w:rFonts w:hint="eastAsia" w:ascii="仿宋" w:hAnsi="仿宋" w:eastAsia="仿宋" w:cs="仿宋"/>
          <w:color w:val="auto"/>
          <w:highlight w:val="none"/>
        </w:rPr>
        <w:sectPr>
          <w:headerReference r:id="rId10" w:type="default"/>
          <w:footerReference r:id="rId11"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14:paraId="73ACE752">
      <w:pPr>
        <w:pStyle w:val="4"/>
        <w:shd w:val="clear" w:color="auto" w:fill="auto"/>
        <w:spacing w:line="360" w:lineRule="auto"/>
        <w:jc w:val="center"/>
        <w:rPr>
          <w:rFonts w:hint="eastAsia" w:ascii="仿宋" w:hAnsi="仿宋" w:eastAsia="仿宋" w:cs="仿宋"/>
          <w:color w:val="auto"/>
          <w:sz w:val="32"/>
          <w:szCs w:val="32"/>
          <w:highlight w:val="none"/>
        </w:rPr>
      </w:pPr>
      <w:bookmarkStart w:id="161" w:name="bookmark4"/>
      <w:bookmarkStart w:id="162" w:name="bookmark5"/>
      <w:r>
        <w:rPr>
          <w:rFonts w:hint="eastAsia" w:ascii="仿宋" w:hAnsi="仿宋" w:eastAsia="仿宋" w:cs="仿宋"/>
          <w:color w:val="auto"/>
          <w:sz w:val="32"/>
          <w:szCs w:val="32"/>
          <w:highlight w:val="none"/>
        </w:rPr>
        <w:t>中小企业划分标准</w:t>
      </w:r>
    </w:p>
    <w:p w14:paraId="344C1454">
      <w:pPr>
        <w:keepNext w:val="0"/>
        <w:keepLines w:val="0"/>
        <w:pageBreakBefore w:val="0"/>
        <w:widowControl w:val="0"/>
        <w:shd w:val="clear" w:color="auto" w:fill="auto"/>
        <w:kinsoku/>
        <w:wordWrap/>
        <w:overflowPunct/>
        <w:topLinePunct w:val="0"/>
        <w:autoSpaceDE/>
        <w:autoSpaceDN/>
        <w:bidi w:val="0"/>
        <w:adjustRightInd/>
        <w:snapToGrid/>
        <w:spacing w:line="396" w:lineRule="auto"/>
        <w:ind w:right="62"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工业和信息化部、国家统计局、发展改革委、财政部等四部门《关于印发中小企业划型标准规定的通知》（工信部联企业〔2011〕300号）规定中小企业划型标准如表所示：</w:t>
      </w:r>
      <w:bookmarkEnd w:id="161"/>
      <w:bookmarkEnd w:id="162"/>
    </w:p>
    <w:tbl>
      <w:tblPr>
        <w:tblStyle w:val="29"/>
        <w:tblW w:w="10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
        <w:gridCol w:w="2038"/>
        <w:gridCol w:w="1049"/>
        <w:gridCol w:w="7255"/>
      </w:tblGrid>
      <w:tr w14:paraId="41C5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712D9B7D">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2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农、林、牧、</w:t>
            </w:r>
          </w:p>
          <w:p w14:paraId="78E00369">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2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渔业</w:t>
            </w:r>
          </w:p>
        </w:tc>
        <w:tc>
          <w:tcPr>
            <w:tcW w:w="8304" w:type="dxa"/>
            <w:gridSpan w:val="2"/>
            <w:shd w:val="clear" w:color="auto" w:fill="FFFFFF"/>
            <w:noWrap w:val="0"/>
            <w:vAlign w:val="center"/>
          </w:tcPr>
          <w:p w14:paraId="76AE904C">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营业收入20000万元以下的为中小微型企业。</w:t>
            </w:r>
          </w:p>
        </w:tc>
      </w:tr>
      <w:tr w14:paraId="1FB7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3CB77E86">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DE0024E">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1CCBE51E">
            <w:pPr>
              <w:pStyle w:val="133"/>
              <w:keepNext w:val="0"/>
              <w:keepLines w:val="0"/>
              <w:pageBreakBefore w:val="0"/>
              <w:widowControl w:val="0"/>
              <w:shd w:val="clear" w:color="auto" w:fill="auto"/>
              <w:tabs>
                <w:tab w:val="left" w:pos="1930"/>
              </w:tabs>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500万元</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20000万元</w:t>
            </w:r>
          </w:p>
        </w:tc>
      </w:tr>
      <w:tr w14:paraId="429D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0A4CC3E4">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74E626B3">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740A4B13">
            <w:pPr>
              <w:pStyle w:val="133"/>
              <w:keepNext w:val="0"/>
              <w:keepLines w:val="0"/>
              <w:pageBreakBefore w:val="0"/>
              <w:widowControl w:val="0"/>
              <w:shd w:val="clear" w:color="auto" w:fill="auto"/>
              <w:tabs>
                <w:tab w:val="left" w:pos="1752"/>
              </w:tabs>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50万元</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500万元</w:t>
            </w:r>
          </w:p>
        </w:tc>
      </w:tr>
      <w:tr w14:paraId="33B7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04ECA09F">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7A80687D">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6BEE5E83">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50万元以下</w:t>
            </w:r>
          </w:p>
        </w:tc>
      </w:tr>
      <w:tr w14:paraId="7A27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4FC1B3CC">
            <w:pPr>
              <w:pStyle w:val="133"/>
              <w:keepNext w:val="0"/>
              <w:keepLines w:val="0"/>
              <w:pageBreakBefore w:val="0"/>
              <w:widowControl w:val="0"/>
              <w:shd w:val="clear" w:color="auto" w:fill="auto"/>
              <w:kinsoku/>
              <w:wordWrap/>
              <w:overflowPunct/>
              <w:topLinePunct w:val="0"/>
              <w:autoSpaceDE/>
              <w:autoSpaceDN/>
              <w:bidi w:val="0"/>
              <w:adjustRightInd/>
              <w:snapToGrid/>
              <w:spacing w:line="312"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工业</w:t>
            </w:r>
          </w:p>
          <w:p w14:paraId="74383472">
            <w:pPr>
              <w:pStyle w:val="133"/>
              <w:keepNext w:val="0"/>
              <w:keepLines w:val="0"/>
              <w:pageBreakBefore w:val="0"/>
              <w:widowControl w:val="0"/>
              <w:shd w:val="clear" w:color="auto" w:fill="auto"/>
              <w:kinsoku/>
              <w:wordWrap/>
              <w:overflowPunct/>
              <w:topLinePunct w:val="0"/>
              <w:autoSpaceDE/>
              <w:autoSpaceDN/>
              <w:bidi w:val="0"/>
              <w:adjustRightInd/>
              <w:snapToGrid/>
              <w:spacing w:line="312"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（包括采矿业，</w:t>
            </w:r>
          </w:p>
          <w:p w14:paraId="4F53ABB8">
            <w:pPr>
              <w:pStyle w:val="133"/>
              <w:keepNext w:val="0"/>
              <w:keepLines w:val="0"/>
              <w:pageBreakBefore w:val="0"/>
              <w:widowControl w:val="0"/>
              <w:shd w:val="clear" w:color="auto" w:fill="auto"/>
              <w:kinsoku/>
              <w:wordWrap/>
              <w:overflowPunct/>
              <w:topLinePunct w:val="0"/>
              <w:autoSpaceDE/>
              <w:autoSpaceDN/>
              <w:bidi w:val="0"/>
              <w:adjustRightInd/>
              <w:snapToGrid/>
              <w:spacing w:line="312"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制造业，电力、</w:t>
            </w:r>
          </w:p>
          <w:p w14:paraId="12A6DFC9">
            <w:pPr>
              <w:pStyle w:val="133"/>
              <w:keepNext w:val="0"/>
              <w:keepLines w:val="0"/>
              <w:pageBreakBefore w:val="0"/>
              <w:widowControl w:val="0"/>
              <w:shd w:val="clear" w:color="auto" w:fill="auto"/>
              <w:kinsoku/>
              <w:wordWrap/>
              <w:overflowPunct/>
              <w:topLinePunct w:val="0"/>
              <w:autoSpaceDE/>
              <w:autoSpaceDN/>
              <w:bidi w:val="0"/>
              <w:adjustRightInd/>
              <w:snapToGrid/>
              <w:spacing w:line="312"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热力、燃气及</w:t>
            </w:r>
          </w:p>
          <w:p w14:paraId="15136C63">
            <w:pPr>
              <w:pStyle w:val="133"/>
              <w:keepNext w:val="0"/>
              <w:keepLines w:val="0"/>
              <w:pageBreakBefore w:val="0"/>
              <w:widowControl w:val="0"/>
              <w:shd w:val="clear" w:color="auto" w:fill="auto"/>
              <w:kinsoku/>
              <w:wordWrap/>
              <w:overflowPunct/>
              <w:topLinePunct w:val="0"/>
              <w:autoSpaceDE/>
              <w:autoSpaceDN/>
              <w:bidi w:val="0"/>
              <w:adjustRightInd/>
              <w:snapToGrid/>
              <w:spacing w:line="312"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水生产和供应业）</w:t>
            </w:r>
          </w:p>
        </w:tc>
        <w:tc>
          <w:tcPr>
            <w:tcW w:w="8304" w:type="dxa"/>
            <w:gridSpan w:val="2"/>
            <w:shd w:val="clear" w:color="auto" w:fill="FFFFFF"/>
            <w:noWrap w:val="0"/>
            <w:vAlign w:val="center"/>
          </w:tcPr>
          <w:p w14:paraId="32D18CA7">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40000万元以下的为中小微型企业。</w:t>
            </w:r>
          </w:p>
        </w:tc>
      </w:tr>
      <w:tr w14:paraId="47AD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6B832E29">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63CBF8FA">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116FD874">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300人一1 000人，且营业收入 2000万元一40000万元</w:t>
            </w:r>
          </w:p>
        </w:tc>
      </w:tr>
      <w:tr w14:paraId="7923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66481092">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55391568">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74E5F25C">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从业人员20人一300人，且营业收入 300万元一2 000万元</w:t>
            </w:r>
          </w:p>
        </w:tc>
      </w:tr>
      <w:tr w14:paraId="2D2D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366" w:hRule="atLeast"/>
          <w:jc w:val="center"/>
        </w:trPr>
        <w:tc>
          <w:tcPr>
            <w:tcW w:w="2038" w:type="dxa"/>
            <w:vMerge w:val="continue"/>
            <w:shd w:val="clear" w:color="auto" w:fill="FFFFFF"/>
            <w:noWrap w:val="0"/>
            <w:vAlign w:val="center"/>
          </w:tcPr>
          <w:p w14:paraId="1D30EF9C">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183A4475">
            <w:pPr>
              <w:pStyle w:val="133"/>
              <w:keepNext w:val="0"/>
              <w:keepLines w:val="0"/>
              <w:pageBreakBefore w:val="0"/>
              <w:widowControl w:val="0"/>
              <w:shd w:val="clear" w:color="auto" w:fill="auto"/>
              <w:kinsoku/>
              <w:wordWrap/>
              <w:overflowPunct/>
              <w:topLinePunct w:val="0"/>
              <w:autoSpaceDE/>
              <w:autoSpaceDN/>
              <w:bidi w:val="0"/>
              <w:adjustRightInd/>
              <w:snapToGrid/>
              <w:spacing w:line="240"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52ADF540">
            <w:pPr>
              <w:pStyle w:val="133"/>
              <w:keepNext w:val="0"/>
              <w:keepLines w:val="0"/>
              <w:pageBreakBefore w:val="0"/>
              <w:widowControl w:val="0"/>
              <w:shd w:val="clear" w:color="auto" w:fill="auto"/>
              <w:kinsoku/>
              <w:wordWrap/>
              <w:overflowPunct/>
              <w:topLinePunct w:val="0"/>
              <w:autoSpaceDE/>
              <w:autoSpaceDN/>
              <w:bidi w:val="0"/>
              <w:adjustRightInd/>
              <w:snapToGrid/>
              <w:spacing w:line="240"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300万元以下</w:t>
            </w:r>
          </w:p>
        </w:tc>
      </w:tr>
      <w:tr w14:paraId="708B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1AB0CE09">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建筑业</w:t>
            </w:r>
          </w:p>
        </w:tc>
        <w:tc>
          <w:tcPr>
            <w:tcW w:w="8304" w:type="dxa"/>
            <w:gridSpan w:val="2"/>
            <w:shd w:val="clear" w:color="auto" w:fill="FFFFFF"/>
            <w:noWrap w:val="0"/>
            <w:vAlign w:val="center"/>
          </w:tcPr>
          <w:p w14:paraId="136A11DE">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营业收入80000万元以下或资产总额 80000万元以下的为中小微型企业。</w:t>
            </w:r>
          </w:p>
        </w:tc>
      </w:tr>
      <w:tr w14:paraId="5854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639536C7">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FBB2657">
            <w:pPr>
              <w:pStyle w:val="133"/>
              <w:keepNext w:val="0"/>
              <w:keepLines w:val="0"/>
              <w:pageBreakBefore w:val="0"/>
              <w:widowControl w:val="0"/>
              <w:shd w:val="clear" w:color="auto" w:fill="auto"/>
              <w:kinsoku/>
              <w:wordWrap/>
              <w:overflowPunct/>
              <w:topLinePunct w:val="0"/>
              <w:autoSpaceDE/>
              <w:autoSpaceDN/>
              <w:bidi w:val="0"/>
              <w:adjustRightInd/>
              <w:snapToGrid/>
              <w:spacing w:line="240"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6515B37F">
            <w:pPr>
              <w:pStyle w:val="133"/>
              <w:keepNext w:val="0"/>
              <w:keepLines w:val="0"/>
              <w:pageBreakBefore w:val="0"/>
              <w:widowControl w:val="0"/>
              <w:shd w:val="clear" w:color="auto" w:fill="auto"/>
              <w:kinsoku/>
              <w:wordWrap/>
              <w:overflowPunct/>
              <w:topLinePunct w:val="0"/>
              <w:autoSpaceDE/>
              <w:autoSpaceDN/>
              <w:bidi w:val="0"/>
              <w:adjustRightInd/>
              <w:snapToGrid/>
              <w:spacing w:line="240"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营业收入6000万元一80000万元，且资产总额 5 000万元一80 000 万元</w:t>
            </w:r>
          </w:p>
        </w:tc>
      </w:tr>
      <w:tr w14:paraId="2FAB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374CC599">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4E0FA370">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2EB2738A">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 300万元一6 000万元，且资产总额 300万一5 000万元</w:t>
            </w:r>
          </w:p>
        </w:tc>
      </w:tr>
      <w:tr w14:paraId="27AE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626F43E8">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1B0099FE">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1B29F14D">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营业收入300万元以下或资产总额 300万元以下</w:t>
            </w:r>
          </w:p>
        </w:tc>
      </w:tr>
      <w:tr w14:paraId="4290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35758B9C">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批发业</w:t>
            </w:r>
          </w:p>
        </w:tc>
        <w:tc>
          <w:tcPr>
            <w:tcW w:w="8304" w:type="dxa"/>
            <w:gridSpan w:val="2"/>
            <w:shd w:val="clear" w:color="auto" w:fill="FFFFFF"/>
            <w:noWrap w:val="0"/>
            <w:vAlign w:val="center"/>
          </w:tcPr>
          <w:p w14:paraId="714B37C4">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从业人员200人以下或营业收入 40 000万元以下的为中小微型企业。</w:t>
            </w:r>
          </w:p>
        </w:tc>
      </w:tr>
      <w:tr w14:paraId="12F1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16472307">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504CE49A">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123BDCD8">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从业人员20人一200人，且营业收入 5 000万元一40 000万元</w:t>
            </w:r>
          </w:p>
        </w:tc>
      </w:tr>
      <w:tr w14:paraId="15EE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59AC851F">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281FF12C">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1C00A080">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从业人员5人一20人，且营业收入 1 000万元一5 000万元</w:t>
            </w:r>
          </w:p>
        </w:tc>
      </w:tr>
      <w:tr w14:paraId="033C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61F8348C">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7B2CAE2D">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4A3B2F7F">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从业人员5人以下或营业收入 1 000万元以下</w:t>
            </w:r>
          </w:p>
        </w:tc>
      </w:tr>
      <w:tr w14:paraId="1A9B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77F78BA7">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零售业</w:t>
            </w:r>
          </w:p>
        </w:tc>
        <w:tc>
          <w:tcPr>
            <w:tcW w:w="8304" w:type="dxa"/>
            <w:gridSpan w:val="2"/>
            <w:shd w:val="clear" w:color="auto" w:fill="FFFFFF"/>
            <w:noWrap w:val="0"/>
            <w:vAlign w:val="center"/>
          </w:tcPr>
          <w:p w14:paraId="5CC807A3">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20 000万元以下的为中小微型企业。</w:t>
            </w:r>
          </w:p>
        </w:tc>
      </w:tr>
      <w:tr w14:paraId="226C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258F7237">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69BA5BFF">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466189D4">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50人一300人，且营业收入 500万元一20 000万元</w:t>
            </w:r>
          </w:p>
        </w:tc>
      </w:tr>
      <w:tr w14:paraId="4D14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28CE8A0D">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7B6185AA">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609C8AA6">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从业人员10人一50人，且营业收入 100万元一500万元</w:t>
            </w:r>
          </w:p>
        </w:tc>
      </w:tr>
      <w:tr w14:paraId="4987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699C5DFB">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436FC25A">
            <w:pPr>
              <w:pStyle w:val="133"/>
              <w:keepNext w:val="0"/>
              <w:keepLines w:val="0"/>
              <w:pageBreakBefore w:val="0"/>
              <w:widowControl w:val="0"/>
              <w:shd w:val="clear" w:color="auto" w:fill="auto"/>
              <w:kinsoku/>
              <w:wordWrap/>
              <w:overflowPunct/>
              <w:topLinePunct w:val="0"/>
              <w:autoSpaceDE/>
              <w:autoSpaceDN/>
              <w:bidi w:val="0"/>
              <w:adjustRightInd/>
              <w:snapToGrid/>
              <w:spacing w:before="80"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116A4DEC">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14:paraId="2445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13232764">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交通运输业 （不含铁路运输业）</w:t>
            </w:r>
          </w:p>
        </w:tc>
        <w:tc>
          <w:tcPr>
            <w:tcW w:w="8304" w:type="dxa"/>
            <w:gridSpan w:val="2"/>
            <w:shd w:val="clear" w:color="auto" w:fill="FFFFFF"/>
            <w:noWrap w:val="0"/>
            <w:vAlign w:val="center"/>
          </w:tcPr>
          <w:p w14:paraId="080110C5">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30 000万元以下的为中小微型企业。</w:t>
            </w:r>
          </w:p>
        </w:tc>
      </w:tr>
      <w:tr w14:paraId="06F8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6A26FEC9">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1F3CCEDC">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49ED4C98">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300人一1 000人，且营业收入 3 000万元一30 000万元</w:t>
            </w:r>
          </w:p>
        </w:tc>
      </w:tr>
      <w:tr w14:paraId="15BA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5FE02639">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0CF67EFD">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19A78DF1">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从业人员20人一300人，且营业收入 200万元一3 000万元</w:t>
            </w:r>
          </w:p>
        </w:tc>
      </w:tr>
      <w:tr w14:paraId="08A2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34D33F41">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50561E7E">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22FCE292">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200万元以下</w:t>
            </w:r>
          </w:p>
        </w:tc>
      </w:tr>
      <w:tr w14:paraId="659E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3315E9F0">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仓储业</w:t>
            </w:r>
          </w:p>
        </w:tc>
        <w:tc>
          <w:tcPr>
            <w:tcW w:w="8304" w:type="dxa"/>
            <w:gridSpan w:val="2"/>
            <w:shd w:val="clear" w:color="auto" w:fill="FFFFFF"/>
            <w:noWrap w:val="0"/>
            <w:vAlign w:val="center"/>
          </w:tcPr>
          <w:p w14:paraId="5764924C">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从业人员200人以下或营业收入 30 000万元以下的为中小微型企业。</w:t>
            </w:r>
          </w:p>
        </w:tc>
      </w:tr>
      <w:tr w14:paraId="5C6F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02BA7225">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1026AE7E">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65D5B47B">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从业人员100人一200人，且营业收入 1 000万元一30 000万元</w:t>
            </w:r>
          </w:p>
        </w:tc>
      </w:tr>
      <w:tr w14:paraId="073A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70AB65D6">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5268290D">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5050FFE2">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从业人员20人一100人，且营业收入 100万元一1 000万元</w:t>
            </w:r>
          </w:p>
        </w:tc>
      </w:tr>
      <w:tr w14:paraId="4D54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6F00823E">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6A1D8852">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0C8A9AB3">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100万元以下</w:t>
            </w:r>
          </w:p>
        </w:tc>
      </w:tr>
      <w:tr w14:paraId="1D97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restart"/>
            <w:shd w:val="clear" w:color="auto" w:fill="FFFFFF"/>
            <w:noWrap w:val="0"/>
            <w:vAlign w:val="center"/>
          </w:tcPr>
          <w:p w14:paraId="3BFC0D92">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邮政业</w:t>
            </w:r>
          </w:p>
        </w:tc>
        <w:tc>
          <w:tcPr>
            <w:tcW w:w="8304" w:type="dxa"/>
            <w:gridSpan w:val="2"/>
            <w:shd w:val="clear" w:color="auto" w:fill="FFFFFF"/>
            <w:noWrap w:val="0"/>
            <w:vAlign w:val="center"/>
          </w:tcPr>
          <w:p w14:paraId="788FCFD3">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30 000万元以下的为中小微型企业。</w:t>
            </w:r>
          </w:p>
        </w:tc>
      </w:tr>
      <w:tr w14:paraId="0215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4FC154E7">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07371660">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262708F3">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300人一1 000人，且营业收入 2 000万元一30 000万元</w:t>
            </w:r>
          </w:p>
        </w:tc>
      </w:tr>
      <w:tr w14:paraId="6238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0329DCEC">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10894EFC">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3A110B3D">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从业人员20人一300人，且营业收入 100万元一2 000万元</w:t>
            </w:r>
          </w:p>
        </w:tc>
      </w:tr>
      <w:tr w14:paraId="133F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16" w:type="dxa"/>
          <w:trHeight w:val="454" w:hRule="atLeast"/>
          <w:jc w:val="center"/>
        </w:trPr>
        <w:tc>
          <w:tcPr>
            <w:tcW w:w="2038" w:type="dxa"/>
            <w:vMerge w:val="continue"/>
            <w:shd w:val="clear" w:color="auto" w:fill="FFFFFF"/>
            <w:noWrap w:val="0"/>
            <w:vAlign w:val="center"/>
          </w:tcPr>
          <w:p w14:paraId="3351E256">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1F6AE70E">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6F8247A0">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100万元以下</w:t>
            </w:r>
          </w:p>
        </w:tc>
      </w:tr>
      <w:tr w14:paraId="5D4C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3DBC2FED">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住宿业</w:t>
            </w:r>
          </w:p>
        </w:tc>
        <w:tc>
          <w:tcPr>
            <w:tcW w:w="8304" w:type="dxa"/>
            <w:gridSpan w:val="2"/>
            <w:shd w:val="clear" w:color="auto" w:fill="FFFFFF"/>
            <w:noWrap w:val="0"/>
            <w:vAlign w:val="center"/>
          </w:tcPr>
          <w:p w14:paraId="50AA2E15">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10000万元以下的为中小微型企业。</w:t>
            </w:r>
          </w:p>
        </w:tc>
      </w:tr>
      <w:tr w14:paraId="4BE4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08A95510">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059CE2A6">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27095313">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从业人员100人一300人，且营业收入 2 000万元一10 000万元</w:t>
            </w:r>
          </w:p>
        </w:tc>
      </w:tr>
      <w:tr w14:paraId="316E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780DA6B9">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0AD81DD9">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4B4A4782">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100万元一2 000万元</w:t>
            </w:r>
          </w:p>
        </w:tc>
      </w:tr>
      <w:tr w14:paraId="0518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0E95F7B4">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4BA81C1D">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13BF53CB">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14:paraId="525D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1C38E81A">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餐饮业</w:t>
            </w:r>
          </w:p>
        </w:tc>
        <w:tc>
          <w:tcPr>
            <w:tcW w:w="8304" w:type="dxa"/>
            <w:gridSpan w:val="2"/>
            <w:shd w:val="clear" w:color="auto" w:fill="FFFFFF"/>
            <w:noWrap w:val="0"/>
            <w:vAlign w:val="center"/>
          </w:tcPr>
          <w:p w14:paraId="5753D33A">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10 000万元以下的为中小微型企业。</w:t>
            </w:r>
          </w:p>
        </w:tc>
      </w:tr>
      <w:tr w14:paraId="0297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7722D482">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0B41A67C">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7A2C1C8A">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 300人，且营业收入 2 000万元一10 000万元</w:t>
            </w:r>
          </w:p>
        </w:tc>
      </w:tr>
      <w:tr w14:paraId="22DB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0A55D9B9">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54BB336C">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4B447FAD">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100万元一2 000万元</w:t>
            </w:r>
          </w:p>
        </w:tc>
      </w:tr>
      <w:tr w14:paraId="061E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412263C9">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19E442FB">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21771A71">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14:paraId="5220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170F5CAD">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信息传输业 （包括电信、互联网和相关服务）</w:t>
            </w:r>
          </w:p>
        </w:tc>
        <w:tc>
          <w:tcPr>
            <w:tcW w:w="8304" w:type="dxa"/>
            <w:gridSpan w:val="2"/>
            <w:shd w:val="clear" w:color="auto" w:fill="FFFFFF"/>
            <w:noWrap w:val="0"/>
            <w:vAlign w:val="center"/>
          </w:tcPr>
          <w:p w14:paraId="540B2635">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从业人员2 000人以下或营业收入 100 000万元以下的为中小微型企业。</w:t>
            </w:r>
          </w:p>
        </w:tc>
      </w:tr>
      <w:tr w14:paraId="7A4E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3518917D">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929F850">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7FF54C30">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从业人员100人一2 000人，且营业收入 1 000万元一10 000万元</w:t>
            </w:r>
          </w:p>
        </w:tc>
      </w:tr>
      <w:tr w14:paraId="7171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41DFD585">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3F156A49">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457CB1DC">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100万元一1 000万元</w:t>
            </w:r>
          </w:p>
        </w:tc>
      </w:tr>
      <w:tr w14:paraId="6C17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30347B6A">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453A7548">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1A22FDBA">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14:paraId="542B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4ACC7380">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软件和信息</w:t>
            </w:r>
          </w:p>
          <w:p w14:paraId="6793ADDC">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技术服务业</w:t>
            </w:r>
          </w:p>
        </w:tc>
        <w:tc>
          <w:tcPr>
            <w:tcW w:w="8304" w:type="dxa"/>
            <w:gridSpan w:val="2"/>
            <w:shd w:val="clear" w:color="auto" w:fill="FFFFFF"/>
            <w:noWrap w:val="0"/>
            <w:vAlign w:val="center"/>
          </w:tcPr>
          <w:p w14:paraId="0681C02C">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10000万元以下的为中小微型企业。</w:t>
            </w:r>
          </w:p>
        </w:tc>
      </w:tr>
      <w:tr w14:paraId="5802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4B2FBFF3">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2F06A78E">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61CADCA6">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 300人，且营业收入 1 000万元一10 000万元</w:t>
            </w:r>
          </w:p>
        </w:tc>
      </w:tr>
      <w:tr w14:paraId="2D02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3AD99F21">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6582A0C6">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56777205">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50万元一1 000万元</w:t>
            </w:r>
          </w:p>
        </w:tc>
      </w:tr>
      <w:tr w14:paraId="44E8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729432A2">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7BBABD72">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394D57D1">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50万元以下</w:t>
            </w:r>
          </w:p>
        </w:tc>
      </w:tr>
      <w:tr w14:paraId="0901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1FE49085">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房地产开发经营</w:t>
            </w:r>
          </w:p>
        </w:tc>
        <w:tc>
          <w:tcPr>
            <w:tcW w:w="8304" w:type="dxa"/>
            <w:gridSpan w:val="2"/>
            <w:shd w:val="clear" w:color="auto" w:fill="FFFFFF"/>
            <w:noWrap w:val="0"/>
            <w:vAlign w:val="center"/>
          </w:tcPr>
          <w:p w14:paraId="3F04D506">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营业收入200 000万元以下或资产总额 10 000万元以下的为中小微型企业。</w:t>
            </w:r>
          </w:p>
        </w:tc>
      </w:tr>
      <w:tr w14:paraId="262B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3DE6B75A">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19773E8B">
            <w:pPr>
              <w:pStyle w:val="133"/>
              <w:keepNext w:val="0"/>
              <w:keepLines w:val="0"/>
              <w:pageBreakBefore w:val="0"/>
              <w:widowControl w:val="0"/>
              <w:shd w:val="clear" w:color="auto" w:fill="auto"/>
              <w:kinsoku/>
              <w:wordWrap/>
              <w:overflowPunct/>
              <w:topLinePunct w:val="0"/>
              <w:autoSpaceDE/>
              <w:autoSpaceDN/>
              <w:bidi w:val="0"/>
              <w:adjustRightInd/>
              <w:snapToGrid/>
              <w:spacing w:line="240"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0322D4BD">
            <w:pPr>
              <w:pStyle w:val="133"/>
              <w:keepNext w:val="0"/>
              <w:keepLines w:val="0"/>
              <w:pageBreakBefore w:val="0"/>
              <w:widowControl w:val="0"/>
              <w:shd w:val="clear" w:color="auto" w:fill="auto"/>
              <w:kinsoku/>
              <w:wordWrap/>
              <w:overflowPunct/>
              <w:topLinePunct w:val="0"/>
              <w:autoSpaceDE/>
              <w:autoSpaceDN/>
              <w:bidi w:val="0"/>
              <w:adjustRightInd/>
              <w:snapToGrid/>
              <w:spacing w:after="120" w:line="240"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营业收入1 000万元一200 000万元，且资产总额 5 000万元一10000万元</w:t>
            </w:r>
          </w:p>
        </w:tc>
      </w:tr>
      <w:tr w14:paraId="36BC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0522BE39">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4EF1E89A">
            <w:pPr>
              <w:pStyle w:val="133"/>
              <w:keepNext w:val="0"/>
              <w:keepLines w:val="0"/>
              <w:pageBreakBefore w:val="0"/>
              <w:widowControl w:val="0"/>
              <w:shd w:val="clear" w:color="auto" w:fill="auto"/>
              <w:kinsoku/>
              <w:wordWrap/>
              <w:overflowPunct/>
              <w:topLinePunct w:val="0"/>
              <w:autoSpaceDE/>
              <w:autoSpaceDN/>
              <w:bidi w:val="0"/>
              <w:adjustRightInd/>
              <w:snapToGrid/>
              <w:spacing w:line="240"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0D647F68">
            <w:pPr>
              <w:pStyle w:val="133"/>
              <w:keepNext w:val="0"/>
              <w:keepLines w:val="0"/>
              <w:pageBreakBefore w:val="0"/>
              <w:widowControl w:val="0"/>
              <w:shd w:val="clear" w:color="auto" w:fill="auto"/>
              <w:kinsoku/>
              <w:wordWrap/>
              <w:overflowPunct/>
              <w:topLinePunct w:val="0"/>
              <w:autoSpaceDE/>
              <w:autoSpaceDN/>
              <w:bidi w:val="0"/>
              <w:adjustRightInd/>
              <w:snapToGrid/>
              <w:spacing w:line="240" w:lineRule="auto"/>
              <w:ind w:left="140"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营业收入100万元一1 000万元，且资产总额 2 000万元一5 000 万元</w:t>
            </w:r>
          </w:p>
        </w:tc>
      </w:tr>
      <w:tr w14:paraId="48F0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709797A3">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1A544B44">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286AABD7">
            <w:pPr>
              <w:pStyle w:val="133"/>
              <w:keepNext w:val="0"/>
              <w:keepLines w:val="0"/>
              <w:pageBreakBefore w:val="0"/>
              <w:widowControl w:val="0"/>
              <w:shd w:val="clear" w:color="auto" w:fill="auto"/>
              <w:tabs>
                <w:tab w:val="left" w:pos="5256"/>
              </w:tabs>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营业收入100万元以下或资产总额2 000万元以下的为微型企业</w:t>
            </w:r>
          </w:p>
        </w:tc>
      </w:tr>
      <w:tr w14:paraId="3B2A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7C6F859B">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物业管理</w:t>
            </w:r>
          </w:p>
        </w:tc>
        <w:tc>
          <w:tcPr>
            <w:tcW w:w="8304" w:type="dxa"/>
            <w:gridSpan w:val="2"/>
            <w:shd w:val="clear" w:color="auto" w:fill="FFFFFF"/>
            <w:noWrap w:val="0"/>
            <w:vAlign w:val="center"/>
          </w:tcPr>
          <w:p w14:paraId="6591AE5E">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5 000万元以下的为中小微型企业。</w:t>
            </w:r>
          </w:p>
        </w:tc>
      </w:tr>
      <w:tr w14:paraId="46B4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5516EC10">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75BBE288">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255" w:type="dxa"/>
            <w:shd w:val="clear" w:color="auto" w:fill="FFFFFF"/>
            <w:noWrap w:val="0"/>
            <w:vAlign w:val="center"/>
          </w:tcPr>
          <w:p w14:paraId="7A1C366B">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300人一1 000人，且营业收入 1000万元一5 000万元</w:t>
            </w:r>
          </w:p>
        </w:tc>
      </w:tr>
      <w:tr w14:paraId="2F82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1191AB5A">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470CF3C6">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255" w:type="dxa"/>
            <w:shd w:val="clear" w:color="auto" w:fill="FFFFFF"/>
            <w:noWrap w:val="0"/>
            <w:vAlign w:val="center"/>
          </w:tcPr>
          <w:p w14:paraId="5460BF86">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从业人员100人一300人，且营业收入 500万元一1 000万元</w:t>
            </w:r>
          </w:p>
        </w:tc>
      </w:tr>
      <w:tr w14:paraId="28A1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6307479E">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p>
        </w:tc>
        <w:tc>
          <w:tcPr>
            <w:tcW w:w="1049" w:type="dxa"/>
            <w:shd w:val="clear" w:color="auto" w:fill="FFFFFF"/>
            <w:noWrap w:val="0"/>
            <w:vAlign w:val="center"/>
          </w:tcPr>
          <w:p w14:paraId="511E886E">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255" w:type="dxa"/>
            <w:shd w:val="clear" w:color="auto" w:fill="FFFFFF"/>
            <w:noWrap w:val="0"/>
            <w:vAlign w:val="center"/>
          </w:tcPr>
          <w:p w14:paraId="033B4281">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从业人员100人以下或营业收入 500万元以下</w:t>
            </w:r>
          </w:p>
        </w:tc>
      </w:tr>
      <w:tr w14:paraId="7313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0356E53B">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240"/>
              <w:jc w:val="center"/>
              <w:textAlignment w:val="auto"/>
              <w:rPr>
                <w:rFonts w:hint="eastAsia" w:ascii="仿宋" w:hAnsi="仿宋" w:eastAsia="仿宋" w:cs="仿宋"/>
                <w:b/>
                <w:bCs/>
                <w:color w:val="auto"/>
                <w:sz w:val="24"/>
                <w:szCs w:val="24"/>
                <w:highlight w:val="yellow"/>
              </w:rPr>
            </w:pPr>
            <w:r>
              <w:rPr>
                <w:rFonts w:hint="eastAsia" w:ascii="仿宋" w:hAnsi="仿宋" w:eastAsia="仿宋" w:cs="仿宋"/>
                <w:b/>
                <w:bCs/>
                <w:color w:val="auto"/>
                <w:sz w:val="24"/>
                <w:szCs w:val="24"/>
                <w:highlight w:val="yellow"/>
              </w:rPr>
              <w:t>租赁和商务</w:t>
            </w:r>
          </w:p>
          <w:p w14:paraId="3CE174C6">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240"/>
              <w:jc w:val="center"/>
              <w:textAlignment w:val="auto"/>
              <w:rPr>
                <w:rFonts w:hint="eastAsia" w:ascii="仿宋" w:hAnsi="仿宋" w:eastAsia="仿宋" w:cs="仿宋"/>
                <w:b w:val="0"/>
                <w:bCs w:val="0"/>
                <w:color w:val="auto"/>
                <w:sz w:val="24"/>
                <w:szCs w:val="24"/>
                <w:highlight w:val="yellow"/>
              </w:rPr>
            </w:pPr>
            <w:r>
              <w:rPr>
                <w:rFonts w:hint="eastAsia" w:ascii="仿宋" w:hAnsi="仿宋" w:eastAsia="仿宋" w:cs="仿宋"/>
                <w:b/>
                <w:bCs/>
                <w:color w:val="auto"/>
                <w:sz w:val="24"/>
                <w:szCs w:val="24"/>
                <w:highlight w:val="yellow"/>
              </w:rPr>
              <w:t>服务业</w:t>
            </w:r>
          </w:p>
        </w:tc>
        <w:tc>
          <w:tcPr>
            <w:tcW w:w="8304" w:type="dxa"/>
            <w:gridSpan w:val="2"/>
            <w:shd w:val="clear" w:color="auto" w:fill="FFFFFF"/>
            <w:noWrap w:val="0"/>
            <w:vAlign w:val="center"/>
          </w:tcPr>
          <w:p w14:paraId="4B6AC65F">
            <w:pPr>
              <w:pStyle w:val="133"/>
              <w:keepNext w:val="0"/>
              <w:keepLines w:val="0"/>
              <w:pageBreakBefore w:val="0"/>
              <w:widowControl w:val="0"/>
              <w:shd w:val="clear" w:color="auto" w:fill="auto"/>
              <w:tabs>
                <w:tab w:val="left" w:pos="10666"/>
              </w:tabs>
              <w:kinsoku/>
              <w:wordWrap/>
              <w:overflowPunct/>
              <w:topLinePunct w:val="0"/>
              <w:autoSpaceDE/>
              <w:autoSpaceDN/>
              <w:bidi w:val="0"/>
              <w:adjustRightInd/>
              <w:snapToGrid/>
              <w:spacing w:line="312" w:lineRule="auto"/>
              <w:ind w:right="62"/>
              <w:jc w:val="center"/>
              <w:textAlignment w:val="auto"/>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sz w:val="24"/>
                <w:szCs w:val="24"/>
                <w:highlight w:val="yellow"/>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仿宋" w:hAnsi="仿宋" w:eastAsia="仿宋" w:cs="仿宋"/>
                <w:b w:val="0"/>
                <w:bCs w:val="0"/>
                <w:color w:val="auto"/>
                <w:sz w:val="24"/>
                <w:szCs w:val="24"/>
                <w:highlight w:val="yellow"/>
                <w:lang w:val="en-US"/>
              </w:rPr>
              <w:t>10</w:t>
            </w:r>
            <w:r>
              <w:rPr>
                <w:rFonts w:hint="eastAsia" w:ascii="仿宋" w:hAnsi="仿宋" w:eastAsia="仿宋" w:cs="仿宋"/>
                <w:b w:val="0"/>
                <w:bCs w:val="0"/>
                <w:color w:val="auto"/>
                <w:sz w:val="24"/>
                <w:szCs w:val="24"/>
                <w:highlight w:val="yellow"/>
              </w:rPr>
              <w:t>人以下或资产总额 100万元以下的为微型企业。</w:t>
            </w:r>
          </w:p>
        </w:tc>
      </w:tr>
      <w:tr w14:paraId="75FF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1BD7752A">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yellow"/>
              </w:rPr>
            </w:pPr>
          </w:p>
        </w:tc>
        <w:tc>
          <w:tcPr>
            <w:tcW w:w="1049" w:type="dxa"/>
            <w:shd w:val="clear" w:color="auto" w:fill="FFFFFF"/>
            <w:noWrap w:val="0"/>
            <w:vAlign w:val="center"/>
          </w:tcPr>
          <w:p w14:paraId="71B7B03B">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sz w:val="24"/>
                <w:szCs w:val="24"/>
                <w:highlight w:val="yellow"/>
              </w:rPr>
              <w:t>中型</w:t>
            </w:r>
          </w:p>
        </w:tc>
        <w:tc>
          <w:tcPr>
            <w:tcW w:w="7255" w:type="dxa"/>
            <w:shd w:val="clear" w:color="auto" w:fill="FFFFFF"/>
            <w:noWrap w:val="0"/>
            <w:vAlign w:val="center"/>
          </w:tcPr>
          <w:p w14:paraId="76225A7E">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sz w:val="24"/>
                <w:szCs w:val="24"/>
                <w:highlight w:val="yellow"/>
              </w:rPr>
              <w:t>从业人员100人一300人，且资产总额 8 000万元一120 000万元</w:t>
            </w:r>
          </w:p>
        </w:tc>
      </w:tr>
      <w:tr w14:paraId="0FD3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5A649AAA">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yellow"/>
              </w:rPr>
            </w:pPr>
          </w:p>
        </w:tc>
        <w:tc>
          <w:tcPr>
            <w:tcW w:w="1049" w:type="dxa"/>
            <w:shd w:val="clear" w:color="auto" w:fill="FFFFFF"/>
            <w:noWrap w:val="0"/>
            <w:vAlign w:val="center"/>
          </w:tcPr>
          <w:p w14:paraId="763B36BB">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sz w:val="24"/>
                <w:szCs w:val="24"/>
                <w:highlight w:val="yellow"/>
              </w:rPr>
              <w:t>小型</w:t>
            </w:r>
          </w:p>
        </w:tc>
        <w:tc>
          <w:tcPr>
            <w:tcW w:w="7255" w:type="dxa"/>
            <w:shd w:val="clear" w:color="auto" w:fill="FFFFFF"/>
            <w:noWrap w:val="0"/>
            <w:vAlign w:val="center"/>
          </w:tcPr>
          <w:p w14:paraId="6AC4EC67">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sz w:val="24"/>
                <w:szCs w:val="24"/>
                <w:highlight w:val="yellow"/>
              </w:rPr>
              <w:t>从业人员10人一100人，且资产总额 100万元一8 000万元</w:t>
            </w:r>
          </w:p>
        </w:tc>
      </w:tr>
      <w:tr w14:paraId="33F9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67CA950D">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yellow"/>
              </w:rPr>
            </w:pPr>
          </w:p>
        </w:tc>
        <w:tc>
          <w:tcPr>
            <w:tcW w:w="1049" w:type="dxa"/>
            <w:shd w:val="clear" w:color="auto" w:fill="FFFFFF"/>
            <w:noWrap w:val="0"/>
            <w:vAlign w:val="center"/>
          </w:tcPr>
          <w:p w14:paraId="58FC2D3C">
            <w:pPr>
              <w:pStyle w:val="133"/>
              <w:keepNext w:val="0"/>
              <w:keepLines w:val="0"/>
              <w:pageBreakBefore w:val="0"/>
              <w:widowControl w:val="0"/>
              <w:shd w:val="clear" w:color="auto" w:fill="auto"/>
              <w:kinsoku/>
              <w:wordWrap/>
              <w:overflowPunct/>
              <w:topLinePunct w:val="0"/>
              <w:autoSpaceDE/>
              <w:autoSpaceDN/>
              <w:bidi w:val="0"/>
              <w:adjustRightInd/>
              <w:snapToGrid/>
              <w:spacing w:before="100" w:line="384" w:lineRule="auto"/>
              <w:ind w:right="62"/>
              <w:jc w:val="center"/>
              <w:textAlignment w:val="auto"/>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sz w:val="24"/>
                <w:szCs w:val="24"/>
                <w:highlight w:val="yellow"/>
              </w:rPr>
              <w:t>微型</w:t>
            </w:r>
          </w:p>
        </w:tc>
        <w:tc>
          <w:tcPr>
            <w:tcW w:w="7255" w:type="dxa"/>
            <w:shd w:val="clear" w:color="auto" w:fill="FFFFFF"/>
            <w:noWrap w:val="0"/>
            <w:vAlign w:val="center"/>
          </w:tcPr>
          <w:p w14:paraId="7413ECB4">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sz w:val="24"/>
                <w:szCs w:val="24"/>
                <w:highlight w:val="yellow"/>
              </w:rPr>
              <w:t>从业人员10人以下或资产总额 100万元以下</w:t>
            </w:r>
          </w:p>
        </w:tc>
      </w:tr>
      <w:tr w14:paraId="5C05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restart"/>
            <w:shd w:val="clear" w:color="auto" w:fill="FFFFFF"/>
            <w:noWrap w:val="0"/>
            <w:vAlign w:val="center"/>
          </w:tcPr>
          <w:p w14:paraId="03B52868">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其他未列明行业</w:t>
            </w:r>
          </w:p>
        </w:tc>
        <w:tc>
          <w:tcPr>
            <w:tcW w:w="8304" w:type="dxa"/>
            <w:gridSpan w:val="2"/>
            <w:shd w:val="clear" w:color="auto" w:fill="FFFFFF"/>
            <w:noWrap w:val="0"/>
            <w:vAlign w:val="center"/>
          </w:tcPr>
          <w:p w14:paraId="418BEA6B">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从业人员300人以下的为中小微型企业。</w:t>
            </w:r>
          </w:p>
        </w:tc>
      </w:tr>
      <w:tr w14:paraId="521E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56D31257">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p>
        </w:tc>
        <w:tc>
          <w:tcPr>
            <w:tcW w:w="1049" w:type="dxa"/>
            <w:shd w:val="clear" w:color="auto" w:fill="FFFFFF"/>
            <w:noWrap w:val="0"/>
            <w:vAlign w:val="center"/>
          </w:tcPr>
          <w:p w14:paraId="5B8F87AD">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中型</w:t>
            </w:r>
          </w:p>
        </w:tc>
        <w:tc>
          <w:tcPr>
            <w:tcW w:w="7255" w:type="dxa"/>
            <w:shd w:val="clear" w:color="auto" w:fill="FFFFFF"/>
            <w:noWrap w:val="0"/>
            <w:vAlign w:val="center"/>
          </w:tcPr>
          <w:p w14:paraId="32ED8422">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从业人员100— 300人</w:t>
            </w:r>
          </w:p>
        </w:tc>
      </w:tr>
      <w:tr w14:paraId="2B6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3A254392">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p>
        </w:tc>
        <w:tc>
          <w:tcPr>
            <w:tcW w:w="1049" w:type="dxa"/>
            <w:shd w:val="clear" w:color="auto" w:fill="FFFFFF"/>
            <w:noWrap w:val="0"/>
            <w:vAlign w:val="center"/>
          </w:tcPr>
          <w:p w14:paraId="18EC1829">
            <w:pPr>
              <w:pStyle w:val="133"/>
              <w:keepNext w:val="0"/>
              <w:keepLines w:val="0"/>
              <w:pageBreakBefore w:val="0"/>
              <w:widowControl w:val="0"/>
              <w:shd w:val="clear" w:color="auto" w:fill="auto"/>
              <w:kinsoku/>
              <w:wordWrap/>
              <w:overflowPunct/>
              <w:topLinePunct w:val="0"/>
              <w:autoSpaceDE/>
              <w:autoSpaceDN/>
              <w:bidi w:val="0"/>
              <w:adjustRightInd/>
              <w:snapToGrid/>
              <w:spacing w:before="80"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小型</w:t>
            </w:r>
          </w:p>
        </w:tc>
        <w:tc>
          <w:tcPr>
            <w:tcW w:w="7255" w:type="dxa"/>
            <w:shd w:val="clear" w:color="auto" w:fill="FFFFFF"/>
            <w:noWrap w:val="0"/>
            <w:vAlign w:val="center"/>
          </w:tcPr>
          <w:p w14:paraId="15771CAC">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从业人员10人一100人</w:t>
            </w:r>
          </w:p>
        </w:tc>
      </w:tr>
      <w:tr w14:paraId="20CD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054" w:type="dxa"/>
            <w:gridSpan w:val="2"/>
            <w:vMerge w:val="continue"/>
            <w:shd w:val="clear" w:color="auto" w:fill="FFFFFF"/>
            <w:noWrap w:val="0"/>
            <w:vAlign w:val="center"/>
          </w:tcPr>
          <w:p w14:paraId="76824D79">
            <w:pPr>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p>
        </w:tc>
        <w:tc>
          <w:tcPr>
            <w:tcW w:w="1049" w:type="dxa"/>
            <w:shd w:val="clear" w:color="auto" w:fill="FFFFFF"/>
            <w:noWrap w:val="0"/>
            <w:vAlign w:val="center"/>
          </w:tcPr>
          <w:p w14:paraId="0F975CAC">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微型</w:t>
            </w:r>
          </w:p>
        </w:tc>
        <w:tc>
          <w:tcPr>
            <w:tcW w:w="7255" w:type="dxa"/>
            <w:shd w:val="clear" w:color="auto" w:fill="FFFFFF"/>
            <w:noWrap w:val="0"/>
            <w:vAlign w:val="center"/>
          </w:tcPr>
          <w:p w14:paraId="3241E8CB">
            <w:pPr>
              <w:pStyle w:val="133"/>
              <w:keepNext w:val="0"/>
              <w:keepLines w:val="0"/>
              <w:pageBreakBefore w:val="0"/>
              <w:widowControl w:val="0"/>
              <w:shd w:val="clear" w:color="auto" w:fill="auto"/>
              <w:kinsoku/>
              <w:wordWrap/>
              <w:overflowPunct/>
              <w:topLinePunct w:val="0"/>
              <w:autoSpaceDE/>
              <w:autoSpaceDN/>
              <w:bidi w:val="0"/>
              <w:adjustRightInd/>
              <w:snapToGrid/>
              <w:spacing w:line="384" w:lineRule="auto"/>
              <w:ind w:right="62" w:firstLine="14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从业人员10人以下</w:t>
            </w:r>
          </w:p>
        </w:tc>
      </w:tr>
    </w:tbl>
    <w:p w14:paraId="2F04D183">
      <w:pPr>
        <w:pageBreakBefore w:val="0"/>
        <w:kinsoku/>
        <w:wordWrap/>
        <w:overflowPunct/>
        <w:topLinePunct w:val="0"/>
        <w:bidi w:val="0"/>
        <w:spacing w:line="360" w:lineRule="auto"/>
        <w:outlineLvl w:val="9"/>
        <w:rPr>
          <w:rFonts w:hint="eastAsia" w:ascii="仿宋" w:hAnsi="仿宋" w:eastAsia="仿宋" w:cs="仿宋"/>
          <w:color w:val="auto"/>
          <w:sz w:val="24"/>
          <w:highlight w:val="none"/>
          <w:lang w:val="en-US" w:eastAsia="zh-CN"/>
        </w:rPr>
      </w:pPr>
    </w:p>
    <w:p w14:paraId="3DB42418">
      <w:pPr>
        <w:pStyle w:val="14"/>
        <w:rPr>
          <w:rFonts w:hint="eastAsia" w:ascii="仿宋" w:hAnsi="仿宋" w:eastAsia="仿宋" w:cs="仿宋"/>
          <w:color w:val="auto"/>
          <w:highlight w:val="none"/>
        </w:rPr>
      </w:pPr>
    </w:p>
    <w:p w14:paraId="5845528A">
      <w:pPr>
        <w:pStyle w:val="14"/>
        <w:rPr>
          <w:rFonts w:hint="eastAsia" w:ascii="仿宋" w:hAnsi="仿宋" w:eastAsia="仿宋" w:cs="仿宋"/>
          <w:color w:val="auto"/>
          <w:highlight w:val="none"/>
        </w:rPr>
      </w:pPr>
    </w:p>
    <w:p w14:paraId="2AD9389F">
      <w:pPr>
        <w:pStyle w:val="82"/>
        <w:rPr>
          <w:rFonts w:hint="eastAsia" w:ascii="仿宋" w:hAnsi="仿宋" w:eastAsia="仿宋" w:cs="仿宋"/>
          <w:color w:val="auto"/>
          <w:highlight w:val="none"/>
          <w:lang w:val="en-US" w:eastAsia="zh-CN"/>
        </w:rPr>
      </w:pPr>
    </w:p>
    <w:sectPr>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新宋体">
    <w:panose1 w:val="02010609030101010101"/>
    <w:charset w:val="86"/>
    <w:family w:val="auto"/>
    <w:pitch w:val="default"/>
    <w:sig w:usb0="00000203" w:usb1="288F0000" w:usb2="0000000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59B3">
    <w:pPr>
      <w:pStyle w:val="18"/>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0FAFFCC">
                          <w:pPr>
                            <w:pStyle w:val="1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CFl1nnEAQAAjwMAAA4AAAAAAAAAAQAgAAAAHwEAAGRycy9lMm9Eb2MueG1s&#10;UEsFBgAAAAAGAAYAWQEAAFUFAAAAAA==&#10;">
              <v:fill on="f" focussize="0,0"/>
              <v:stroke on="f"/>
              <v:imagedata o:title=""/>
              <o:lock v:ext="edit" aspectratio="f"/>
              <v:textbox inset="0mm,0mm,0mm,0mm" style="mso-fit-shape-to-text:t;">
                <w:txbxContent>
                  <w:p w14:paraId="10FAFFCC">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1028F">
    <w:pPr>
      <w:pStyle w:val="18"/>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7AD9E7C">
                          <w:pPr>
                            <w:pStyle w:val="18"/>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47AD9E7C">
                    <w:pPr>
                      <w:pStyle w:val="18"/>
                    </w:pPr>
                    <w:r>
                      <w:fldChar w:fldCharType="begin"/>
                    </w:r>
                    <w:r>
                      <w:instrText xml:space="preserve"> PAGE  \* MERGEFORMAT </w:instrText>
                    </w:r>
                    <w:r>
                      <w:fldChar w:fldCharType="separate"/>
                    </w:r>
                    <w:r>
                      <w:t>33</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4E414">
    <w:pPr>
      <w:pStyle w:val="18"/>
      <w:jc w:val="center"/>
      <w:rPr>
        <w:rFonts w:hint="eastAsi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530601D">
                          <w:pPr>
                            <w:pStyle w:val="18"/>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9uXjEAQAAjw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q+4swJSxd++f7t8uPX5edX&#10;9jb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KT9uXjEAQAAjwMAAA4AAAAAAAAAAQAgAAAAHwEAAGRycy9lMm9Eb2MueG1s&#10;UEsFBgAAAAAGAAYAWQEAAFUFAAAAAA==&#10;">
              <v:fill on="f" focussize="0,0"/>
              <v:stroke on="f"/>
              <v:imagedata o:title=""/>
              <o:lock v:ext="edit" aspectratio="f"/>
              <v:textbox inset="0mm,0mm,0mm,0mm" style="mso-fit-shape-to-text:t;">
                <w:txbxContent>
                  <w:p w14:paraId="7530601D">
                    <w:pPr>
                      <w:pStyle w:val="18"/>
                    </w:pPr>
                    <w:r>
                      <w:fldChar w:fldCharType="begin"/>
                    </w:r>
                    <w:r>
                      <w:instrText xml:space="preserve"> PAGE  \* MERGEFORMAT </w:instrText>
                    </w:r>
                    <w:r>
                      <w:fldChar w:fldCharType="separate"/>
                    </w:r>
                    <w:r>
                      <w:t>63</w:t>
                    </w:r>
                    <w:r>
                      <w:fldChar w:fldCharType="end"/>
                    </w:r>
                  </w:p>
                </w:txbxContent>
              </v:textbox>
            </v:rect>
          </w:pict>
        </mc:Fallback>
      </mc:AlternateContent>
    </w:r>
  </w:p>
  <w:p w14:paraId="3F612D89">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6E4A3">
    <w:pPr>
      <w:pStyle w:val="18"/>
      <w:jc w:val="center"/>
      <w:rPr>
        <w:rFonts w:hint="eastAsi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06FE775">
                          <w:pPr>
                            <w:pStyle w:val="18"/>
                          </w:pPr>
                          <w:r>
                            <w:fldChar w:fldCharType="begin"/>
                          </w:r>
                          <w:r>
                            <w:instrText xml:space="preserve"> PAGE  \* MERGEFORMAT </w:instrText>
                          </w:r>
                          <w:r>
                            <w:fldChar w:fldCharType="separate"/>
                          </w:r>
                          <w:r>
                            <w:t>75</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JYoMzEAQAAjwMAAA4AAABkcnMvZTJvRG9jLnhtbK1TzY7TMBC+I/EO&#10;lu80aUG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1fc+aEpQu//Ph++fn78usb&#10;e5P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GJYoMzEAQAAjwMAAA4AAAAAAAAAAQAgAAAAHwEAAGRycy9lMm9Eb2MueG1s&#10;UEsFBgAAAAAGAAYAWQEAAFUFAAAAAA==&#10;">
              <v:fill on="f" focussize="0,0"/>
              <v:stroke on="f"/>
              <v:imagedata o:title=""/>
              <o:lock v:ext="edit" aspectratio="f"/>
              <v:textbox inset="0mm,0mm,0mm,0mm" style="mso-fit-shape-to-text:t;">
                <w:txbxContent>
                  <w:p w14:paraId="306FE775">
                    <w:pPr>
                      <w:pStyle w:val="18"/>
                    </w:pPr>
                    <w:r>
                      <w:fldChar w:fldCharType="begin"/>
                    </w:r>
                    <w:r>
                      <w:instrText xml:space="preserve"> PAGE  \* MERGEFORMAT </w:instrText>
                    </w:r>
                    <w:r>
                      <w:fldChar w:fldCharType="separate"/>
                    </w:r>
                    <w:r>
                      <w:t>75</w:t>
                    </w:r>
                    <w:r>
                      <w:fldChar w:fldCharType="end"/>
                    </w:r>
                  </w:p>
                </w:txbxContent>
              </v:textbox>
            </v:rect>
          </w:pict>
        </mc:Fallback>
      </mc:AlternateContent>
    </w:r>
  </w:p>
  <w:p w14:paraId="33509EB4">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207AD">
    <w:pPr>
      <w:pStyle w:val="18"/>
      <w:ind w:right="360"/>
      <w:jc w:val="center"/>
      <w:rPr>
        <w:rFonts w:hint="eastAsi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544CB65">
                          <w:pPr>
                            <w:pStyle w:val="18"/>
                          </w:pPr>
                          <w:r>
                            <w:fldChar w:fldCharType="begin"/>
                          </w:r>
                          <w:r>
                            <w:instrText xml:space="preserve"> PAGE  \* MERGEFORMAT </w:instrText>
                          </w:r>
                          <w:r>
                            <w:fldChar w:fldCharType="separate"/>
                          </w:r>
                          <w:r>
                            <w:t>76</w:t>
                          </w:r>
                          <w: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q2ZTEAQAAjwMAAA4AAABkcnMvZTJvRG9jLnhtbK1TzY7TMBC+I/EO&#10;lu80aQW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1fc+aEpQu//Ph++fn78usb&#10;e5P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Mq2ZTEAQAAjwMAAA4AAAAAAAAAAQAgAAAAHwEAAGRycy9lMm9Eb2MueG1s&#10;UEsFBgAAAAAGAAYAWQEAAFUFAAAAAA==&#10;">
              <v:fill on="f" focussize="0,0"/>
              <v:stroke on="f"/>
              <v:imagedata o:title=""/>
              <o:lock v:ext="edit" aspectratio="f"/>
              <v:textbox inset="0mm,0mm,0mm,0mm" style="mso-fit-shape-to-text:t;">
                <w:txbxContent>
                  <w:p w14:paraId="7544CB65">
                    <w:pPr>
                      <w:pStyle w:val="18"/>
                    </w:pPr>
                    <w:r>
                      <w:fldChar w:fldCharType="begin"/>
                    </w:r>
                    <w:r>
                      <w:instrText xml:space="preserve"> PAGE  \* MERGEFORMAT </w:instrText>
                    </w:r>
                    <w:r>
                      <w:fldChar w:fldCharType="separate"/>
                    </w:r>
                    <w:r>
                      <w:t>76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8FFC">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0957">
    <w:pPr>
      <w:tabs>
        <w:tab w:val="left" w:pos="2863"/>
      </w:tabs>
      <w:jc w:val="cen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F124A">
    <w:pPr>
      <w:tabs>
        <w:tab w:val="left" w:pos="2863"/>
      </w:tabs>
      <w:jc w:val="cente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A926C">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F717C"/>
    <w:multiLevelType w:val="singleLevel"/>
    <w:tmpl w:val="8E7F717C"/>
    <w:lvl w:ilvl="0" w:tentative="0">
      <w:start w:val="3"/>
      <w:numFmt w:val="chineseCounting"/>
      <w:suff w:val="space"/>
      <w:lvlText w:val="第%1条"/>
      <w:lvlJc w:val="left"/>
      <w:rPr>
        <w:rFonts w:hint="eastAsia"/>
      </w:rPr>
    </w:lvl>
  </w:abstractNum>
  <w:abstractNum w:abstractNumId="1">
    <w:nsid w:val="959B89EC"/>
    <w:multiLevelType w:val="singleLevel"/>
    <w:tmpl w:val="959B89EC"/>
    <w:lvl w:ilvl="0" w:tentative="0">
      <w:start w:val="1"/>
      <w:numFmt w:val="chineseCounting"/>
      <w:suff w:val="nothing"/>
      <w:lvlText w:val="%1、"/>
      <w:lvlJc w:val="left"/>
      <w:rPr>
        <w:rFonts w:hint="eastAsia"/>
      </w:rPr>
    </w:lvl>
  </w:abstractNum>
  <w:abstractNum w:abstractNumId="2">
    <w:nsid w:val="A55B4709"/>
    <w:multiLevelType w:val="singleLevel"/>
    <w:tmpl w:val="A55B4709"/>
    <w:lvl w:ilvl="0" w:tentative="0">
      <w:start w:val="1"/>
      <w:numFmt w:val="chineseCounting"/>
      <w:suff w:val="nothing"/>
      <w:lvlText w:val="（%1）"/>
      <w:lvlJc w:val="left"/>
      <w:pPr>
        <w:ind w:left="300" w:leftChars="0" w:firstLine="0" w:firstLineChars="0"/>
      </w:pPr>
      <w:rPr>
        <w:rFonts w:hint="eastAsia"/>
      </w:rPr>
    </w:lvl>
  </w:abstractNum>
  <w:abstractNum w:abstractNumId="3">
    <w:nsid w:val="CC031F96"/>
    <w:multiLevelType w:val="singleLevel"/>
    <w:tmpl w:val="CC031F96"/>
    <w:lvl w:ilvl="0" w:tentative="0">
      <w:start w:val="1"/>
      <w:numFmt w:val="decimal"/>
      <w:suff w:val="nothing"/>
      <w:lvlText w:val="（%1）"/>
      <w:lvlJc w:val="left"/>
    </w:lvl>
  </w:abstractNum>
  <w:abstractNum w:abstractNumId="4">
    <w:nsid w:val="FC4B9B07"/>
    <w:multiLevelType w:val="singleLevel"/>
    <w:tmpl w:val="FC4B9B07"/>
    <w:lvl w:ilvl="0" w:tentative="0">
      <w:start w:val="1"/>
      <w:numFmt w:val="decimal"/>
      <w:suff w:val="nothing"/>
      <w:lvlText w:val="%1、"/>
      <w:lvlJc w:val="left"/>
      <w:pPr>
        <w:ind w:left="300" w:leftChars="0" w:firstLine="0" w:firstLineChars="0"/>
      </w:pPr>
    </w:lvl>
  </w:abstractNum>
  <w:abstractNum w:abstractNumId="5">
    <w:nsid w:val="00000008"/>
    <w:multiLevelType w:val="multilevel"/>
    <w:tmpl w:val="00000008"/>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09"/>
    <w:multiLevelType w:val="multilevel"/>
    <w:tmpl w:val="00000009"/>
    <w:lvl w:ilvl="0" w:tentative="0">
      <w:start w:val="2"/>
      <w:numFmt w:val="decimal"/>
      <w:pStyle w:val="89"/>
      <w:suff w:val="nothing"/>
      <w:lvlText w:val="%1、"/>
      <w:lvlJc w:val="left"/>
    </w:lvl>
    <w:lvl w:ilvl="1" w:tentative="0">
      <w:start w:val="1"/>
      <w:numFmt w:val="decimal"/>
      <w:pStyle w:val="109"/>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5"/>
      <w:lvlText w:val="%4)"/>
      <w:lvlJc w:val="left"/>
      <w:pPr>
        <w:tabs>
          <w:tab w:val="left" w:pos="1680"/>
        </w:tabs>
        <w:ind w:left="1680" w:hanging="420"/>
      </w:pPr>
      <w:rPr>
        <w:rFonts w:hint="default"/>
      </w:rPr>
    </w:lvl>
    <w:lvl w:ilvl="4" w:tentative="0">
      <w:start w:val="1"/>
      <w:numFmt w:val="lowerLetter"/>
      <w:pStyle w:val="6"/>
      <w:lvlText w:val="%5."/>
      <w:lvlJc w:val="left"/>
      <w:pPr>
        <w:tabs>
          <w:tab w:val="left" w:pos="2100"/>
        </w:tabs>
        <w:ind w:left="2100" w:hanging="420"/>
      </w:pPr>
      <w:rPr>
        <w:rFonts w:hint="default"/>
      </w:rPr>
    </w:lvl>
    <w:lvl w:ilvl="5" w:tentative="0">
      <w:start w:val="1"/>
      <w:numFmt w:val="lowerLetter"/>
      <w:pStyle w:val="7"/>
      <w:lvlText w:val="%6)"/>
      <w:lvlJc w:val="left"/>
      <w:pPr>
        <w:tabs>
          <w:tab w:val="left" w:pos="2520"/>
        </w:tabs>
        <w:ind w:left="2520" w:hanging="420"/>
      </w:pPr>
      <w:rPr>
        <w:rFonts w:hint="default"/>
      </w:rPr>
    </w:lvl>
    <w:lvl w:ilvl="6" w:tentative="0">
      <w:start w:val="1"/>
      <w:numFmt w:val="lowerRoman"/>
      <w:pStyle w:val="8"/>
      <w:lvlText w:val="%7."/>
      <w:lvlJc w:val="left"/>
      <w:pPr>
        <w:tabs>
          <w:tab w:val="left" w:pos="2940"/>
        </w:tabs>
        <w:ind w:left="2940" w:hanging="420"/>
      </w:pPr>
      <w:rPr>
        <w:rFonts w:hint="default"/>
      </w:rPr>
    </w:lvl>
    <w:lvl w:ilvl="7" w:tentative="0">
      <w:start w:val="1"/>
      <w:numFmt w:val="lowerRoman"/>
      <w:pStyle w:val="9"/>
      <w:lvlText w:val="%8)"/>
      <w:lvlJc w:val="left"/>
      <w:pPr>
        <w:tabs>
          <w:tab w:val="left" w:pos="3360"/>
        </w:tabs>
        <w:ind w:left="3360" w:hanging="420"/>
      </w:pPr>
      <w:rPr>
        <w:rFonts w:hint="default"/>
      </w:rPr>
    </w:lvl>
    <w:lvl w:ilvl="8" w:tentative="0">
      <w:start w:val="1"/>
      <w:numFmt w:val="lowerLetter"/>
      <w:pStyle w:val="10"/>
      <w:lvlText w:val="%9."/>
      <w:lvlJc w:val="left"/>
      <w:pPr>
        <w:tabs>
          <w:tab w:val="left" w:pos="3780"/>
        </w:tabs>
        <w:ind w:left="3780" w:hanging="420"/>
      </w:pPr>
      <w:rPr>
        <w:rFonts w:hint="default"/>
      </w:rPr>
    </w:lvl>
  </w:abstractNum>
  <w:abstractNum w:abstractNumId="7">
    <w:nsid w:val="0000000A"/>
    <w:multiLevelType w:val="singleLevel"/>
    <w:tmpl w:val="0000000A"/>
    <w:lvl w:ilvl="0" w:tentative="0">
      <w:start w:val="1"/>
      <w:numFmt w:val="decimal"/>
      <w:pStyle w:val="11"/>
      <w:lvlText w:val="%1."/>
      <w:lvlJc w:val="left"/>
      <w:pPr>
        <w:tabs>
          <w:tab w:val="left" w:pos="360"/>
        </w:tabs>
        <w:ind w:left="360" w:hanging="360"/>
      </w:pPr>
    </w:lvl>
  </w:abstractNum>
  <w:abstractNum w:abstractNumId="8">
    <w:nsid w:val="0000000B"/>
    <w:multiLevelType w:val="singleLevel"/>
    <w:tmpl w:val="0000000B"/>
    <w:lvl w:ilvl="0" w:tentative="0">
      <w:start w:val="1"/>
      <w:numFmt w:val="decimal"/>
      <w:pStyle w:val="110"/>
      <w:suff w:val="nothing"/>
      <w:lvlText w:val="%1、"/>
      <w:lvlJc w:val="left"/>
    </w:lvl>
  </w:abstractNum>
  <w:abstractNum w:abstractNumId="9">
    <w:nsid w:val="0000000D"/>
    <w:multiLevelType w:val="singleLevel"/>
    <w:tmpl w:val="0000000D"/>
    <w:lvl w:ilvl="0" w:tentative="0">
      <w:start w:val="11"/>
      <w:numFmt w:val="decimal"/>
      <w:suff w:val="nothing"/>
      <w:lvlText w:val="%1、"/>
      <w:lvlJc w:val="left"/>
      <w:pPr>
        <w:ind w:left="481" w:firstLine="0"/>
      </w:pPr>
    </w:lvl>
  </w:abstractNum>
  <w:abstractNum w:abstractNumId="10">
    <w:nsid w:val="0000000E"/>
    <w:multiLevelType w:val="multilevel"/>
    <w:tmpl w:val="0000000E"/>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F"/>
    <w:multiLevelType w:val="singleLevel"/>
    <w:tmpl w:val="0000000F"/>
    <w:lvl w:ilvl="0" w:tentative="0">
      <w:start w:val="2"/>
      <w:numFmt w:val="chineseCounting"/>
      <w:suff w:val="nothing"/>
      <w:lvlText w:val="（%1）"/>
      <w:lvlJc w:val="left"/>
      <w:rPr>
        <w:rFonts w:hint="eastAsia"/>
      </w:rPr>
    </w:lvl>
  </w:abstractNum>
  <w:abstractNum w:abstractNumId="12">
    <w:nsid w:val="00000010"/>
    <w:multiLevelType w:val="multilevel"/>
    <w:tmpl w:val="00000010"/>
    <w:lvl w:ilvl="0" w:tentative="0">
      <w:start w:val="1"/>
      <w:numFmt w:val="decimal"/>
      <w:pStyle w:val="137"/>
      <w:isLgl/>
      <w:lvlText w:val="%1"/>
      <w:lvlJc w:val="left"/>
      <w:pPr>
        <w:ind w:left="425" w:hanging="425"/>
      </w:pPr>
      <w:rPr>
        <w:rFonts w:hint="eastAsia"/>
      </w:rPr>
    </w:lvl>
    <w:lvl w:ilvl="1" w:tentative="0">
      <w:start w:val="1"/>
      <w:numFmt w:val="decimal"/>
      <w:pStyle w:val="136"/>
      <w:lvlText w:val="%1.%2"/>
      <w:lvlJc w:val="left"/>
      <w:pPr>
        <w:ind w:left="0" w:firstLine="0"/>
      </w:pPr>
      <w:rPr>
        <w:rFonts w:hint="eastAsia"/>
      </w:rPr>
    </w:lvl>
    <w:lvl w:ilvl="2" w:tentative="0">
      <w:start w:val="2"/>
      <w:numFmt w:val="decimal"/>
      <w:lvlText w:val="%1.%2.%3"/>
      <w:lvlJc w:val="left"/>
      <w:pPr>
        <w:ind w:left="1134"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03775832"/>
    <w:multiLevelType w:val="singleLevel"/>
    <w:tmpl w:val="03775832"/>
    <w:lvl w:ilvl="0" w:tentative="0">
      <w:start w:val="1"/>
      <w:numFmt w:val="decimal"/>
      <w:suff w:val="nothing"/>
      <w:lvlText w:val="（%1）"/>
      <w:lvlJc w:val="left"/>
    </w:lvl>
  </w:abstractNum>
  <w:abstractNum w:abstractNumId="14">
    <w:nsid w:val="06CBC2AF"/>
    <w:multiLevelType w:val="singleLevel"/>
    <w:tmpl w:val="06CBC2AF"/>
    <w:lvl w:ilvl="0" w:tentative="0">
      <w:start w:val="1"/>
      <w:numFmt w:val="decimal"/>
      <w:suff w:val="nothing"/>
      <w:lvlText w:val="（%1）"/>
      <w:lvlJc w:val="left"/>
    </w:lvl>
  </w:abstractNum>
  <w:abstractNum w:abstractNumId="15">
    <w:nsid w:val="27F5AA74"/>
    <w:multiLevelType w:val="singleLevel"/>
    <w:tmpl w:val="27F5AA74"/>
    <w:lvl w:ilvl="0" w:tentative="0">
      <w:start w:val="1"/>
      <w:numFmt w:val="chineseCounting"/>
      <w:suff w:val="nothing"/>
      <w:lvlText w:val="（%1）"/>
      <w:lvlJc w:val="left"/>
      <w:rPr>
        <w:rFonts w:hint="eastAsia"/>
      </w:rPr>
    </w:lvl>
  </w:abstractNum>
  <w:abstractNum w:abstractNumId="16">
    <w:nsid w:val="48BFEAD1"/>
    <w:multiLevelType w:val="singleLevel"/>
    <w:tmpl w:val="48BFEAD1"/>
    <w:lvl w:ilvl="0" w:tentative="0">
      <w:start w:val="1"/>
      <w:numFmt w:val="decimal"/>
      <w:suff w:val="nothing"/>
      <w:lvlText w:val="%1、"/>
      <w:lvlJc w:val="left"/>
    </w:lvl>
  </w:abstractNum>
  <w:abstractNum w:abstractNumId="17">
    <w:nsid w:val="4AFC761B"/>
    <w:multiLevelType w:val="singleLevel"/>
    <w:tmpl w:val="4AFC761B"/>
    <w:lvl w:ilvl="0" w:tentative="0">
      <w:start w:val="1"/>
      <w:numFmt w:val="decimal"/>
      <w:suff w:val="nothing"/>
      <w:lvlText w:val="（%1）"/>
      <w:lvlJc w:val="left"/>
    </w:lvl>
  </w:abstractNum>
  <w:abstractNum w:abstractNumId="18">
    <w:nsid w:val="587AAFF8"/>
    <w:multiLevelType w:val="singleLevel"/>
    <w:tmpl w:val="587AAFF8"/>
    <w:lvl w:ilvl="0" w:tentative="0">
      <w:start w:val="1"/>
      <w:numFmt w:val="decimal"/>
      <w:suff w:val="nothing"/>
      <w:lvlText w:val="（%1）"/>
      <w:lvlJc w:val="left"/>
    </w:lvl>
  </w:abstractNum>
  <w:abstractNum w:abstractNumId="19">
    <w:nsid w:val="659C6490"/>
    <w:multiLevelType w:val="singleLevel"/>
    <w:tmpl w:val="659C6490"/>
    <w:lvl w:ilvl="0" w:tentative="0">
      <w:start w:val="1"/>
      <w:numFmt w:val="decimal"/>
      <w:suff w:val="nothing"/>
      <w:lvlText w:val="（%1）"/>
      <w:lvlJc w:val="left"/>
    </w:lvl>
  </w:abstractNum>
  <w:num w:numId="1">
    <w:abstractNumId w:val="6"/>
  </w:num>
  <w:num w:numId="2">
    <w:abstractNumId w:val="7"/>
  </w:num>
  <w:num w:numId="3">
    <w:abstractNumId w:val="8"/>
  </w:num>
  <w:num w:numId="4">
    <w:abstractNumId w:val="12"/>
  </w:num>
  <w:num w:numId="5">
    <w:abstractNumId w:val="9"/>
  </w:num>
  <w:num w:numId="6">
    <w:abstractNumId w:val="10"/>
  </w:num>
  <w:num w:numId="7">
    <w:abstractNumId w:val="0"/>
  </w:num>
  <w:num w:numId="8">
    <w:abstractNumId w:val="1"/>
  </w:num>
  <w:num w:numId="9">
    <w:abstractNumId w:val="16"/>
  </w:num>
  <w:num w:numId="10">
    <w:abstractNumId w:val="2"/>
  </w:num>
  <w:num w:numId="11">
    <w:abstractNumId w:val="4"/>
  </w:num>
  <w:num w:numId="12">
    <w:abstractNumId w:val="13"/>
  </w:num>
  <w:num w:numId="13">
    <w:abstractNumId w:val="3"/>
  </w:num>
  <w:num w:numId="14">
    <w:abstractNumId w:val="14"/>
  </w:num>
  <w:num w:numId="15">
    <w:abstractNumId w:val="17"/>
  </w:num>
  <w:num w:numId="16">
    <w:abstractNumId w:val="19"/>
  </w:num>
  <w:num w:numId="17">
    <w:abstractNumId w:val="18"/>
  </w:num>
  <w:num w:numId="18">
    <w:abstractNumId w:val="15"/>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14C97"/>
    <w:rsid w:val="03975544"/>
    <w:rsid w:val="07DC39C9"/>
    <w:rsid w:val="08C079C9"/>
    <w:rsid w:val="0B1379DD"/>
    <w:rsid w:val="0BCC5928"/>
    <w:rsid w:val="0EBD2E3C"/>
    <w:rsid w:val="0F6D580A"/>
    <w:rsid w:val="10A434F8"/>
    <w:rsid w:val="15C44B1C"/>
    <w:rsid w:val="1B8C2D25"/>
    <w:rsid w:val="1C891EFE"/>
    <w:rsid w:val="1E241CB5"/>
    <w:rsid w:val="20672712"/>
    <w:rsid w:val="228E4DC3"/>
    <w:rsid w:val="276A2601"/>
    <w:rsid w:val="28266430"/>
    <w:rsid w:val="29E64B74"/>
    <w:rsid w:val="2A8111E2"/>
    <w:rsid w:val="2E8E68E9"/>
    <w:rsid w:val="2F062645"/>
    <w:rsid w:val="33B854EA"/>
    <w:rsid w:val="366A1CEE"/>
    <w:rsid w:val="393762C8"/>
    <w:rsid w:val="3A756234"/>
    <w:rsid w:val="4284244B"/>
    <w:rsid w:val="430905FE"/>
    <w:rsid w:val="4349067A"/>
    <w:rsid w:val="46764194"/>
    <w:rsid w:val="478432C3"/>
    <w:rsid w:val="49380B20"/>
    <w:rsid w:val="51346287"/>
    <w:rsid w:val="54065CB8"/>
    <w:rsid w:val="555B3FA7"/>
    <w:rsid w:val="57AB3790"/>
    <w:rsid w:val="5824201E"/>
    <w:rsid w:val="5A513A05"/>
    <w:rsid w:val="5B4358CA"/>
    <w:rsid w:val="5CC93D27"/>
    <w:rsid w:val="5F1919AA"/>
    <w:rsid w:val="62DA245A"/>
    <w:rsid w:val="63561CCA"/>
    <w:rsid w:val="63A54283"/>
    <w:rsid w:val="6D120434"/>
    <w:rsid w:val="6F8F7469"/>
    <w:rsid w:val="71BE76AE"/>
    <w:rsid w:val="73B878CF"/>
    <w:rsid w:val="741645AF"/>
    <w:rsid w:val="74E1530E"/>
    <w:rsid w:val="78C724BE"/>
    <w:rsid w:val="7B3343B9"/>
    <w:rsid w:val="7C6232F8"/>
    <w:rsid w:val="7F6A45CF"/>
    <w:rsid w:val="7FCD2F3A"/>
    <w:rsid w:val="7FF946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link w:val="36"/>
    <w:qFormat/>
    <w:uiPriority w:val="0"/>
    <w:pPr>
      <w:keepNext/>
      <w:keepLines/>
      <w:spacing w:before="340" w:after="330" w:line="578" w:lineRule="auto"/>
      <w:outlineLvl w:val="0"/>
    </w:pPr>
    <w:rPr>
      <w:kern w:val="44"/>
      <w:sz w:val="44"/>
      <w:szCs w:val="44"/>
    </w:rPr>
  </w:style>
  <w:style w:type="paragraph" w:styleId="3">
    <w:name w:val="heading 2"/>
    <w:basedOn w:val="4"/>
    <w:next w:val="1"/>
    <w:link w:val="37"/>
    <w:qFormat/>
    <w:uiPriority w:val="0"/>
    <w:pPr>
      <w:keepNext/>
      <w:keepLines/>
      <w:spacing w:before="260" w:after="260" w:line="416" w:lineRule="auto"/>
      <w:outlineLvl w:val="1"/>
    </w:pPr>
    <w:rPr>
      <w:rFonts w:ascii="Arial Black" w:hAnsi="Arial Black" w:eastAsia="黑体"/>
      <w:kern w:val="2"/>
      <w:sz w:val="32"/>
      <w:szCs w:val="32"/>
      <w:lang w:val="en-US" w:eastAsia="zh-CN" w:bidi="ar-SA"/>
    </w:rPr>
  </w:style>
  <w:style w:type="paragraph" w:styleId="4">
    <w:name w:val="heading 3"/>
    <w:basedOn w:val="1"/>
    <w:next w:val="1"/>
    <w:link w:val="163"/>
    <w:qFormat/>
    <w:uiPriority w:val="0"/>
    <w:pPr>
      <w:keepNext/>
      <w:keepLines/>
      <w:spacing w:before="260" w:after="260" w:line="416" w:lineRule="auto"/>
      <w:outlineLvl w:val="2"/>
    </w:pPr>
    <w:rPr>
      <w:rFonts w:cs="Times New Roman"/>
      <w:b/>
      <w:bCs/>
      <w:sz w:val="32"/>
      <w:szCs w:val="32"/>
    </w:rPr>
  </w:style>
  <w:style w:type="paragraph" w:styleId="5">
    <w:name w:val="heading 4"/>
    <w:basedOn w:val="1"/>
    <w:next w:val="1"/>
    <w:link w:val="39"/>
    <w:qFormat/>
    <w:uiPriority w:val="0"/>
    <w:pPr>
      <w:keepNext/>
      <w:keepLines/>
      <w:numPr>
        <w:ilvl w:val="3"/>
        <w:numId w:val="1"/>
      </w:numPr>
      <w:adjustRightInd w:val="0"/>
      <w:spacing w:before="280" w:after="290" w:line="376" w:lineRule="atLeast"/>
      <w:jc w:val="left"/>
      <w:textAlignment w:val="baseline"/>
      <w:outlineLvl w:val="3"/>
    </w:pPr>
    <w:rPr>
      <w:rFonts w:eastAsia="黑体"/>
      <w:b/>
      <w:bCs/>
      <w:sz w:val="28"/>
      <w:szCs w:val="28"/>
    </w:rPr>
  </w:style>
  <w:style w:type="paragraph" w:styleId="6">
    <w:name w:val="heading 5"/>
    <w:basedOn w:val="1"/>
    <w:next w:val="1"/>
    <w:link w:val="40"/>
    <w:qFormat/>
    <w:uiPriority w:val="0"/>
    <w:pPr>
      <w:keepNext/>
      <w:keepLines/>
      <w:numPr>
        <w:ilvl w:val="4"/>
        <w:numId w:val="1"/>
      </w:numPr>
      <w:adjustRightInd w:val="0"/>
      <w:spacing w:before="280" w:after="290" w:line="376" w:lineRule="atLeast"/>
      <w:jc w:val="left"/>
      <w:textAlignment w:val="baseline"/>
      <w:outlineLvl w:val="4"/>
    </w:pPr>
    <w:rPr>
      <w:b/>
      <w:bCs/>
      <w:sz w:val="28"/>
      <w:szCs w:val="28"/>
    </w:rPr>
  </w:style>
  <w:style w:type="paragraph" w:styleId="7">
    <w:name w:val="heading 6"/>
    <w:basedOn w:val="1"/>
    <w:next w:val="1"/>
    <w:link w:val="41"/>
    <w:qFormat/>
    <w:uiPriority w:val="0"/>
    <w:pPr>
      <w:keepNext/>
      <w:keepLines/>
      <w:numPr>
        <w:ilvl w:val="5"/>
        <w:numId w:val="1"/>
      </w:numPr>
      <w:adjustRightInd w:val="0"/>
      <w:spacing w:before="240" w:after="64" w:line="320" w:lineRule="atLeast"/>
      <w:jc w:val="left"/>
      <w:textAlignment w:val="baseline"/>
      <w:outlineLvl w:val="5"/>
    </w:pPr>
    <w:rPr>
      <w:rFonts w:eastAsia="黑体"/>
      <w:b/>
      <w:bCs/>
      <w:sz w:val="24"/>
      <w:szCs w:val="24"/>
    </w:rPr>
  </w:style>
  <w:style w:type="paragraph" w:styleId="8">
    <w:name w:val="heading 7"/>
    <w:basedOn w:val="1"/>
    <w:next w:val="1"/>
    <w:link w:val="42"/>
    <w:qFormat/>
    <w:uiPriority w:val="0"/>
    <w:pPr>
      <w:keepNext/>
      <w:keepLines/>
      <w:numPr>
        <w:ilvl w:val="6"/>
        <w:numId w:val="1"/>
      </w:numPr>
      <w:adjustRightInd w:val="0"/>
      <w:spacing w:before="240" w:after="64" w:line="320" w:lineRule="atLeast"/>
      <w:jc w:val="left"/>
      <w:textAlignment w:val="baseline"/>
      <w:outlineLvl w:val="6"/>
    </w:pPr>
    <w:rPr>
      <w:b/>
      <w:bCs/>
      <w:sz w:val="24"/>
      <w:szCs w:val="24"/>
    </w:rPr>
  </w:style>
  <w:style w:type="paragraph" w:styleId="9">
    <w:name w:val="heading 8"/>
    <w:basedOn w:val="1"/>
    <w:next w:val="1"/>
    <w:link w:val="43"/>
    <w:qFormat/>
    <w:uiPriority w:val="0"/>
    <w:pPr>
      <w:keepNext/>
      <w:keepLines/>
      <w:numPr>
        <w:ilvl w:val="7"/>
        <w:numId w:val="1"/>
      </w:numPr>
      <w:adjustRightInd w:val="0"/>
      <w:spacing w:before="240" w:after="64" w:line="320" w:lineRule="atLeast"/>
      <w:jc w:val="left"/>
      <w:textAlignment w:val="baseline"/>
      <w:outlineLvl w:val="7"/>
    </w:pPr>
    <w:rPr>
      <w:rFonts w:eastAsia="黑体"/>
      <w:sz w:val="24"/>
      <w:szCs w:val="24"/>
    </w:rPr>
  </w:style>
  <w:style w:type="paragraph" w:styleId="10">
    <w:name w:val="heading 9"/>
    <w:basedOn w:val="1"/>
    <w:next w:val="1"/>
    <w:link w:val="44"/>
    <w:qFormat/>
    <w:uiPriority w:val="0"/>
    <w:pPr>
      <w:keepNext/>
      <w:keepLines/>
      <w:numPr>
        <w:ilvl w:val="8"/>
        <w:numId w:val="1"/>
      </w:numPr>
      <w:adjustRightInd w:val="0"/>
      <w:spacing w:before="240" w:after="64" w:line="320" w:lineRule="atLeast"/>
      <w:jc w:val="left"/>
      <w:textAlignment w:val="baseline"/>
      <w:outlineLvl w:val="8"/>
    </w:pPr>
    <w:rPr>
      <w:rFonts w:eastAsia="黑体"/>
      <w:sz w:val="21"/>
      <w:szCs w:val="21"/>
    </w:rPr>
  </w:style>
  <w:style w:type="character" w:default="1" w:styleId="30">
    <w:name w:val="Default Paragraph Font"/>
    <w:link w:val="31"/>
    <w:semiHidden/>
    <w:qFormat/>
    <w:uiPriority w:val="0"/>
    <w:rPr>
      <w:szCs w:val="21"/>
    </w:rPr>
  </w:style>
  <w:style w:type="table" w:default="1" w:styleId="29">
    <w:name w:val="Normal Table"/>
    <w:semiHidden/>
    <w:qFormat/>
    <w:uiPriority w:val="0"/>
    <w:tblPr>
      <w:tblCellMar>
        <w:top w:w="0" w:type="dxa"/>
        <w:left w:w="108" w:type="dxa"/>
        <w:bottom w:w="0" w:type="dxa"/>
        <w:right w:w="108" w:type="dxa"/>
      </w:tblCellMar>
    </w:tblPr>
  </w:style>
  <w:style w:type="paragraph" w:styleId="11">
    <w:name w:val="List Number"/>
    <w:basedOn w:val="1"/>
    <w:qFormat/>
    <w:uiPriority w:val="0"/>
    <w:pPr>
      <w:numPr>
        <w:ilvl w:val="0"/>
        <w:numId w:val="2"/>
      </w:numPr>
    </w:pPr>
  </w:style>
  <w:style w:type="paragraph" w:styleId="12">
    <w:name w:val="caption"/>
    <w:basedOn w:val="1"/>
    <w:next w:val="1"/>
    <w:qFormat/>
    <w:uiPriority w:val="0"/>
    <w:pPr>
      <w:spacing w:before="152" w:after="160"/>
    </w:pPr>
    <w:rPr>
      <w:rFonts w:ascii="Arial" w:hAnsi="Arial" w:eastAsia="黑体" w:cs="Arial"/>
      <w:sz w:val="20"/>
    </w:rPr>
  </w:style>
  <w:style w:type="paragraph" w:styleId="13">
    <w:name w:val="annotation text"/>
    <w:basedOn w:val="1"/>
    <w:link w:val="50"/>
    <w:qFormat/>
    <w:uiPriority w:val="0"/>
    <w:pPr>
      <w:jc w:val="left"/>
    </w:pPr>
    <w:rPr>
      <w:kern w:val="2"/>
      <w:sz w:val="21"/>
    </w:rPr>
  </w:style>
  <w:style w:type="paragraph" w:styleId="14">
    <w:name w:val="Body Text"/>
    <w:basedOn w:val="1"/>
    <w:link w:val="150"/>
    <w:qFormat/>
    <w:uiPriority w:val="0"/>
    <w:pPr>
      <w:spacing w:after="120"/>
    </w:pPr>
    <w:rPr>
      <w:kern w:val="2"/>
      <w:sz w:val="21"/>
      <w:szCs w:val="24"/>
    </w:rPr>
  </w:style>
  <w:style w:type="paragraph" w:styleId="15">
    <w:name w:val="Body Text Indent"/>
    <w:basedOn w:val="1"/>
    <w:next w:val="16"/>
    <w:link w:val="54"/>
    <w:qFormat/>
    <w:uiPriority w:val="0"/>
    <w:pPr>
      <w:spacing w:after="120" w:afterAutospacing="0"/>
      <w:ind w:left="420" w:leftChars="200"/>
    </w:pPr>
    <w:rPr>
      <w:rFonts w:eastAsia="宋体"/>
      <w:kern w:val="2"/>
      <w:sz w:val="24"/>
      <w:szCs w:val="24"/>
      <w:lang w:val="en-US" w:eastAsia="zh-CN" w:bidi="ar-SA"/>
    </w:rPr>
  </w:style>
  <w:style w:type="paragraph" w:styleId="16">
    <w:name w:val="Normal (Web)"/>
    <w:basedOn w:val="1"/>
    <w:next w:val="1"/>
    <w:qFormat/>
    <w:uiPriority w:val="0"/>
    <w:pPr>
      <w:widowControl/>
      <w:spacing w:before="100" w:beforeAutospacing="1" w:after="100" w:afterAutospacing="1"/>
      <w:jc w:val="left"/>
    </w:pPr>
    <w:rPr>
      <w:rFonts w:ascii="宋体"/>
      <w:kern w:val="0"/>
      <w:sz w:val="24"/>
      <w:szCs w:val="24"/>
    </w:rPr>
  </w:style>
  <w:style w:type="paragraph" w:styleId="17">
    <w:name w:val="toc 3"/>
    <w:basedOn w:val="1"/>
    <w:next w:val="1"/>
    <w:qFormat/>
    <w:uiPriority w:val="0"/>
    <w:pPr>
      <w:ind w:left="840" w:leftChars="400"/>
    </w:pPr>
    <w:rPr>
      <w:szCs w:val="24"/>
    </w:rPr>
  </w:style>
  <w:style w:type="paragraph" w:styleId="18">
    <w:name w:val="footer"/>
    <w:basedOn w:val="1"/>
    <w:next w:val="1"/>
    <w:link w:val="63"/>
    <w:qFormat/>
    <w:uiPriority w:val="0"/>
    <w:pPr>
      <w:tabs>
        <w:tab w:val="center" w:pos="4153"/>
        <w:tab w:val="right" w:pos="8306"/>
      </w:tabs>
      <w:snapToGrid w:val="0"/>
      <w:jc w:val="left"/>
    </w:pPr>
    <w:rPr>
      <w:kern w:val="2"/>
      <w:sz w:val="18"/>
      <w:szCs w:val="18"/>
    </w:rPr>
  </w:style>
  <w:style w:type="paragraph" w:styleId="19">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0"/>
    <w:rPr>
      <w:szCs w:val="24"/>
    </w:rPr>
  </w:style>
  <w:style w:type="paragraph" w:styleId="21">
    <w:name w:val="Subtitle"/>
    <w:basedOn w:val="1"/>
    <w:next w:val="1"/>
    <w:link w:val="69"/>
    <w:qFormat/>
    <w:uiPriority w:val="0"/>
    <w:pPr>
      <w:spacing w:before="240" w:after="60" w:line="312" w:lineRule="auto"/>
      <w:jc w:val="center"/>
      <w:outlineLvl w:val="1"/>
    </w:pPr>
    <w:rPr>
      <w:rFonts w:ascii="Cambria" w:hAnsi="Cambria" w:eastAsia="宋体"/>
      <w:b/>
      <w:bCs/>
      <w:kern w:val="28"/>
      <w:sz w:val="32"/>
      <w:szCs w:val="32"/>
      <w:lang w:val="en-US" w:eastAsia="zh-CN" w:bidi="ar-SA"/>
    </w:rPr>
  </w:style>
  <w:style w:type="paragraph" w:styleId="22">
    <w:name w:val="List"/>
    <w:basedOn w:val="1"/>
    <w:qFormat/>
    <w:uiPriority w:val="0"/>
    <w:pPr>
      <w:ind w:left="200" w:hanging="200" w:hangingChars="200"/>
    </w:pPr>
  </w:style>
  <w:style w:type="paragraph" w:styleId="23">
    <w:name w:val="footnote text"/>
    <w:basedOn w:val="1"/>
    <w:link w:val="70"/>
    <w:qFormat/>
    <w:uiPriority w:val="0"/>
    <w:pPr>
      <w:adjustRightInd w:val="0"/>
      <w:spacing w:line="312" w:lineRule="atLeast"/>
      <w:textAlignment w:val="baseline"/>
    </w:pPr>
    <w:rPr>
      <w:sz w:val="18"/>
    </w:rPr>
  </w:style>
  <w:style w:type="paragraph" w:styleId="24">
    <w:name w:val="toc 6"/>
    <w:basedOn w:val="1"/>
    <w:next w:val="1"/>
    <w:qFormat/>
    <w:uiPriority w:val="0"/>
    <w:pPr>
      <w:ind w:left="1400"/>
    </w:pPr>
    <w:rPr>
      <w:rFonts w:ascii="Calibri"/>
      <w:sz w:val="18"/>
      <w:szCs w:val="18"/>
    </w:rPr>
  </w:style>
  <w:style w:type="paragraph" w:styleId="25">
    <w:name w:val="Body Text Indent 3"/>
    <w:basedOn w:val="1"/>
    <w:qFormat/>
    <w:uiPriority w:val="0"/>
    <w:pPr>
      <w:ind w:left="1351" w:hanging="1351"/>
      <w:jc w:val="left"/>
    </w:pPr>
    <w:rPr>
      <w:sz w:val="28"/>
      <w:szCs w:val="20"/>
    </w:rPr>
  </w:style>
  <w:style w:type="paragraph" w:styleId="26">
    <w:name w:val="toc 2"/>
    <w:basedOn w:val="1"/>
    <w:next w:val="1"/>
    <w:qFormat/>
    <w:uiPriority w:val="0"/>
    <w:pPr>
      <w:ind w:left="420" w:leftChars="200"/>
    </w:pPr>
    <w:rPr>
      <w:szCs w:val="24"/>
    </w:rPr>
  </w:style>
  <w:style w:type="paragraph" w:styleId="27">
    <w:name w:val="Title"/>
    <w:basedOn w:val="1"/>
    <w:next w:val="1"/>
    <w:link w:val="75"/>
    <w:qFormat/>
    <w:uiPriority w:val="0"/>
    <w:pPr>
      <w:spacing w:before="240" w:after="60"/>
      <w:jc w:val="center"/>
      <w:outlineLvl w:val="0"/>
    </w:pPr>
    <w:rPr>
      <w:rFonts w:ascii="Cambria" w:hAnsi="Cambria"/>
      <w:b/>
      <w:bCs/>
      <w:kern w:val="2"/>
      <w:sz w:val="32"/>
      <w:szCs w:val="32"/>
    </w:rPr>
  </w:style>
  <w:style w:type="paragraph" w:styleId="28">
    <w:name w:val="Body Text First Indent 2"/>
    <w:basedOn w:val="15"/>
    <w:qFormat/>
    <w:uiPriority w:val="0"/>
    <w:pPr>
      <w:adjustRightInd/>
      <w:snapToGrid/>
      <w:spacing w:line="360" w:lineRule="auto"/>
      <w:ind w:firstLineChars="200"/>
      <w:jc w:val="both"/>
    </w:pPr>
    <w:rPr>
      <w:rFonts w:ascii="Times New Roman" w:hAnsi="Times New Roman" w:eastAsia="仿宋_GB2312"/>
      <w:spacing w:val="15"/>
      <w:kern w:val="10"/>
      <w:sz w:val="24"/>
    </w:rPr>
  </w:style>
  <w:style w:type="paragraph" w:customStyle="1" w:styleId="31">
    <w:name w:val="Char Char Char Char"/>
    <w:basedOn w:val="1"/>
    <w:link w:val="30"/>
    <w:qFormat/>
    <w:uiPriority w:val="0"/>
    <w:rPr>
      <w:szCs w:val="21"/>
    </w:rPr>
  </w:style>
  <w:style w:type="character" w:styleId="32">
    <w:name w:val="Strong"/>
    <w:basedOn w:val="30"/>
    <w:qFormat/>
    <w:uiPriority w:val="0"/>
    <w:rPr>
      <w:b/>
      <w:bCs/>
    </w:rPr>
  </w:style>
  <w:style w:type="character" w:styleId="33">
    <w:name w:val="Emphasis"/>
    <w:basedOn w:val="30"/>
    <w:qFormat/>
    <w:uiPriority w:val="0"/>
    <w:rPr>
      <w:i/>
    </w:rPr>
  </w:style>
  <w:style w:type="character" w:styleId="34">
    <w:name w:val="Hyperlink"/>
    <w:basedOn w:val="30"/>
    <w:qFormat/>
    <w:uiPriority w:val="0"/>
    <w:rPr>
      <w:color w:val="0000FF"/>
      <w:u w:val="single"/>
    </w:rPr>
  </w:style>
  <w:style w:type="paragraph" w:customStyle="1" w:styleId="35">
    <w:name w:val="文本正文"/>
    <w:basedOn w:val="1"/>
    <w:qFormat/>
    <w:uiPriority w:val="0"/>
    <w:pPr>
      <w:spacing w:afterLines="50"/>
      <w:ind w:firstLine="200" w:firstLineChars="200"/>
      <w:jc w:val="left"/>
    </w:pPr>
    <w:rPr>
      <w:rFonts w:ascii="Calibri" w:hAnsi="Calibri"/>
      <w:szCs w:val="22"/>
      <w:lang w:bidi="en-US"/>
    </w:rPr>
  </w:style>
  <w:style w:type="character" w:customStyle="1" w:styleId="36">
    <w:name w:val="标题 1 Char"/>
    <w:link w:val="2"/>
    <w:semiHidden/>
    <w:qFormat/>
    <w:uiPriority w:val="0"/>
    <w:rPr>
      <w:b/>
      <w:bCs/>
      <w:kern w:val="44"/>
      <w:sz w:val="44"/>
      <w:szCs w:val="44"/>
    </w:rPr>
  </w:style>
  <w:style w:type="character" w:customStyle="1" w:styleId="37">
    <w:name w:val="标题 2 Char"/>
    <w:basedOn w:val="30"/>
    <w:link w:val="3"/>
    <w:semiHidden/>
    <w:qFormat/>
    <w:uiPriority w:val="0"/>
    <w:rPr>
      <w:rFonts w:ascii="Arial Black" w:hAnsi="Arial Black" w:eastAsia="黑体"/>
      <w:b/>
      <w:bCs/>
      <w:kern w:val="2"/>
      <w:sz w:val="32"/>
      <w:szCs w:val="32"/>
      <w:lang w:val="en-US" w:eastAsia="zh-CN" w:bidi="ar-SA"/>
    </w:rPr>
  </w:style>
  <w:style w:type="character" w:customStyle="1" w:styleId="38">
    <w:name w:val="标题 3 Char"/>
    <w:basedOn w:val="30"/>
    <w:link w:val="4"/>
    <w:semiHidden/>
    <w:qFormat/>
    <w:uiPriority w:val="0"/>
    <w:rPr>
      <w:b/>
      <w:bCs/>
      <w:kern w:val="2"/>
      <w:sz w:val="32"/>
      <w:szCs w:val="32"/>
    </w:rPr>
  </w:style>
  <w:style w:type="character" w:customStyle="1" w:styleId="39">
    <w:name w:val="标题 4 Char"/>
    <w:basedOn w:val="30"/>
    <w:link w:val="5"/>
    <w:semiHidden/>
    <w:qFormat/>
    <w:uiPriority w:val="0"/>
    <w:rPr>
      <w:rFonts w:eastAsia="黑体"/>
      <w:b/>
      <w:bCs/>
      <w:sz w:val="28"/>
      <w:szCs w:val="28"/>
    </w:rPr>
  </w:style>
  <w:style w:type="character" w:customStyle="1" w:styleId="40">
    <w:name w:val="标题 5 Char"/>
    <w:basedOn w:val="30"/>
    <w:link w:val="6"/>
    <w:semiHidden/>
    <w:qFormat/>
    <w:uiPriority w:val="0"/>
    <w:rPr>
      <w:b/>
      <w:bCs/>
      <w:sz w:val="28"/>
      <w:szCs w:val="28"/>
    </w:rPr>
  </w:style>
  <w:style w:type="character" w:customStyle="1" w:styleId="41">
    <w:name w:val="标题 6 Char"/>
    <w:basedOn w:val="30"/>
    <w:link w:val="7"/>
    <w:semiHidden/>
    <w:qFormat/>
    <w:uiPriority w:val="0"/>
    <w:rPr>
      <w:rFonts w:eastAsia="黑体"/>
      <w:b/>
      <w:bCs/>
      <w:sz w:val="24"/>
      <w:szCs w:val="24"/>
    </w:rPr>
  </w:style>
  <w:style w:type="character" w:customStyle="1" w:styleId="42">
    <w:name w:val="标题 7 Char"/>
    <w:basedOn w:val="30"/>
    <w:link w:val="8"/>
    <w:semiHidden/>
    <w:qFormat/>
    <w:uiPriority w:val="0"/>
    <w:rPr>
      <w:b/>
      <w:bCs/>
      <w:sz w:val="24"/>
      <w:szCs w:val="24"/>
    </w:rPr>
  </w:style>
  <w:style w:type="character" w:customStyle="1" w:styleId="43">
    <w:name w:val="标题 8 Char"/>
    <w:basedOn w:val="30"/>
    <w:link w:val="9"/>
    <w:semiHidden/>
    <w:qFormat/>
    <w:uiPriority w:val="0"/>
    <w:rPr>
      <w:rFonts w:eastAsia="黑体"/>
      <w:sz w:val="24"/>
      <w:szCs w:val="24"/>
    </w:rPr>
  </w:style>
  <w:style w:type="character" w:customStyle="1" w:styleId="44">
    <w:name w:val="标题 9 Char"/>
    <w:basedOn w:val="30"/>
    <w:link w:val="10"/>
    <w:semiHidden/>
    <w:qFormat/>
    <w:uiPriority w:val="0"/>
    <w:rPr>
      <w:rFonts w:eastAsia="黑体"/>
      <w:sz w:val="21"/>
      <w:szCs w:val="21"/>
    </w:rPr>
  </w:style>
  <w:style w:type="character" w:customStyle="1" w:styleId="45">
    <w:name w:val="批注主题 Char"/>
    <w:basedOn w:val="46"/>
    <w:link w:val="47"/>
    <w:semiHidden/>
    <w:qFormat/>
    <w:uiPriority w:val="0"/>
  </w:style>
  <w:style w:type="character" w:customStyle="1" w:styleId="46">
    <w:name w:val="批注文字 Char1"/>
    <w:basedOn w:val="30"/>
    <w:link w:val="13"/>
    <w:semiHidden/>
    <w:qFormat/>
    <w:uiPriority w:val="0"/>
    <w:rPr>
      <w:kern w:val="2"/>
      <w:sz w:val="21"/>
    </w:rPr>
  </w:style>
  <w:style w:type="paragraph" w:customStyle="1" w:styleId="47">
    <w:name w:val="annotation subject"/>
    <w:basedOn w:val="13"/>
    <w:next w:val="13"/>
    <w:link w:val="45"/>
    <w:qFormat/>
    <w:uiPriority w:val="0"/>
  </w:style>
  <w:style w:type="character" w:customStyle="1" w:styleId="48">
    <w:name w:val="文档结构图 Char"/>
    <w:basedOn w:val="30"/>
    <w:link w:val="49"/>
    <w:semiHidden/>
    <w:qFormat/>
    <w:uiPriority w:val="0"/>
    <w:rPr>
      <w:kern w:val="2"/>
      <w:sz w:val="21"/>
      <w:szCs w:val="24"/>
      <w:shd w:val="clear" w:color="auto" w:fill="000080"/>
    </w:rPr>
  </w:style>
  <w:style w:type="paragraph" w:customStyle="1" w:styleId="49">
    <w:name w:val="Document Map"/>
    <w:basedOn w:val="1"/>
    <w:link w:val="48"/>
    <w:qFormat/>
    <w:uiPriority w:val="0"/>
    <w:pPr>
      <w:shd w:val="clear" w:color="auto" w:fill="000080"/>
    </w:pPr>
    <w:rPr>
      <w:kern w:val="2"/>
      <w:sz w:val="21"/>
      <w:szCs w:val="24"/>
      <w:shd w:val="clear" w:color="auto" w:fill="000080"/>
    </w:rPr>
  </w:style>
  <w:style w:type="character" w:customStyle="1" w:styleId="50">
    <w:name w:val="批注文字 Char"/>
    <w:link w:val="13"/>
    <w:semiHidden/>
    <w:qFormat/>
    <w:uiPriority w:val="0"/>
    <w:rPr>
      <w:rFonts w:eastAsia="宋体"/>
      <w:kern w:val="2"/>
      <w:sz w:val="21"/>
      <w:szCs w:val="24"/>
      <w:lang w:val="en-US" w:eastAsia="zh-CN" w:bidi="ar-SA"/>
    </w:rPr>
  </w:style>
  <w:style w:type="character" w:customStyle="1" w:styleId="51">
    <w:name w:val="正文文本 3 Char"/>
    <w:basedOn w:val="30"/>
    <w:link w:val="52"/>
    <w:semiHidden/>
    <w:qFormat/>
    <w:uiPriority w:val="0"/>
    <w:rPr>
      <w:kern w:val="2"/>
      <w:sz w:val="16"/>
      <w:szCs w:val="16"/>
    </w:rPr>
  </w:style>
  <w:style w:type="paragraph" w:customStyle="1" w:styleId="52">
    <w:name w:val="Body Text 3"/>
    <w:basedOn w:val="1"/>
    <w:link w:val="51"/>
    <w:qFormat/>
    <w:uiPriority w:val="0"/>
    <w:pPr>
      <w:spacing w:after="120"/>
    </w:pPr>
    <w:rPr>
      <w:kern w:val="2"/>
      <w:sz w:val="16"/>
      <w:szCs w:val="16"/>
    </w:rPr>
  </w:style>
  <w:style w:type="character" w:customStyle="1" w:styleId="53">
    <w:name w:val="正文文本 Char"/>
    <w:link w:val="14"/>
    <w:semiHidden/>
    <w:qFormat/>
    <w:uiPriority w:val="0"/>
    <w:rPr>
      <w:kern w:val="2"/>
      <w:sz w:val="21"/>
      <w:szCs w:val="24"/>
    </w:rPr>
  </w:style>
  <w:style w:type="character" w:customStyle="1" w:styleId="54">
    <w:name w:val="正文文本缩进 Char"/>
    <w:link w:val="15"/>
    <w:semiHidden/>
    <w:qFormat/>
    <w:uiPriority w:val="0"/>
    <w:rPr>
      <w:rFonts w:eastAsia="宋体"/>
      <w:kern w:val="2"/>
      <w:sz w:val="24"/>
      <w:szCs w:val="24"/>
      <w:lang w:val="en-US" w:eastAsia="zh-CN" w:bidi="ar-SA"/>
    </w:rPr>
  </w:style>
  <w:style w:type="character" w:customStyle="1" w:styleId="55">
    <w:name w:val="纯文本 Char"/>
    <w:link w:val="56"/>
    <w:semiHidden/>
    <w:qFormat/>
    <w:uiPriority w:val="0"/>
    <w:rPr>
      <w:rFonts w:ascii="宋体" w:hAnsi="Courier New"/>
      <w:kern w:val="2"/>
      <w:sz w:val="21"/>
    </w:rPr>
  </w:style>
  <w:style w:type="paragraph" w:customStyle="1" w:styleId="56">
    <w:name w:val="Plain Text"/>
    <w:basedOn w:val="1"/>
    <w:link w:val="55"/>
    <w:qFormat/>
    <w:uiPriority w:val="0"/>
    <w:rPr>
      <w:rFonts w:ascii="宋体" w:hAnsi="Courier New"/>
      <w:kern w:val="2"/>
      <w:sz w:val="21"/>
    </w:rPr>
  </w:style>
  <w:style w:type="character" w:customStyle="1" w:styleId="57">
    <w:name w:val="日期 Char"/>
    <w:basedOn w:val="30"/>
    <w:link w:val="58"/>
    <w:semiHidden/>
    <w:qFormat/>
    <w:uiPriority w:val="0"/>
    <w:rPr>
      <w:kern w:val="2"/>
      <w:sz w:val="21"/>
      <w:szCs w:val="24"/>
    </w:rPr>
  </w:style>
  <w:style w:type="paragraph" w:customStyle="1" w:styleId="58">
    <w:name w:val="Date"/>
    <w:basedOn w:val="1"/>
    <w:next w:val="1"/>
    <w:link w:val="57"/>
    <w:qFormat/>
    <w:uiPriority w:val="0"/>
    <w:pPr>
      <w:ind w:left="100" w:leftChars="2500"/>
    </w:pPr>
    <w:rPr>
      <w:kern w:val="2"/>
      <w:sz w:val="21"/>
      <w:szCs w:val="24"/>
    </w:rPr>
  </w:style>
  <w:style w:type="character" w:customStyle="1" w:styleId="59">
    <w:name w:val="正文文本缩进 2 Char"/>
    <w:basedOn w:val="30"/>
    <w:link w:val="60"/>
    <w:semiHidden/>
    <w:qFormat/>
    <w:uiPriority w:val="0"/>
    <w:rPr>
      <w:kern w:val="2"/>
      <w:sz w:val="21"/>
      <w:szCs w:val="24"/>
    </w:rPr>
  </w:style>
  <w:style w:type="paragraph" w:customStyle="1" w:styleId="60">
    <w:name w:val="Body Text Indent 2"/>
    <w:basedOn w:val="1"/>
    <w:link w:val="59"/>
    <w:qFormat/>
    <w:uiPriority w:val="0"/>
    <w:pPr>
      <w:spacing w:after="120" w:line="480" w:lineRule="auto"/>
      <w:ind w:left="420" w:leftChars="200"/>
    </w:pPr>
    <w:rPr>
      <w:kern w:val="2"/>
      <w:sz w:val="21"/>
      <w:szCs w:val="24"/>
    </w:rPr>
  </w:style>
  <w:style w:type="paragraph" w:customStyle="1" w:styleId="61">
    <w:name w:val="批注框文本1"/>
    <w:basedOn w:val="1"/>
    <w:link w:val="62"/>
    <w:qFormat/>
    <w:uiPriority w:val="0"/>
    <w:rPr>
      <w:kern w:val="2"/>
      <w:sz w:val="18"/>
      <w:szCs w:val="18"/>
    </w:rPr>
  </w:style>
  <w:style w:type="character" w:customStyle="1" w:styleId="62">
    <w:name w:val="批注框文本 Char"/>
    <w:basedOn w:val="30"/>
    <w:link w:val="61"/>
    <w:semiHidden/>
    <w:qFormat/>
    <w:uiPriority w:val="0"/>
    <w:rPr>
      <w:kern w:val="2"/>
      <w:sz w:val="18"/>
      <w:szCs w:val="18"/>
    </w:rPr>
  </w:style>
  <w:style w:type="character" w:customStyle="1" w:styleId="63">
    <w:name w:val="页脚 Char"/>
    <w:link w:val="18"/>
    <w:semiHidden/>
    <w:qFormat/>
    <w:uiPriority w:val="0"/>
    <w:rPr>
      <w:kern w:val="2"/>
      <w:sz w:val="18"/>
      <w:szCs w:val="18"/>
    </w:rPr>
  </w:style>
  <w:style w:type="character" w:customStyle="1" w:styleId="64">
    <w:name w:val="正文首行缩进 2 Char"/>
    <w:basedOn w:val="65"/>
    <w:link w:val="68"/>
    <w:semiHidden/>
    <w:qFormat/>
    <w:uiPriority w:val="0"/>
  </w:style>
  <w:style w:type="character" w:customStyle="1" w:styleId="65">
    <w:name w:val="正文文本缩进 Char1"/>
    <w:basedOn w:val="30"/>
    <w:link w:val="66"/>
    <w:semiHidden/>
    <w:qFormat/>
    <w:uiPriority w:val="0"/>
    <w:rPr>
      <w:kern w:val="2"/>
      <w:sz w:val="28"/>
    </w:rPr>
  </w:style>
  <w:style w:type="paragraph" w:customStyle="1" w:styleId="66">
    <w:name w:val="Body Text Indent"/>
    <w:basedOn w:val="1"/>
    <w:next w:val="67"/>
    <w:link w:val="65"/>
    <w:qFormat/>
    <w:uiPriority w:val="0"/>
    <w:pPr>
      <w:spacing w:line="360" w:lineRule="auto"/>
      <w:ind w:firstLine="560" w:firstLineChars="200"/>
    </w:pPr>
    <w:rPr>
      <w:kern w:val="2"/>
      <w:sz w:val="28"/>
    </w:rPr>
  </w:style>
  <w:style w:type="paragraph" w:customStyle="1" w:styleId="6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8">
    <w:name w:val="Body Text First Indent 2"/>
    <w:basedOn w:val="66"/>
    <w:next w:val="1"/>
    <w:link w:val="64"/>
    <w:qFormat/>
    <w:uiPriority w:val="0"/>
    <w:pPr>
      <w:ind w:left="1588" w:leftChars="832" w:firstLine="433"/>
    </w:pPr>
  </w:style>
  <w:style w:type="character" w:customStyle="1" w:styleId="69">
    <w:name w:val="副标题 Char"/>
    <w:link w:val="21"/>
    <w:semiHidden/>
    <w:qFormat/>
    <w:uiPriority w:val="0"/>
    <w:rPr>
      <w:rFonts w:ascii="Cambria" w:hAnsi="Cambria" w:eastAsia="宋体"/>
      <w:b/>
      <w:bCs/>
      <w:kern w:val="28"/>
      <w:sz w:val="32"/>
      <w:szCs w:val="32"/>
      <w:lang w:val="en-US" w:eastAsia="zh-CN" w:bidi="ar-SA"/>
    </w:rPr>
  </w:style>
  <w:style w:type="character" w:customStyle="1" w:styleId="70">
    <w:name w:val="脚注文本 Char"/>
    <w:basedOn w:val="30"/>
    <w:link w:val="23"/>
    <w:semiHidden/>
    <w:qFormat/>
    <w:uiPriority w:val="0"/>
    <w:rPr>
      <w:sz w:val="18"/>
    </w:rPr>
  </w:style>
  <w:style w:type="character" w:customStyle="1" w:styleId="71">
    <w:name w:val="正文文本缩进 3 Char"/>
    <w:basedOn w:val="30"/>
    <w:link w:val="72"/>
    <w:semiHidden/>
    <w:qFormat/>
    <w:uiPriority w:val="0"/>
    <w:rPr>
      <w:rFonts w:eastAsia="黑体"/>
      <w:b/>
      <w:bCs/>
      <w:kern w:val="2"/>
      <w:sz w:val="72"/>
      <w:szCs w:val="24"/>
    </w:rPr>
  </w:style>
  <w:style w:type="paragraph" w:customStyle="1" w:styleId="72">
    <w:name w:val="Body Text Indent 3"/>
    <w:basedOn w:val="1"/>
    <w:link w:val="71"/>
    <w:qFormat/>
    <w:uiPriority w:val="0"/>
    <w:pPr>
      <w:tabs>
        <w:tab w:val="left" w:pos="1134"/>
        <w:tab w:val="left" w:pos="5481"/>
        <w:tab w:val="left" w:pos="5859"/>
      </w:tabs>
      <w:spacing w:line="500" w:lineRule="exact"/>
      <w:ind w:firstLine="8275" w:firstLineChars="1200"/>
    </w:pPr>
    <w:rPr>
      <w:rFonts w:eastAsia="黑体"/>
      <w:b/>
      <w:bCs/>
      <w:kern w:val="2"/>
      <w:sz w:val="72"/>
      <w:szCs w:val="24"/>
    </w:rPr>
  </w:style>
  <w:style w:type="character" w:customStyle="1" w:styleId="73">
    <w:name w:val="HTML 预设格式 Char"/>
    <w:basedOn w:val="30"/>
    <w:link w:val="74"/>
    <w:semiHidden/>
    <w:qFormat/>
    <w:uiPriority w:val="0"/>
    <w:rPr>
      <w:rFonts w:ascii="宋体" w:hAnsi="宋体"/>
      <w:sz w:val="24"/>
      <w:szCs w:val="24"/>
    </w:rPr>
  </w:style>
  <w:style w:type="paragraph" w:customStyle="1" w:styleId="74">
    <w:name w:val="HTML Preformatted"/>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character" w:customStyle="1" w:styleId="75">
    <w:name w:val="标题 Char"/>
    <w:basedOn w:val="30"/>
    <w:link w:val="27"/>
    <w:semiHidden/>
    <w:qFormat/>
    <w:uiPriority w:val="0"/>
    <w:rPr>
      <w:rFonts w:ascii="Cambria" w:hAnsi="Cambria"/>
      <w:b/>
      <w:bCs/>
      <w:kern w:val="2"/>
      <w:sz w:val="32"/>
      <w:szCs w:val="32"/>
    </w:rPr>
  </w:style>
  <w:style w:type="paragraph" w:customStyle="1" w:styleId="76">
    <w:name w:val="List 3"/>
    <w:basedOn w:val="1"/>
    <w:qFormat/>
    <w:uiPriority w:val="0"/>
    <w:pPr>
      <w:ind w:left="100" w:leftChars="400" w:hanging="200" w:hangingChars="200"/>
    </w:pPr>
    <w:rPr>
      <w:szCs w:val="24"/>
    </w:rPr>
  </w:style>
  <w:style w:type="paragraph" w:customStyle="1" w:styleId="77">
    <w:name w:val="table of authorities"/>
    <w:basedOn w:val="1"/>
    <w:next w:val="1"/>
    <w:qFormat/>
    <w:uiPriority w:val="0"/>
    <w:pPr>
      <w:adjustRightInd w:val="0"/>
      <w:spacing w:line="312" w:lineRule="atLeast"/>
      <w:ind w:left="420" w:leftChars="200"/>
      <w:textAlignment w:val="baseline"/>
    </w:pPr>
    <w:rPr>
      <w:rFonts w:eastAsia="仿宋"/>
      <w:kern w:val="0"/>
      <w:sz w:val="32"/>
      <w:szCs w:val="20"/>
    </w:rPr>
  </w:style>
  <w:style w:type="paragraph" w:customStyle="1" w:styleId="78">
    <w:name w:val="Normal Indent"/>
    <w:basedOn w:val="1"/>
    <w:next w:val="1"/>
    <w:qFormat/>
    <w:uiPriority w:val="0"/>
    <w:pPr>
      <w:adjustRightInd w:val="0"/>
      <w:ind w:firstLine="420"/>
    </w:pPr>
    <w:rPr>
      <w:rFonts w:eastAsia="楷体_GB2312"/>
      <w:sz w:val="24"/>
      <w:lang w:val="en-US" w:eastAsia="zh-CN" w:bidi="ar-SA"/>
    </w:rPr>
  </w:style>
  <w:style w:type="paragraph" w:customStyle="1" w:styleId="79">
    <w:name w:val="toa heading"/>
    <w:basedOn w:val="1"/>
    <w:next w:val="1"/>
    <w:qFormat/>
    <w:uiPriority w:val="0"/>
    <w:rPr>
      <w:rFonts w:ascii="Arial" w:hAnsi="Arial"/>
      <w:sz w:val="24"/>
    </w:rPr>
  </w:style>
  <w:style w:type="paragraph" w:customStyle="1" w:styleId="80">
    <w:name w:val="List 2"/>
    <w:basedOn w:val="1"/>
    <w:qFormat/>
    <w:uiPriority w:val="0"/>
    <w:pPr>
      <w:spacing w:beforeAutospacing="1" w:afterAutospacing="1" w:line="360" w:lineRule="auto"/>
      <w:ind w:left="100" w:leftChars="200" w:hanging="200" w:hangingChars="200"/>
      <w:contextualSpacing/>
    </w:pPr>
    <w:rPr>
      <w:sz w:val="24"/>
    </w:rPr>
  </w:style>
  <w:style w:type="paragraph" w:customStyle="1" w:styleId="81">
    <w:name w:val="envelope return"/>
    <w:basedOn w:val="1"/>
    <w:qFormat/>
    <w:uiPriority w:val="0"/>
    <w:pPr>
      <w:snapToGrid w:val="0"/>
    </w:pPr>
    <w:rPr>
      <w:rFonts w:ascii="Arial" w:hAnsi="Arial"/>
    </w:rPr>
  </w:style>
  <w:style w:type="paragraph" w:customStyle="1" w:styleId="82">
    <w:name w:val="List"/>
    <w:basedOn w:val="1"/>
    <w:qFormat/>
    <w:uiPriority w:val="0"/>
    <w:pPr>
      <w:spacing w:beforeLines="100" w:line="360" w:lineRule="auto"/>
      <w:jc w:val="center"/>
    </w:pPr>
    <w:rPr>
      <w:rFonts w:ascii="宋体" w:hAnsi="宋体"/>
      <w:b/>
      <w:sz w:val="28"/>
      <w:szCs w:val="24"/>
    </w:rPr>
  </w:style>
  <w:style w:type="paragraph" w:customStyle="1" w:styleId="83">
    <w:name w:val="index 7"/>
    <w:basedOn w:val="1"/>
    <w:next w:val="1"/>
    <w:qFormat/>
    <w:uiPriority w:val="0"/>
    <w:pPr>
      <w:ind w:left="1200" w:leftChars="1200"/>
    </w:pPr>
    <w:rPr>
      <w:szCs w:val="24"/>
    </w:rPr>
  </w:style>
  <w:style w:type="paragraph" w:customStyle="1" w:styleId="84">
    <w:name w:val="Normal (Web)"/>
    <w:basedOn w:val="1"/>
    <w:next w:val="1"/>
    <w:qFormat/>
    <w:uiPriority w:val="0"/>
    <w:pPr>
      <w:spacing w:before="100" w:beforeAutospacing="1" w:after="100" w:afterAutospacing="1"/>
      <w:jc w:val="left"/>
    </w:pPr>
    <w:rPr>
      <w:rFonts w:ascii="Calibri" w:hAnsi="Calibri"/>
      <w:kern w:val="0"/>
      <w:sz w:val="24"/>
      <w:szCs w:val="24"/>
    </w:rPr>
  </w:style>
  <w:style w:type="paragraph" w:customStyle="1" w:styleId="85">
    <w:name w:val="Body Text First Indent"/>
    <w:basedOn w:val="14"/>
    <w:next w:val="24"/>
    <w:qFormat/>
    <w:uiPriority w:val="0"/>
    <w:pPr>
      <w:tabs>
        <w:tab w:val="left" w:pos="9214"/>
      </w:tabs>
      <w:spacing w:after="0"/>
      <w:ind w:firstLine="200" w:firstLineChars="200"/>
    </w:pPr>
  </w:style>
  <w:style w:type="paragraph" w:customStyle="1" w:styleId="86">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rPr>
  </w:style>
  <w:style w:type="paragraph" w:customStyle="1" w:styleId="8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NormalIndent"/>
    <w:basedOn w:val="1"/>
    <w:next w:val="1"/>
    <w:qFormat/>
    <w:uiPriority w:val="0"/>
    <w:pPr>
      <w:ind w:firstLine="420" w:firstLineChars="200"/>
    </w:pPr>
    <w:rPr>
      <w:sz w:val="24"/>
      <w:szCs w:val="20"/>
    </w:rPr>
  </w:style>
  <w:style w:type="paragraph" w:customStyle="1" w:styleId="89">
    <w:name w:val="样式1"/>
    <w:basedOn w:val="79"/>
    <w:next w:val="5"/>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90">
    <w:name w:val="_Style 5"/>
    <w:basedOn w:val="1"/>
    <w:qFormat/>
    <w:uiPriority w:val="0"/>
    <w:pPr>
      <w:tabs>
        <w:tab w:val="left" w:pos="360"/>
      </w:tabs>
      <w:ind w:firstLine="420" w:firstLineChars="150"/>
    </w:pPr>
    <w:rPr>
      <w:rFonts w:ascii="Arial" w:hAnsi="Arial" w:cs="Arial"/>
      <w:sz w:val="20"/>
    </w:rPr>
  </w:style>
  <w:style w:type="paragraph" w:customStyle="1" w:styleId="91">
    <w:name w:val="WPSOffice手动目录 1"/>
    <w:qFormat/>
    <w:uiPriority w:val="0"/>
    <w:rPr>
      <w:rFonts w:ascii="Times New Roman" w:hAnsi="Times New Roman" w:eastAsia="宋体" w:cs="Times New Roman"/>
      <w:lang w:val="en-US" w:eastAsia="zh-CN" w:bidi="ar-SA"/>
    </w:rPr>
  </w:style>
  <w:style w:type="paragraph" w:customStyle="1" w:styleId="92">
    <w:name w:val="pa-7"/>
    <w:basedOn w:val="1"/>
    <w:qFormat/>
    <w:uiPriority w:val="0"/>
    <w:pPr>
      <w:widowControl/>
      <w:spacing w:before="150" w:after="150"/>
      <w:jc w:val="left"/>
    </w:pPr>
    <w:rPr>
      <w:rFonts w:ascii="宋体" w:hAnsi="宋体" w:cs="宋体"/>
      <w:kern w:val="0"/>
      <w:sz w:val="24"/>
      <w:szCs w:val="24"/>
    </w:rPr>
  </w:style>
  <w:style w:type="paragraph" w:customStyle="1" w:styleId="93">
    <w:name w:val="Char Char Char Char Char Char"/>
    <w:basedOn w:val="49"/>
    <w:qFormat/>
    <w:uiPriority w:val="0"/>
    <w:rPr>
      <w:rFonts w:ascii="Tahoma" w:hAnsi="Tahoma"/>
      <w:sz w:val="24"/>
    </w:rPr>
  </w:style>
  <w:style w:type="paragraph" w:customStyle="1" w:styleId="94">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95">
    <w:name w:val="p16"/>
    <w:basedOn w:val="1"/>
    <w:qFormat/>
    <w:uiPriority w:val="0"/>
    <w:pPr>
      <w:widowControl/>
    </w:pPr>
    <w:rPr>
      <w:kern w:val="0"/>
      <w:szCs w:val="21"/>
    </w:rPr>
  </w:style>
  <w:style w:type="paragraph" w:customStyle="1" w:styleId="96">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9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8">
    <w:name w:val=" Char Char Char Char"/>
    <w:basedOn w:val="1"/>
    <w:qFormat/>
    <w:uiPriority w:val="0"/>
    <w:pPr>
      <w:tabs>
        <w:tab w:val="left" w:pos="360"/>
      </w:tabs>
      <w:ind w:firstLine="420" w:firstLineChars="150"/>
    </w:pPr>
    <w:rPr>
      <w:rFonts w:ascii="Arial" w:hAnsi="Arial" w:cs="Arial"/>
      <w:sz w:val="20"/>
    </w:rPr>
  </w:style>
  <w:style w:type="paragraph" w:customStyle="1" w:styleId="99">
    <w:name w:val="Plain Text1"/>
    <w:basedOn w:val="1"/>
    <w:qFormat/>
    <w:uiPriority w:val="0"/>
    <w:rPr>
      <w:rFonts w:ascii="宋体" w:hAnsi="Courier New"/>
    </w:rPr>
  </w:style>
  <w:style w:type="paragraph" w:customStyle="1" w:styleId="100">
    <w:name w:val="Char Char Char"/>
    <w:basedOn w:val="1"/>
    <w:qFormat/>
    <w:uiPriority w:val="0"/>
    <w:pPr>
      <w:widowControl/>
      <w:spacing w:after="160" w:line="240" w:lineRule="exact"/>
      <w:jc w:val="left"/>
    </w:pPr>
    <w:rPr>
      <w:szCs w:val="24"/>
    </w:rPr>
  </w:style>
  <w:style w:type="paragraph" w:customStyle="1" w:styleId="101">
    <w:name w:val="正文缩进1"/>
    <w:basedOn w:val="1"/>
    <w:qFormat/>
    <w:uiPriority w:val="0"/>
    <w:pPr>
      <w:autoSpaceDE w:val="0"/>
      <w:autoSpaceDN w:val="0"/>
      <w:adjustRightInd w:val="0"/>
      <w:ind w:firstLine="420"/>
    </w:pPr>
    <w:rPr>
      <w:rFonts w:ascii="宋体" w:hAnsi="Calibri"/>
      <w:szCs w:val="22"/>
    </w:rPr>
  </w:style>
  <w:style w:type="paragraph" w:customStyle="1" w:styleId="102">
    <w:name w:val="Normal"/>
    <w:qFormat/>
    <w:uiPriority w:val="0"/>
    <w:rPr>
      <w:rFonts w:ascii="Times New Roman" w:hAnsi="Times New Roman" w:eastAsia="Times New Roman" w:cs="Times New Roman"/>
      <w:sz w:val="24"/>
      <w:szCs w:val="24"/>
      <w:lang w:val="en-US" w:eastAsia="zh-CN" w:bidi="ar-SA"/>
    </w:rPr>
  </w:style>
  <w:style w:type="paragraph" w:customStyle="1" w:styleId="103">
    <w:name w:val="_Style 6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4">
    <w:name w:val="_Style 7"/>
    <w:basedOn w:val="1"/>
    <w:qFormat/>
    <w:uiPriority w:val="0"/>
    <w:pPr>
      <w:tabs>
        <w:tab w:val="left" w:pos="360"/>
      </w:tabs>
      <w:ind w:firstLine="420" w:firstLineChars="150"/>
    </w:pPr>
    <w:rPr>
      <w:rFonts w:ascii="Arial" w:hAnsi="Arial" w:cs="Arial"/>
      <w:sz w:val="20"/>
    </w:rPr>
  </w:style>
  <w:style w:type="paragraph" w:customStyle="1" w:styleId="105">
    <w:name w:val="_Style 11"/>
    <w:basedOn w:val="1"/>
    <w:qFormat/>
    <w:uiPriority w:val="0"/>
    <w:pPr>
      <w:tabs>
        <w:tab w:val="left" w:pos="360"/>
      </w:tabs>
      <w:ind w:firstLine="420" w:firstLineChars="150"/>
    </w:pPr>
    <w:rPr>
      <w:rFonts w:ascii="Arial" w:hAnsi="Arial" w:cs="Arial"/>
      <w:sz w:val="20"/>
    </w:rPr>
  </w:style>
  <w:style w:type="paragraph" w:customStyle="1" w:styleId="106">
    <w:name w:val="p15"/>
    <w:basedOn w:val="1"/>
    <w:qFormat/>
    <w:uiPriority w:val="0"/>
    <w:pPr>
      <w:widowControl/>
    </w:pPr>
    <w:rPr>
      <w:rFonts w:ascii="宋体" w:hAnsi="宋体" w:cs="宋体"/>
      <w:kern w:val="0"/>
      <w:szCs w:val="21"/>
    </w:rPr>
  </w:style>
  <w:style w:type="paragraph" w:customStyle="1" w:styleId="107">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08">
    <w:name w:val="正文1"/>
    <w:basedOn w:val="1"/>
    <w:qFormat/>
    <w:uiPriority w:val="0"/>
    <w:pPr>
      <w:spacing w:beforeLines="50" w:line="360" w:lineRule="auto"/>
      <w:ind w:firstLine="420" w:firstLineChars="200"/>
    </w:pPr>
    <w:rPr>
      <w:rFonts w:ascii="宋体" w:hAnsi="宋体"/>
      <w:iCs/>
      <w:szCs w:val="21"/>
    </w:rPr>
  </w:style>
  <w:style w:type="paragraph" w:customStyle="1" w:styleId="109">
    <w:name w:val="样式 标题 2 + 宋体 五号 非加粗 黑色"/>
    <w:basedOn w:val="3"/>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110">
    <w:name w:val="正文序号 1"/>
    <w:basedOn w:val="1"/>
    <w:qFormat/>
    <w:uiPriority w:val="0"/>
    <w:pPr>
      <w:numPr>
        <w:ilvl w:val="0"/>
        <w:numId w:val="3"/>
      </w:numPr>
      <w:tabs>
        <w:tab w:val="left" w:pos="502"/>
        <w:tab w:val="left" w:pos="839"/>
      </w:tabs>
      <w:spacing w:before="60"/>
    </w:pPr>
    <w:rPr>
      <w:szCs w:val="24"/>
    </w:rPr>
  </w:style>
  <w:style w:type="paragraph" w:customStyle="1" w:styleId="111">
    <w:name w:val="p0"/>
    <w:basedOn w:val="1"/>
    <w:qFormat/>
    <w:uiPriority w:val="0"/>
    <w:pPr>
      <w:widowControl/>
      <w:jc w:val="left"/>
    </w:pPr>
    <w:rPr>
      <w:kern w:val="0"/>
      <w:szCs w:val="21"/>
    </w:rPr>
  </w:style>
  <w:style w:type="paragraph" w:customStyle="1" w:styleId="112">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113">
    <w:name w:val="样式 标题 4 + 段前: 5 磅 段后: 5 磅 行距: 单倍行距"/>
    <w:basedOn w:val="5"/>
    <w:qFormat/>
    <w:uiPriority w:val="0"/>
    <w:pPr>
      <w:spacing w:before="100" w:after="100" w:line="240" w:lineRule="auto"/>
    </w:pPr>
    <w:rPr>
      <w:rFonts w:cs="宋体"/>
      <w:szCs w:val="20"/>
    </w:rPr>
  </w:style>
  <w:style w:type="paragraph" w:customStyle="1" w:styleId="114">
    <w:name w:val="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15">
    <w:name w:val="列出段落1"/>
    <w:basedOn w:val="1"/>
    <w:qFormat/>
    <w:uiPriority w:val="0"/>
    <w:pPr>
      <w:ind w:firstLine="420" w:firstLineChars="200"/>
    </w:pPr>
  </w:style>
  <w:style w:type="paragraph" w:customStyle="1" w:styleId="1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7">
    <w:name w:val="Char"/>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118">
    <w:name w:val="表头文本"/>
    <w:basedOn w:val="1"/>
    <w:qFormat/>
    <w:uiPriority w:val="0"/>
    <w:pPr>
      <w:autoSpaceDE w:val="0"/>
      <w:autoSpaceDN w:val="0"/>
      <w:adjustRightInd w:val="0"/>
      <w:jc w:val="center"/>
    </w:pPr>
    <w:rPr>
      <w:b/>
      <w:kern w:val="0"/>
      <w:sz w:val="24"/>
    </w:rPr>
  </w:style>
  <w:style w:type="paragraph" w:customStyle="1" w:styleId="119">
    <w:name w:val="默认段落字体 Para Char Char Char Char Char Char Char Char Char Char Char Char Char Char Char Char"/>
    <w:basedOn w:val="1"/>
    <w:qFormat/>
    <w:uiPriority w:val="0"/>
    <w:rPr>
      <w:rFonts w:ascii="Tahoma" w:hAnsi="Tahoma"/>
      <w:sz w:val="24"/>
    </w:rPr>
  </w:style>
  <w:style w:type="paragraph" w:customStyle="1" w:styleId="120">
    <w:name w:val="正文样式2"/>
    <w:basedOn w:val="1"/>
    <w:qFormat/>
    <w:uiPriority w:val="0"/>
    <w:pPr>
      <w:spacing w:line="560" w:lineRule="exact"/>
      <w:ind w:firstLine="601"/>
    </w:pPr>
    <w:rPr>
      <w:rFonts w:eastAsia="宋体"/>
      <w:kern w:val="2"/>
      <w:sz w:val="28"/>
      <w:lang w:val="en-US" w:eastAsia="zh-CN" w:bidi="ar-SA"/>
    </w:rPr>
  </w:style>
  <w:style w:type="paragraph" w:customStyle="1" w:styleId="12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2">
    <w:name w:val="标题 3_0"/>
    <w:basedOn w:val="107"/>
    <w:next w:val="107"/>
    <w:link w:val="156"/>
    <w:qFormat/>
    <w:uiPriority w:val="0"/>
    <w:pPr>
      <w:autoSpaceDE w:val="0"/>
      <w:autoSpaceDN w:val="0"/>
      <w:adjustRightInd w:val="0"/>
      <w:spacing w:line="500" w:lineRule="exact"/>
      <w:jc w:val="center"/>
      <w:outlineLvl w:val="2"/>
    </w:pPr>
    <w:rPr>
      <w:rFonts w:ascii="宋体" w:hAnsi="宋体"/>
      <w:b/>
      <w:kern w:val="2"/>
      <w:sz w:val="28"/>
      <w:szCs w:val="28"/>
    </w:rPr>
  </w:style>
  <w:style w:type="paragraph" w:customStyle="1" w:styleId="123">
    <w:name w:val="附件正文"/>
    <w:basedOn w:val="1"/>
    <w:qFormat/>
    <w:uiPriority w:val="0"/>
    <w:pPr>
      <w:snapToGrid w:val="0"/>
      <w:spacing w:line="500" w:lineRule="exact"/>
      <w:ind w:firstLine="540" w:firstLineChars="225"/>
    </w:pPr>
    <w:rPr>
      <w:kern w:val="0"/>
      <w:sz w:val="24"/>
      <w:szCs w:val="24"/>
    </w:rPr>
  </w:style>
  <w:style w:type="paragraph" w:customStyle="1" w:styleId="124">
    <w:name w:val="List Paragraph"/>
    <w:basedOn w:val="1"/>
    <w:qFormat/>
    <w:uiPriority w:val="0"/>
    <w:pPr>
      <w:ind w:firstLine="420" w:firstLineChars="200"/>
    </w:pPr>
    <w:rPr>
      <w:rFonts w:ascii="Calibri" w:hAnsi="Calibri"/>
      <w:szCs w:val="22"/>
    </w:rPr>
  </w:style>
  <w:style w:type="paragraph" w:customStyle="1" w:styleId="125">
    <w:name w:val="正文文字"/>
    <w:basedOn w:val="1"/>
    <w:link w:val="155"/>
    <w:qFormat/>
    <w:uiPriority w:val="0"/>
    <w:pPr>
      <w:widowControl/>
      <w:spacing w:line="2375" w:lineRule="atLeast"/>
      <w:ind w:firstLine="419"/>
      <w:textAlignment w:val="baseline"/>
    </w:pPr>
    <w:rPr>
      <w:rFonts w:ascii="宋体"/>
      <w:color w:val="000000"/>
      <w:kern w:val="0"/>
      <w:sz w:val="28"/>
      <w:u w:val="none" w:color="000000"/>
    </w:rPr>
  </w:style>
  <w:style w:type="paragraph" w:customStyle="1" w:styleId="126">
    <w:name w:val="WPSOffice手动目录 3"/>
    <w:qFormat/>
    <w:uiPriority w:val="0"/>
    <w:pPr>
      <w:ind w:leftChars="400"/>
    </w:pPr>
    <w:rPr>
      <w:rFonts w:ascii="Times New Roman" w:hAnsi="Times New Roman" w:eastAsia="宋体" w:cs="Times New Roman"/>
      <w:sz w:val="20"/>
      <w:szCs w:val="20"/>
      <w:lang w:val="en-US" w:eastAsia="zh-CN" w:bidi="ar-SA"/>
    </w:rPr>
  </w:style>
  <w:style w:type="paragraph" w:customStyle="1" w:styleId="127">
    <w:name w:val="Table Paragraph"/>
    <w:basedOn w:val="1"/>
    <w:qFormat/>
    <w:uiPriority w:val="0"/>
    <w:rPr>
      <w:rFonts w:ascii="宋体" w:hAnsi="宋体" w:eastAsia="宋体" w:cs="宋体"/>
      <w:lang w:val="zh-CN" w:eastAsia="zh-CN" w:bidi="zh-CN"/>
    </w:rPr>
  </w:style>
  <w:style w:type="paragraph" w:customStyle="1" w:styleId="12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9">
    <w:name w:val="样式3"/>
    <w:basedOn w:val="56"/>
    <w:qFormat/>
    <w:uiPriority w:val="0"/>
    <w:pPr>
      <w:spacing w:line="0" w:lineRule="atLeast"/>
      <w:outlineLvl w:val="0"/>
    </w:pPr>
    <w:rPr>
      <w:sz w:val="28"/>
    </w:rPr>
  </w:style>
  <w:style w:type="paragraph" w:customStyle="1" w:styleId="130">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31">
    <w:name w:val="纯文本1"/>
    <w:basedOn w:val="1"/>
    <w:qFormat/>
    <w:uiPriority w:val="0"/>
    <w:rPr>
      <w:rFonts w:ascii="宋体" w:hAnsi="Courier New" w:eastAsia="宋体" w:cs="Times New Roman"/>
      <w:szCs w:val="22"/>
    </w:rPr>
  </w:style>
  <w:style w:type="paragraph" w:customStyle="1" w:styleId="132">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3">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34">
    <w:name w:val="Table Text"/>
    <w:basedOn w:val="1"/>
    <w:qFormat/>
    <w:uiPriority w:val="0"/>
    <w:pPr>
      <w:kinsoku w:val="0"/>
      <w:autoSpaceDE w:val="0"/>
      <w:autoSpaceDN w:val="0"/>
      <w:spacing w:line="240" w:lineRule="auto"/>
      <w:ind w:firstLine="0" w:firstLineChars="0"/>
      <w:textAlignment w:val="baseline"/>
    </w:pPr>
    <w:rPr>
      <w:rFonts w:cs="宋体"/>
      <w:snapToGrid w:val="0"/>
      <w:color w:val="000000"/>
      <w:sz w:val="20"/>
      <w:szCs w:val="20"/>
      <w:lang w:eastAsia="en-US"/>
    </w:rPr>
  </w:style>
  <w:style w:type="paragraph" w:customStyle="1" w:styleId="135">
    <w:name w:val="null3"/>
    <w:qFormat/>
    <w:uiPriority w:val="0"/>
    <w:rPr>
      <w:rFonts w:hint="eastAsia" w:ascii="Calibri" w:hAnsi="Calibri" w:eastAsia="宋体" w:cs="黑体"/>
      <w:kern w:val="0"/>
      <w:sz w:val="20"/>
      <w:szCs w:val="20"/>
      <w:lang w:val="en-US" w:eastAsia="zh-CN" w:bidi="ar-SA"/>
    </w:rPr>
  </w:style>
  <w:style w:type="paragraph" w:customStyle="1" w:styleId="136">
    <w:name w:val="3级标题"/>
    <w:basedOn w:val="4"/>
    <w:next w:val="1"/>
    <w:qFormat/>
    <w:uiPriority w:val="0"/>
    <w:pPr>
      <w:numPr>
        <w:ilvl w:val="1"/>
        <w:numId w:val="4"/>
      </w:numPr>
      <w:spacing w:before="0" w:after="0" w:line="360" w:lineRule="auto"/>
      <w:ind w:firstLineChars="0"/>
    </w:pPr>
    <w:rPr>
      <w:sz w:val="28"/>
    </w:rPr>
  </w:style>
  <w:style w:type="paragraph" w:customStyle="1" w:styleId="137">
    <w:name w:val="0s-2级标题"/>
    <w:basedOn w:val="3"/>
    <w:next w:val="1"/>
    <w:qFormat/>
    <w:uiPriority w:val="0"/>
    <w:pPr>
      <w:numPr>
        <w:ilvl w:val="0"/>
        <w:numId w:val="4"/>
      </w:numPr>
      <w:adjustRightInd w:val="0"/>
      <w:snapToGrid w:val="0"/>
      <w:spacing w:before="0" w:after="0" w:line="360" w:lineRule="auto"/>
      <w:ind w:firstLine="0" w:firstLineChars="0"/>
      <w:jc w:val="left"/>
    </w:pPr>
    <w:rPr>
      <w:rFonts w:ascii="Times New Roman" w:hAnsi="Times New Roman" w:eastAsia="宋体" w:cs="Times New Roman"/>
      <w:sz w:val="30"/>
    </w:rPr>
  </w:style>
  <w:style w:type="paragraph" w:customStyle="1" w:styleId="138">
    <w:name w:val="4级标题"/>
    <w:basedOn w:val="5"/>
    <w:next w:val="1"/>
    <w:qFormat/>
    <w:uiPriority w:val="0"/>
    <w:pPr>
      <w:spacing w:before="0" w:after="0" w:line="240" w:lineRule="auto"/>
      <w:ind w:firstLine="0" w:firstLineChars="0"/>
    </w:pPr>
    <w:rPr>
      <w:rFonts w:ascii="Times New Roman" w:hAnsi="Times New Roman" w:eastAsia="宋体"/>
      <w:sz w:val="24"/>
    </w:rPr>
  </w:style>
  <w:style w:type="paragraph" w:customStyle="1" w:styleId="1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40">
    <w:name w:val="索引 11"/>
    <w:basedOn w:val="1"/>
    <w:next w:val="1"/>
    <w:qFormat/>
    <w:uiPriority w:val="0"/>
    <w:pPr>
      <w:spacing w:line="360" w:lineRule="auto"/>
    </w:pPr>
    <w:rPr>
      <w:rFonts w:ascii="仿宋_GB2312" w:eastAsia="仿宋_GB2312"/>
      <w:sz w:val="24"/>
      <w:szCs w:val="20"/>
    </w:rPr>
  </w:style>
  <w:style w:type="character" w:customStyle="1" w:styleId="141">
    <w:name w:val="page number"/>
    <w:basedOn w:val="30"/>
    <w:qFormat/>
    <w:uiPriority w:val="0"/>
  </w:style>
  <w:style w:type="character" w:customStyle="1" w:styleId="142">
    <w:name w:val="annotation reference"/>
    <w:qFormat/>
    <w:uiPriority w:val="0"/>
    <w:rPr>
      <w:sz w:val="21"/>
      <w:szCs w:val="21"/>
    </w:rPr>
  </w:style>
  <w:style w:type="character" w:customStyle="1" w:styleId="143">
    <w:name w:val="HTML Sample"/>
    <w:basedOn w:val="30"/>
    <w:qFormat/>
    <w:uiPriority w:val="0"/>
    <w:rPr>
      <w:rFonts w:ascii="Courier New" w:hAnsi="Courier New"/>
    </w:rPr>
  </w:style>
  <w:style w:type="character" w:customStyle="1" w:styleId="144">
    <w:name w:val="font41"/>
    <w:basedOn w:val="30"/>
    <w:qFormat/>
    <w:uiPriority w:val="0"/>
    <w:rPr>
      <w:rFonts w:hint="eastAsia" w:ascii="宋体" w:hAnsi="宋体" w:eastAsia="宋体" w:cs="宋体"/>
      <w:color w:val="000000"/>
      <w:sz w:val="20"/>
      <w:szCs w:val="20"/>
      <w:u w:val="none"/>
    </w:rPr>
  </w:style>
  <w:style w:type="character" w:customStyle="1" w:styleId="145">
    <w:name w:val="font141"/>
    <w:basedOn w:val="30"/>
    <w:qFormat/>
    <w:uiPriority w:val="0"/>
    <w:rPr>
      <w:rFonts w:hint="eastAsia" w:ascii="宋体" w:hAnsi="宋体" w:eastAsia="宋体" w:cs="宋体"/>
      <w:color w:val="000000"/>
      <w:sz w:val="24"/>
      <w:szCs w:val="24"/>
      <w:u w:val="none"/>
    </w:rPr>
  </w:style>
  <w:style w:type="character" w:customStyle="1" w:styleId="146">
    <w:name w:val="font51"/>
    <w:basedOn w:val="30"/>
    <w:qFormat/>
    <w:uiPriority w:val="0"/>
    <w:rPr>
      <w:rFonts w:hint="eastAsia" w:ascii="宋体" w:hAnsi="宋体" w:eastAsia="宋体" w:cs="宋体"/>
      <w:color w:val="FF0000"/>
      <w:sz w:val="20"/>
      <w:szCs w:val="20"/>
      <w:u w:val="none"/>
    </w:rPr>
  </w:style>
  <w:style w:type="character" w:customStyle="1" w:styleId="147">
    <w:name w:val="font31"/>
    <w:basedOn w:val="30"/>
    <w:qFormat/>
    <w:uiPriority w:val="0"/>
    <w:rPr>
      <w:rFonts w:hint="eastAsia" w:ascii="宋体" w:hAnsi="宋体" w:eastAsia="宋体" w:cs="宋体"/>
      <w:color w:val="000000"/>
      <w:sz w:val="16"/>
      <w:szCs w:val="16"/>
      <w:u w:val="none"/>
    </w:rPr>
  </w:style>
  <w:style w:type="character" w:customStyle="1" w:styleId="148">
    <w:name w:val="font11"/>
    <w:basedOn w:val="30"/>
    <w:qFormat/>
    <w:uiPriority w:val="0"/>
    <w:rPr>
      <w:rFonts w:hint="eastAsia" w:ascii="宋体" w:hAnsi="宋体" w:eastAsia="宋体" w:cs="宋体"/>
      <w:color w:val="000000"/>
      <w:sz w:val="16"/>
      <w:szCs w:val="16"/>
      <w:u w:val="none"/>
    </w:rPr>
  </w:style>
  <w:style w:type="character" w:customStyle="1" w:styleId="149">
    <w:name w:val="font01"/>
    <w:basedOn w:val="30"/>
    <w:qFormat/>
    <w:uiPriority w:val="0"/>
    <w:rPr>
      <w:rFonts w:hint="eastAsia" w:ascii="宋体" w:hAnsi="宋体" w:eastAsia="宋体" w:cs="宋体"/>
      <w:color w:val="000000"/>
      <w:sz w:val="24"/>
      <w:szCs w:val="24"/>
      <w:u w:val="none"/>
    </w:rPr>
  </w:style>
  <w:style w:type="character" w:customStyle="1" w:styleId="150">
    <w:name w:val="正文文本 Char1"/>
    <w:basedOn w:val="30"/>
    <w:link w:val="14"/>
    <w:semiHidden/>
    <w:qFormat/>
    <w:uiPriority w:val="0"/>
    <w:rPr>
      <w:kern w:val="2"/>
      <w:sz w:val="21"/>
    </w:rPr>
  </w:style>
  <w:style w:type="character" w:customStyle="1" w:styleId="151">
    <w:name w:val="font151"/>
    <w:basedOn w:val="30"/>
    <w:qFormat/>
    <w:uiPriority w:val="0"/>
    <w:rPr>
      <w:rFonts w:hint="default" w:ascii="Times New Roman" w:hAnsi="Times New Roman" w:cs="Times New Roman"/>
      <w:color w:val="000000"/>
      <w:sz w:val="20"/>
      <w:szCs w:val="20"/>
      <w:u w:val="none"/>
    </w:rPr>
  </w:style>
  <w:style w:type="character" w:customStyle="1" w:styleId="152">
    <w:name w:val="font61"/>
    <w:basedOn w:val="30"/>
    <w:qFormat/>
    <w:uiPriority w:val="0"/>
    <w:rPr>
      <w:rFonts w:hint="eastAsia" w:ascii="微软雅黑" w:hAnsi="微软雅黑" w:eastAsia="微软雅黑" w:cs="微软雅黑"/>
      <w:color w:val="000000"/>
      <w:sz w:val="16"/>
      <w:szCs w:val="16"/>
      <w:u w:val="none"/>
    </w:rPr>
  </w:style>
  <w:style w:type="character" w:customStyle="1" w:styleId="153">
    <w:name w:val="font112"/>
    <w:basedOn w:val="30"/>
    <w:qFormat/>
    <w:uiPriority w:val="0"/>
    <w:rPr>
      <w:rFonts w:hint="eastAsia" w:ascii="宋体" w:hAnsi="宋体" w:eastAsia="宋体" w:cs="宋体"/>
      <w:color w:val="000000"/>
      <w:sz w:val="16"/>
      <w:szCs w:val="16"/>
      <w:u w:val="none"/>
    </w:rPr>
  </w:style>
  <w:style w:type="character" w:customStyle="1" w:styleId="154">
    <w:name w:val="纯文本 Char1"/>
    <w:basedOn w:val="30"/>
    <w:qFormat/>
    <w:uiPriority w:val="0"/>
    <w:rPr>
      <w:rFonts w:eastAsia="宋体"/>
      <w:kern w:val="2"/>
      <w:sz w:val="24"/>
      <w:lang w:val="en-US" w:eastAsia="zh-CN" w:bidi="ar-SA"/>
    </w:rPr>
  </w:style>
  <w:style w:type="character" w:customStyle="1" w:styleId="155">
    <w:name w:val="正文文字 Char1"/>
    <w:basedOn w:val="30"/>
    <w:link w:val="125"/>
    <w:semiHidden/>
    <w:qFormat/>
    <w:uiPriority w:val="0"/>
    <w:rPr>
      <w:rFonts w:ascii="宋体"/>
      <w:color w:val="000000"/>
      <w:kern w:val="0"/>
      <w:sz w:val="28"/>
      <w:u w:val="none" w:color="000000"/>
    </w:rPr>
  </w:style>
  <w:style w:type="character" w:customStyle="1" w:styleId="156">
    <w:name w:val="标题 3 Char_0"/>
    <w:link w:val="122"/>
    <w:semiHidden/>
    <w:qFormat/>
    <w:uiPriority w:val="0"/>
    <w:rPr>
      <w:rFonts w:ascii="宋体" w:hAnsi="宋体"/>
      <w:b/>
      <w:kern w:val="2"/>
      <w:sz w:val="28"/>
      <w:szCs w:val="28"/>
    </w:rPr>
  </w:style>
  <w:style w:type="character" w:customStyle="1" w:styleId="157">
    <w:name w:val="font21"/>
    <w:basedOn w:val="30"/>
    <w:qFormat/>
    <w:uiPriority w:val="0"/>
    <w:rPr>
      <w:rFonts w:hint="eastAsia" w:ascii="宋体" w:hAnsi="宋体" w:eastAsia="宋体" w:cs="宋体"/>
      <w:color w:val="000000"/>
      <w:sz w:val="22"/>
      <w:szCs w:val="22"/>
      <w:u w:val="none"/>
    </w:rPr>
  </w:style>
  <w:style w:type="character" w:customStyle="1" w:styleId="158">
    <w:name w:val=" Char Char3"/>
    <w:qFormat/>
    <w:uiPriority w:val="0"/>
    <w:rPr>
      <w:rFonts w:eastAsia="宋体"/>
      <w:kern w:val="2"/>
      <w:sz w:val="21"/>
      <w:szCs w:val="24"/>
      <w:lang w:val="en-US" w:eastAsia="zh-CN" w:bidi="ar-SA"/>
    </w:rPr>
  </w:style>
  <w:style w:type="character" w:customStyle="1" w:styleId="159">
    <w:name w:val=" Char Char6"/>
    <w:qFormat/>
    <w:uiPriority w:val="0"/>
    <w:rPr>
      <w:rFonts w:eastAsia="宋体"/>
      <w:kern w:val="2"/>
      <w:sz w:val="21"/>
      <w:szCs w:val="24"/>
      <w:lang w:val="en-US" w:eastAsia="zh-CN" w:bidi="ar-SA"/>
    </w:rPr>
  </w:style>
  <w:style w:type="character" w:customStyle="1" w:styleId="160">
    <w:name w:val="ca-1"/>
    <w:basedOn w:val="30"/>
    <w:qFormat/>
    <w:uiPriority w:val="0"/>
  </w:style>
  <w:style w:type="character" w:customStyle="1" w:styleId="161">
    <w:name w:val="font101"/>
    <w:basedOn w:val="30"/>
    <w:qFormat/>
    <w:uiPriority w:val="0"/>
    <w:rPr>
      <w:rFonts w:ascii="Arial Unicode MS" w:hAnsi="Arial Unicode MS" w:eastAsia="Arial Unicode MS" w:cs="Arial Unicode MS"/>
      <w:color w:val="000000"/>
      <w:sz w:val="16"/>
      <w:szCs w:val="16"/>
      <w:u w:val="none"/>
    </w:rPr>
  </w:style>
  <w:style w:type="character" w:customStyle="1" w:styleId="162">
    <w:name w:val="font91"/>
    <w:basedOn w:val="30"/>
    <w:qFormat/>
    <w:uiPriority w:val="0"/>
    <w:rPr>
      <w:rFonts w:hint="eastAsia" w:ascii="宋体" w:hAnsi="宋体" w:eastAsia="宋体" w:cs="宋体"/>
      <w:b/>
      <w:color w:val="FF0000"/>
      <w:sz w:val="20"/>
      <w:szCs w:val="20"/>
      <w:u w:val="none"/>
    </w:rPr>
  </w:style>
  <w:style w:type="character" w:customStyle="1" w:styleId="163">
    <w:name w:val="标题 3 字符"/>
    <w:basedOn w:val="30"/>
    <w:link w:val="4"/>
    <w:semiHidden/>
    <w:qFormat/>
    <w:uiPriority w:val="0"/>
    <w:rPr>
      <w:rFonts w:cs="Times New Roman"/>
      <w:b/>
      <w:bCs/>
      <w:sz w:val="32"/>
      <w:szCs w:val="32"/>
    </w:rPr>
  </w:style>
  <w:style w:type="character" w:customStyle="1" w:styleId="164">
    <w:name w:val="NormalCharacter"/>
    <w:qFormat/>
    <w:uiPriority w:val="0"/>
  </w:style>
  <w:style w:type="character" w:customStyle="1" w:styleId="165">
    <w:name w:val="font81"/>
    <w:basedOn w:val="30"/>
    <w:qFormat/>
    <w:uiPriority w:val="0"/>
    <w:rPr>
      <w:rFonts w:hint="eastAsia" w:ascii="宋体" w:hAnsi="宋体" w:eastAsia="宋体" w:cs="宋体"/>
      <w:color w:val="FF0000"/>
      <w:sz w:val="22"/>
      <w:szCs w:val="22"/>
      <w:u w:val="none"/>
    </w:rPr>
  </w:style>
  <w:style w:type="table" w:customStyle="1" w:styleId="16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84</Pages>
  <Words>21669</Words>
  <Characters>23840</Characters>
  <Lines>227</Lines>
  <Paragraphs>64</Paragraphs>
  <TotalTime>0</TotalTime>
  <ScaleCrop>false</ScaleCrop>
  <LinksUpToDate>false</LinksUpToDate>
  <CharactersWithSpaces>24368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2011-04-12T16:42:00Z</dcterms:created>
  <dc:creator>微软用户</dc:creator>
  <cp:lastModifiedBy>庆信达招标代理郑泽娟</cp:lastModifiedBy>
  <cp:lastPrinted>2025-04-08T19:27:00Z</cp:lastPrinted>
  <dcterms:modified xsi:type="dcterms:W3CDTF">2026-04-20T07:55:30Z</dcterms:modified>
  <dc:title>z</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369B1465B3EC4191A1558A43816D5AEF_13</vt:lpwstr>
  </property>
  <property fmtid="{D5CDD505-2E9C-101B-9397-08002B2CF9AE}" pid="4" name="KSOTemplateDocerSaveRecord">
    <vt:lpwstr>eyJoZGlkIjoiMDY0OGY2MmVkNzNjNDY1MWUzOTM1NGNhYzI4ZmJkNTgiLCJ1c2VySWQiOiIxMzYwNzAxNzU2In0=</vt:lpwstr>
  </property>
</Properties>
</file>