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0C05E">
      <w:pPr>
        <w:spacing w:before="312" w:beforeLines="100" w:line="360" w:lineRule="auto"/>
        <w:jc w:val="center"/>
        <w:rPr>
          <w:rFonts w:hint="eastAsia" w:ascii="宋体" w:hAnsi="宋体" w:eastAsia="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r>
        <w:rPr>
          <w:rFonts w:hint="eastAsia" w:ascii="宋体" w:hAnsi="宋体"/>
          <w:color w:val="000000" w:themeColor="text1"/>
          <w:sz w:val="36"/>
          <w:szCs w:val="36"/>
          <w:lang w:eastAsia="zh-CN"/>
          <w14:textFill>
            <w14:solidFill>
              <w14:schemeClr w14:val="tx1"/>
            </w14:solidFill>
          </w14:textFill>
        </w:rPr>
        <w:t>省农业农村厅乡村大脑等11个应用运维</w:t>
      </w:r>
    </w:p>
    <w:p w14:paraId="0D9CE56F">
      <w:pPr>
        <w:spacing w:before="312" w:beforeLines="100" w:line="360" w:lineRule="auto"/>
        <w:jc w:val="center"/>
        <w:rPr>
          <w:rFonts w:hint="eastAsia" w:ascii="宋体" w:hAnsi="宋体" w:eastAsia="宋体"/>
          <w:b/>
          <w:color w:val="000000" w:themeColor="text1"/>
          <w:spacing w:val="40"/>
          <w:sz w:val="84"/>
          <w:szCs w:val="84"/>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r>
        <w:rPr>
          <w:rFonts w:hint="eastAsia" w:ascii="宋体" w:hAnsi="宋体"/>
          <w:color w:val="000000" w:themeColor="text1"/>
          <w:sz w:val="36"/>
          <w:szCs w:val="36"/>
          <w:lang w:eastAsia="zh-CN"/>
          <w14:textFill>
            <w14:solidFill>
              <w14:schemeClr w14:val="tx1"/>
            </w14:solidFill>
          </w14:textFill>
        </w:rPr>
        <w:t>330000263830010000012-ZZCG2026D-GK-108</w:t>
      </w:r>
    </w:p>
    <w:p w14:paraId="598258A1">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2D0F6027">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5ED5DA85">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08A06A4D">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7AC8BE51">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35DCA0D9">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188C6558">
      <w:pPr>
        <w:ind w:right="-110"/>
        <w:rPr>
          <w:rFonts w:ascii="宋体" w:hAnsi="宋体"/>
          <w:color w:val="000000" w:themeColor="text1"/>
          <w:sz w:val="32"/>
          <w:szCs w:val="32"/>
          <w14:textFill>
            <w14:solidFill>
              <w14:schemeClr w14:val="tx1"/>
            </w14:solidFill>
          </w14:textFill>
        </w:rPr>
      </w:pPr>
    </w:p>
    <w:p w14:paraId="567D0944">
      <w:pPr>
        <w:ind w:right="-110"/>
        <w:rPr>
          <w:rFonts w:ascii="宋体" w:hAnsi="宋体"/>
          <w:color w:val="000000" w:themeColor="text1"/>
          <w:sz w:val="32"/>
          <w:szCs w:val="32"/>
          <w14:textFill>
            <w14:solidFill>
              <w14:schemeClr w14:val="tx1"/>
            </w14:solidFill>
          </w14:textFill>
        </w:rPr>
      </w:pPr>
    </w:p>
    <w:p w14:paraId="7E08128A">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7FCFF40C">
      <w:pPr>
        <w:spacing w:line="500" w:lineRule="exact"/>
        <w:ind w:right="532"/>
        <w:rPr>
          <w:rFonts w:ascii="宋体" w:hAnsi="宋体"/>
          <w:color w:val="000000" w:themeColor="text1"/>
          <w:sz w:val="36"/>
          <w:szCs w:val="36"/>
          <w14:textFill>
            <w14:solidFill>
              <w14:schemeClr w14:val="tx1"/>
            </w14:solidFill>
          </w14:textFill>
        </w:rPr>
      </w:pPr>
    </w:p>
    <w:p w14:paraId="11B0BAB7">
      <w:pPr>
        <w:wordWrap w:val="0"/>
        <w:spacing w:line="500" w:lineRule="exact"/>
        <w:ind w:right="-108" w:firstLine="540" w:firstLineChars="150"/>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5C098BC1">
      <w:pPr>
        <w:spacing w:line="500" w:lineRule="exact"/>
        <w:ind w:right="-108" w:firstLine="3072" w:firstLineChars="850"/>
        <w:rPr>
          <w:rFonts w:hAnsi="宋体"/>
          <w:b/>
          <w:color w:val="000000" w:themeColor="text1"/>
          <w:sz w:val="36"/>
          <w:szCs w:val="36"/>
          <w14:textFill>
            <w14:solidFill>
              <w14:schemeClr w14:val="tx1"/>
            </w14:solidFill>
          </w14:textFill>
        </w:rPr>
      </w:pPr>
    </w:p>
    <w:p w14:paraId="2BE711B4">
      <w:pPr>
        <w:spacing w:line="500" w:lineRule="exact"/>
        <w:ind w:right="-108" w:firstLine="3072" w:firstLineChars="850"/>
        <w:rPr>
          <w:rFonts w:hAnsi="宋体"/>
          <w:b/>
          <w:color w:val="000000" w:themeColor="text1"/>
          <w:sz w:val="36"/>
          <w:szCs w:val="36"/>
          <w14:textFill>
            <w14:solidFill>
              <w14:schemeClr w14:val="tx1"/>
            </w14:solidFill>
          </w14:textFill>
        </w:rPr>
      </w:pPr>
    </w:p>
    <w:p w14:paraId="6A30F640">
      <w:pPr>
        <w:spacing w:line="500" w:lineRule="exact"/>
        <w:ind w:right="-108" w:firstLine="3072" w:firstLineChars="850"/>
        <w:rPr>
          <w:rFonts w:hAnsi="宋体"/>
          <w:b/>
          <w:color w:val="000000" w:themeColor="text1"/>
          <w:sz w:val="36"/>
          <w:szCs w:val="36"/>
          <w14:textFill>
            <w14:solidFill>
              <w14:schemeClr w14:val="tx1"/>
            </w14:solidFill>
          </w14:textFill>
        </w:rPr>
      </w:pPr>
    </w:p>
    <w:p w14:paraId="1133E592">
      <w:pPr>
        <w:spacing w:line="500" w:lineRule="exact"/>
        <w:ind w:right="-108" w:firstLine="3072" w:firstLineChars="850"/>
        <w:rPr>
          <w:rFonts w:hAnsi="宋体"/>
          <w:b/>
          <w:color w:val="000000" w:themeColor="text1"/>
          <w:sz w:val="36"/>
          <w:szCs w:val="36"/>
          <w14:textFill>
            <w14:solidFill>
              <w14:schemeClr w14:val="tx1"/>
            </w14:solidFill>
          </w14:textFill>
        </w:rPr>
      </w:pPr>
    </w:p>
    <w:p w14:paraId="0E9B5C69">
      <w:pPr>
        <w:spacing w:line="500" w:lineRule="exact"/>
        <w:ind w:right="-108" w:firstLine="3072" w:firstLineChars="850"/>
        <w:rPr>
          <w:rFonts w:hAnsi="宋体"/>
          <w:b/>
          <w:color w:val="000000" w:themeColor="text1"/>
          <w:sz w:val="36"/>
          <w:szCs w:val="36"/>
          <w14:textFill>
            <w14:solidFill>
              <w14:schemeClr w14:val="tx1"/>
            </w14:solidFill>
          </w14:textFill>
        </w:rPr>
      </w:pPr>
    </w:p>
    <w:p w14:paraId="0E5CEC33">
      <w:pPr>
        <w:spacing w:line="500" w:lineRule="exact"/>
        <w:ind w:right="-108" w:firstLine="3072" w:firstLineChars="850"/>
        <w:rPr>
          <w:rFonts w:hAnsi="宋体"/>
          <w:b/>
          <w:color w:val="000000" w:themeColor="text1"/>
          <w:sz w:val="36"/>
          <w:szCs w:val="36"/>
          <w14:textFill>
            <w14:solidFill>
              <w14:schemeClr w14:val="tx1"/>
            </w14:solidFill>
          </w14:textFill>
        </w:rPr>
      </w:pPr>
    </w:p>
    <w:p w14:paraId="3AB9B259">
      <w:pPr>
        <w:keepNext w:val="0"/>
        <w:keepLines w:val="0"/>
        <w:pageBreakBefore w:val="0"/>
        <w:widowControl w:val="0"/>
        <w:kinsoku/>
        <w:wordWrap/>
        <w:overflowPunct/>
        <w:topLinePunct w:val="0"/>
        <w:autoSpaceDE/>
        <w:autoSpaceDN/>
        <w:bidi w:val="0"/>
        <w:adjustRightInd/>
        <w:snapToGrid/>
        <w:spacing w:line="500" w:lineRule="exact"/>
        <w:ind w:right="-108" w:firstLine="3072" w:firstLineChars="850"/>
        <w:textAlignment w:val="auto"/>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6DF90A2A">
      <w:pPr>
        <w:pStyle w:val="13"/>
        <w:spacing w:before="156" w:after="156" w:line="360" w:lineRule="auto"/>
        <w:jc w:val="center"/>
        <w:rPr>
          <w:rFonts w:hAnsi="宋体" w:eastAsia="仿宋_GB2312"/>
          <w:color w:val="000000" w:themeColor="text1"/>
          <w:sz w:val="32"/>
          <w:szCs w:val="32"/>
          <w14:textFill>
            <w14:solidFill>
              <w14:schemeClr w14:val="tx1"/>
            </w14:solidFill>
          </w14:textFill>
        </w:rPr>
      </w:pPr>
    </w:p>
    <w:p w14:paraId="21940C6C">
      <w:pPr>
        <w:pStyle w:val="17"/>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48E12803">
      <w:pPr>
        <w:pStyle w:val="17"/>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5F33CBB7">
      <w:pPr>
        <w:pStyle w:val="17"/>
        <w:tabs>
          <w:tab w:val="right" w:leader="dot" w:pos="8312"/>
        </w:tabs>
        <w:rPr>
          <w:rFonts w:hint="eastAsia" w:eastAsia="仿宋"/>
          <w:lang w:val="en-US" w:eastAsia="zh-CN"/>
        </w:rPr>
      </w:pPr>
      <w:r>
        <w:fldChar w:fldCharType="begin"/>
      </w:r>
      <w:r>
        <w:instrText xml:space="preserve"> HYPERLINK \l "_Toc2834" </w:instrText>
      </w:r>
      <w:r>
        <w:fldChar w:fldCharType="separate"/>
      </w:r>
      <w:r>
        <w:rPr>
          <w:rFonts w:hint="eastAsia" w:hAnsi="宋体"/>
          <w:szCs w:val="36"/>
        </w:rPr>
        <w:t>第三章评标办法及评分标准</w:t>
      </w:r>
      <w:r>
        <w:tab/>
      </w:r>
      <w:r>
        <w:rPr>
          <w:rFonts w:hint="eastAsia"/>
          <w:lang w:val="en-US" w:eastAsia="zh-CN"/>
        </w:rPr>
        <w:t>3</w:t>
      </w:r>
      <w:r>
        <w:fldChar w:fldCharType="end"/>
      </w:r>
      <w:r>
        <w:rPr>
          <w:rFonts w:hint="eastAsia"/>
          <w:lang w:val="en-US" w:eastAsia="zh-CN"/>
        </w:rPr>
        <w:t>0</w:t>
      </w:r>
    </w:p>
    <w:p w14:paraId="5309E1F2">
      <w:pPr>
        <w:pStyle w:val="17"/>
        <w:tabs>
          <w:tab w:val="right" w:leader="dot" w:pos="8312"/>
        </w:tabs>
        <w:rPr>
          <w:rFonts w:hint="eastAsia" w:eastAsia="仿宋"/>
          <w:lang w:val="en-US" w:eastAsia="zh-CN"/>
        </w:rPr>
      </w:pPr>
      <w:r>
        <w:fldChar w:fldCharType="begin"/>
      </w:r>
      <w:r>
        <w:instrText xml:space="preserve"> HYPERLINK \l "_Toc24960" </w:instrText>
      </w:r>
      <w:r>
        <w:fldChar w:fldCharType="separate"/>
      </w:r>
      <w:r>
        <w:rPr>
          <w:rFonts w:hint="eastAsia" w:hAnsi="宋体"/>
          <w:szCs w:val="36"/>
        </w:rPr>
        <w:t>第四章招标需求</w:t>
      </w:r>
      <w:r>
        <w:tab/>
      </w:r>
      <w:r>
        <w:rPr>
          <w:rFonts w:hint="eastAsia"/>
          <w:lang w:val="en-US" w:eastAsia="zh-CN"/>
        </w:rPr>
        <w:t>3</w:t>
      </w:r>
      <w:r>
        <w:fldChar w:fldCharType="end"/>
      </w:r>
      <w:r>
        <w:rPr>
          <w:rFonts w:hint="eastAsia"/>
          <w:lang w:val="en-US" w:eastAsia="zh-CN"/>
        </w:rPr>
        <w:t>4</w:t>
      </w:r>
    </w:p>
    <w:p w14:paraId="4D90E243">
      <w:pPr>
        <w:pStyle w:val="17"/>
        <w:tabs>
          <w:tab w:val="right" w:leader="dot" w:pos="8312"/>
        </w:tabs>
        <w:rPr>
          <w:rFonts w:hint="eastAsia" w:eastAsia="仿宋"/>
          <w:lang w:val="en-US" w:eastAsia="zh-CN"/>
        </w:rPr>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rPr>
          <w:rFonts w:hint="eastAsia"/>
          <w:lang w:val="en-US" w:eastAsia="zh-CN"/>
        </w:rPr>
        <w:t>5</w:t>
      </w:r>
      <w:r>
        <w:fldChar w:fldCharType="end"/>
      </w:r>
      <w:r>
        <w:rPr>
          <w:rFonts w:hint="eastAsia"/>
          <w:lang w:val="en-US" w:eastAsia="zh-CN"/>
        </w:rPr>
        <w:t>5</w:t>
      </w:r>
    </w:p>
    <w:p w14:paraId="27F6B5F1">
      <w:pPr>
        <w:pStyle w:val="17"/>
        <w:tabs>
          <w:tab w:val="right" w:leader="dot" w:pos="8312"/>
        </w:tabs>
        <w:rPr>
          <w:rFonts w:hint="eastAsia" w:eastAsia="仿宋"/>
          <w:lang w:val="en-US" w:eastAsia="zh-CN"/>
        </w:rPr>
      </w:pPr>
      <w:r>
        <w:fldChar w:fldCharType="begin"/>
      </w:r>
      <w:r>
        <w:instrText xml:space="preserve"> HYPERLINK \l "_Toc22013" </w:instrText>
      </w:r>
      <w:r>
        <w:fldChar w:fldCharType="separate"/>
      </w:r>
      <w:r>
        <w:rPr>
          <w:rFonts w:hint="eastAsia" w:hAnsi="宋体"/>
          <w:szCs w:val="36"/>
        </w:rPr>
        <w:t>第六章投标文件格式附件</w:t>
      </w:r>
      <w:r>
        <w:tab/>
      </w:r>
      <w:r>
        <w:rPr>
          <w:rFonts w:hint="eastAsia"/>
          <w:lang w:val="en-US" w:eastAsia="zh-CN"/>
        </w:rPr>
        <w:t>6</w:t>
      </w:r>
      <w:r>
        <w:fldChar w:fldCharType="end"/>
      </w:r>
      <w:r>
        <w:rPr>
          <w:rFonts w:hint="eastAsia"/>
          <w:lang w:val="en-US" w:eastAsia="zh-CN"/>
        </w:rPr>
        <w:t>0</w:t>
      </w:r>
    </w:p>
    <w:p w14:paraId="77348285">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14:paraId="0B871A65">
      <w:pPr>
        <w:pStyle w:val="13"/>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0" w:name="_Toc2371"/>
      <w:r>
        <w:rPr>
          <w:rFonts w:hint="eastAsia" w:hAnsi="宋体"/>
          <w:b/>
          <w:color w:val="000000" w:themeColor="text1"/>
          <w:sz w:val="36"/>
          <w:szCs w:val="36"/>
          <w14:textFill>
            <w14:solidFill>
              <w14:schemeClr w14:val="tx1"/>
            </w14:solidFill>
          </w14:textFill>
        </w:rPr>
        <w:t>第一章公开招标采购公告</w:t>
      </w:r>
      <w:bookmarkEnd w:id="0"/>
    </w:p>
    <w:p w14:paraId="7A918C18">
      <w:pPr>
        <w:pStyle w:val="25"/>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4E9EE902">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r>
        <w:rPr>
          <w:rFonts w:hint="eastAsia" w:ascii="仿宋" w:hAnsi="仿宋" w:eastAsia="仿宋" w:cs="Arial"/>
          <w:b/>
          <w:bCs/>
          <w:color w:val="000000" w:themeColor="text1"/>
          <w:sz w:val="30"/>
          <w:szCs w:val="30"/>
          <w:lang w:eastAsia="zh-CN"/>
          <w14:textFill>
            <w14:solidFill>
              <w14:schemeClr w14:val="tx1"/>
            </w14:solidFill>
          </w14:textFill>
        </w:rPr>
        <w:t>330000263830010000012-ZZCG2026D-GK-108</w:t>
      </w:r>
    </w:p>
    <w:p w14:paraId="5FB85B2B">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0213B04A">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1"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20"/>
        <w:tblW w:w="51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741"/>
        <w:gridCol w:w="1741"/>
        <w:gridCol w:w="1741"/>
        <w:gridCol w:w="1741"/>
      </w:tblGrid>
      <w:tr w14:paraId="5831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000" w:type="pct"/>
          </w:tcPr>
          <w:p w14:paraId="40E9A568">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1000" w:type="pct"/>
          </w:tcPr>
          <w:p w14:paraId="631B9FA3">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1000" w:type="pct"/>
          </w:tcPr>
          <w:p w14:paraId="198CAB88">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1000" w:type="pct"/>
          </w:tcPr>
          <w:p w14:paraId="1CB6D16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1000" w:type="pct"/>
          </w:tcPr>
          <w:p w14:paraId="74FC4F39">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r>
      <w:tr w14:paraId="5681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1000" w:type="pct"/>
          </w:tcPr>
          <w:p w14:paraId="5427CEF3">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1000" w:type="pct"/>
          </w:tcPr>
          <w:p w14:paraId="16437AC0">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省农业农村厅乡村大脑等11个应用运维</w:t>
            </w:r>
          </w:p>
        </w:tc>
        <w:tc>
          <w:tcPr>
            <w:tcW w:w="1000" w:type="pct"/>
          </w:tcPr>
          <w:p w14:paraId="24A3681F">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1000" w:type="pct"/>
          </w:tcPr>
          <w:p w14:paraId="58261D8E">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批</w:t>
            </w:r>
          </w:p>
        </w:tc>
        <w:tc>
          <w:tcPr>
            <w:tcW w:w="1000" w:type="pct"/>
          </w:tcPr>
          <w:p w14:paraId="5074C78A">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175.7</w:t>
            </w:r>
          </w:p>
        </w:tc>
      </w:tr>
    </w:tbl>
    <w:p w14:paraId="62AAFA3C">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1"/>
    </w:p>
    <w:p w14:paraId="58F72F23">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433113E1">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w:t>
      </w:r>
      <w:r>
        <w:rPr>
          <w:rFonts w:hint="eastAsia" w:ascii="仿宋" w:hAnsi="仿宋" w:eastAsia="仿宋" w:cs="Times New Roman"/>
          <w:color w:val="000000" w:themeColor="text1"/>
          <w:sz w:val="28"/>
          <w:szCs w:val="28"/>
          <w14:textFill>
            <w14:solidFill>
              <w14:schemeClr w14:val="tx1"/>
            </w14:solidFill>
          </w14:textFill>
        </w:rPr>
        <w:t>（重大税收违法失信主体名单）</w:t>
      </w:r>
      <w:r>
        <w:rPr>
          <w:rFonts w:hint="eastAsia" w:ascii="仿宋" w:hAnsi="仿宋" w:eastAsia="仿宋"/>
          <w:color w:val="000000" w:themeColor="text1"/>
          <w:sz w:val="28"/>
          <w:szCs w:val="28"/>
          <w14:textFill>
            <w14:solidFill>
              <w14:schemeClr w14:val="tx1"/>
            </w14:solidFill>
          </w14:textFill>
        </w:rPr>
        <w:t>、政府采购严重违法失信行为记录名单。</w:t>
      </w:r>
    </w:p>
    <w:p w14:paraId="2C7BF433">
      <w:pPr>
        <w:snapToGrid w:val="0"/>
        <w:spacing w:line="460" w:lineRule="exact"/>
        <w:ind w:firstLine="602" w:firstLineChars="200"/>
        <w:rPr>
          <w:rFonts w:hint="eastAsia" w:ascii="仿宋" w:hAnsi="仿宋" w:eastAsia="仿宋" w:cs="Arial"/>
          <w:b/>
          <w:bCs/>
          <w:color w:val="000000" w:themeColor="text1"/>
          <w:sz w:val="30"/>
          <w:szCs w:val="30"/>
          <w:lang w:val="en-US" w:eastAsia="zh-CN"/>
          <w14:textFill>
            <w14:solidFill>
              <w14:schemeClr w14:val="tx1"/>
            </w14:solidFill>
          </w14:textFill>
        </w:rPr>
      </w:pPr>
      <w:bookmarkStart w:id="2" w:name="PO_416_PM006"/>
      <w:r>
        <w:rPr>
          <w:rFonts w:hint="eastAsia" w:ascii="仿宋" w:hAnsi="仿宋" w:eastAsia="仿宋" w:cs="Arial"/>
          <w:b/>
          <w:bCs/>
          <w:color w:val="000000" w:themeColor="text1"/>
          <w:sz w:val="30"/>
          <w:szCs w:val="30"/>
          <w:lang w:val="en-US" w:eastAsia="zh-CN"/>
          <w14:textFill>
            <w14:solidFill>
              <w14:schemeClr w14:val="tx1"/>
            </w14:solidFill>
          </w14:textFill>
        </w:rPr>
        <w:t>投</w:t>
      </w:r>
      <w:r>
        <w:rPr>
          <w:rFonts w:hint="eastAsia" w:ascii="仿宋" w:hAnsi="仿宋" w:eastAsia="仿宋" w:cs="Arial"/>
          <w:b/>
          <w:bCs/>
          <w:color w:val="000000" w:themeColor="text1"/>
          <w:sz w:val="30"/>
          <w:szCs w:val="30"/>
          <w14:textFill>
            <w14:solidFill>
              <w14:schemeClr w14:val="tx1"/>
            </w14:solidFill>
          </w14:textFill>
        </w:rPr>
        <w:t>标人的特定条件：</w:t>
      </w:r>
      <w:bookmarkEnd w:id="2"/>
      <w:r>
        <w:rPr>
          <w:rFonts w:hint="eastAsia" w:ascii="仿宋" w:hAnsi="仿宋" w:eastAsia="仿宋" w:cs="Arial"/>
          <w:b/>
          <w:bCs/>
          <w:color w:val="000000" w:themeColor="text1"/>
          <w:sz w:val="30"/>
          <w:szCs w:val="30"/>
          <w:lang w:val="en-US" w:eastAsia="zh-CN"/>
          <w14:textFill>
            <w14:solidFill>
              <w14:schemeClr w14:val="tx1"/>
            </w14:solidFill>
          </w14:textFill>
        </w:rPr>
        <w:t>无</w:t>
      </w:r>
    </w:p>
    <w:p w14:paraId="6F7D3174">
      <w:pPr>
        <w:snapToGrid w:val="0"/>
        <w:spacing w:line="500" w:lineRule="exact"/>
        <w:ind w:firstLine="602" w:firstLineChars="200"/>
        <w:rPr>
          <w:rFonts w:hint="eastAsia" w:ascii="仿宋" w:hAnsi="仿宋" w:eastAsia="仿宋"/>
          <w:color w:val="000000" w:themeColor="text1"/>
          <w:sz w:val="28"/>
          <w:szCs w:val="28"/>
          <w:lang w:eastAsia="zh-CN"/>
          <w14:textFill>
            <w14:solidFill>
              <w14:schemeClr w14:val="tx1"/>
            </w14:solidFill>
          </w14:textFill>
        </w:rPr>
      </w:pPr>
      <w:bookmarkStart w:id="3" w:name="PO_15528_PM007"/>
      <w:r>
        <w:rPr>
          <w:rFonts w:hint="eastAsia" w:ascii="仿宋" w:hAnsi="仿宋" w:eastAsia="仿宋" w:cs="Arial"/>
          <w:b/>
          <w:bCs/>
          <w:color w:val="000000" w:themeColor="text1"/>
          <w:sz w:val="30"/>
          <w:szCs w:val="30"/>
          <w:lang w:eastAsia="zh-CN"/>
          <w14:textFill>
            <w14:solidFill>
              <w14:schemeClr w14:val="tx1"/>
            </w14:solidFill>
          </w14:textFill>
        </w:rPr>
        <w:t>标项1:允许联合体投标</w:t>
      </w:r>
      <w:bookmarkEnd w:id="3"/>
    </w:p>
    <w:p w14:paraId="44352C53">
      <w:pPr>
        <w:snapToGrid w:val="0"/>
        <w:spacing w:line="500" w:lineRule="exact"/>
        <w:ind w:firstLine="562" w:firstLineChars="200"/>
        <w:rPr>
          <w:rFonts w:hint="eastAsia" w:ascii="宋体" w:hAnsi="宋体" w:eastAsia="宋体" w:cs="Arial"/>
          <w:b/>
          <w:bCs/>
          <w:color w:val="000000" w:themeColor="text1"/>
          <w:sz w:val="28"/>
          <w:szCs w:val="28"/>
          <w:lang w:val="en-US" w:eastAsia="zh-CN"/>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w:t>
      </w:r>
      <w:r>
        <w:rPr>
          <w:rFonts w:hint="eastAsia" w:ascii="宋体" w:hAnsi="宋体" w:cs="仿宋"/>
          <w:b/>
          <w:bCs/>
          <w:color w:val="000000" w:themeColor="text1"/>
          <w:kern w:val="0"/>
          <w:sz w:val="28"/>
          <w:szCs w:val="28"/>
          <w:lang w:val="en-US" w:eastAsia="zh-CN"/>
          <w14:textFill>
            <w14:solidFill>
              <w14:schemeClr w14:val="tx1"/>
            </w14:solidFill>
          </w14:textFill>
        </w:rPr>
        <w:t>招标文件</w:t>
      </w:r>
    </w:p>
    <w:p w14:paraId="2539355D">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s="Times New Roman"/>
          <w:color w:val="000000"/>
          <w:kern w:val="0"/>
          <w:sz w:val="30"/>
          <w:szCs w:val="30"/>
          <w:lang w:val="en-US" w:eastAsia="zh-CN"/>
          <w14:ligatures w14:val="none"/>
        </w:rPr>
        <w:t xml:space="preserve"> </w:t>
      </w:r>
      <w:r>
        <w:rPr>
          <w:rFonts w:hint="eastAsia" w:ascii="仿宋" w:hAnsi="仿宋" w:eastAsia="仿宋" w:cs="Times New Roman"/>
          <w:color w:val="000000"/>
          <w:kern w:val="0"/>
          <w:sz w:val="30"/>
          <w:szCs w:val="30"/>
          <w14:ligatures w14:val="none"/>
        </w:rPr>
        <w:t>2026年4月3日至2026年4月24日</w:t>
      </w:r>
      <w:r>
        <w:rPr>
          <w:rFonts w:hint="eastAsia" w:ascii="宋体" w:hAnsi="宋体"/>
          <w:color w:val="000000" w:themeColor="text1"/>
          <w:kern w:val="0"/>
          <w:sz w:val="28"/>
          <w:szCs w:val="28"/>
          <w14:textFill>
            <w14:solidFill>
              <w14:schemeClr w14:val="tx1"/>
            </w14:solidFill>
          </w14:textFill>
        </w:rPr>
        <w:t>。</w:t>
      </w:r>
    </w:p>
    <w:p w14:paraId="084871CA">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23"/>
          <w:color w:val="000000" w:themeColor="text1"/>
          <w:sz w:val="28"/>
          <w:szCs w:val="28"/>
          <w14:textFill>
            <w14:solidFill>
              <w14:schemeClr w14:val="tx1"/>
            </w14:solidFill>
          </w14:textFill>
        </w:rPr>
        <w:t>http://zfcg.czt.zj.gov.cn/</w:t>
      </w:r>
      <w:r>
        <w:rPr>
          <w:rStyle w:val="23"/>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2F60F348">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3B578696">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5F76F715">
      <w:pPr>
        <w:pStyle w:val="13"/>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r>
        <w:rPr>
          <w:rFonts w:hint="eastAsia" w:ascii="仿宋" w:hAnsi="仿宋" w:eastAsia="仿宋" w:cs="Times New Roman"/>
          <w:color w:val="000000"/>
          <w:kern w:val="0"/>
          <w:sz w:val="30"/>
          <w:szCs w:val="30"/>
          <w:lang w:val="en-US" w:eastAsia="zh-CN"/>
          <w14:ligatures w14:val="none"/>
        </w:rPr>
        <w:t>2026</w:t>
      </w:r>
      <w:r>
        <w:rPr>
          <w:rFonts w:hint="eastAsia" w:ascii="仿宋" w:hAnsi="仿宋" w:eastAsia="仿宋" w:cs="Times New Roman"/>
          <w:color w:val="000000"/>
          <w:kern w:val="0"/>
          <w:sz w:val="30"/>
          <w:szCs w:val="30"/>
          <w14:ligatures w14:val="none"/>
        </w:rPr>
        <w:t>年</w:t>
      </w:r>
      <w:r>
        <w:rPr>
          <w:rFonts w:hint="eastAsia" w:ascii="仿宋" w:hAnsi="仿宋" w:eastAsia="仿宋" w:cs="Times New Roman"/>
          <w:color w:val="000000"/>
          <w:kern w:val="0"/>
          <w:sz w:val="30"/>
          <w:szCs w:val="30"/>
          <w:lang w:val="en-US" w:eastAsia="zh-CN"/>
          <w14:ligatures w14:val="none"/>
        </w:rPr>
        <w:t>4</w:t>
      </w:r>
      <w:r>
        <w:rPr>
          <w:rFonts w:hint="eastAsia" w:ascii="仿宋" w:hAnsi="仿宋" w:eastAsia="仿宋" w:cs="Times New Roman"/>
          <w:color w:val="000000"/>
          <w:kern w:val="0"/>
          <w:sz w:val="30"/>
          <w:szCs w:val="30"/>
          <w14:ligatures w14:val="none"/>
        </w:rPr>
        <w:t>月</w:t>
      </w:r>
      <w:r>
        <w:rPr>
          <w:rFonts w:hint="eastAsia" w:ascii="仿宋" w:hAnsi="仿宋" w:eastAsia="仿宋" w:cs="Times New Roman"/>
          <w:color w:val="000000"/>
          <w:kern w:val="0"/>
          <w:sz w:val="30"/>
          <w:szCs w:val="30"/>
          <w:lang w:val="en-US" w:eastAsia="zh-CN"/>
          <w14:ligatures w14:val="none"/>
        </w:rPr>
        <w:t>24</w:t>
      </w:r>
      <w:r>
        <w:rPr>
          <w:rFonts w:hint="eastAsia" w:ascii="仿宋" w:hAnsi="仿宋" w:eastAsia="仿宋" w:cs="Times New Roman"/>
          <w:color w:val="000000"/>
          <w:kern w:val="0"/>
          <w:sz w:val="30"/>
          <w:szCs w:val="30"/>
          <w14:ligatures w14:val="none"/>
        </w:rPr>
        <w:t>日上午09：00</w:t>
      </w:r>
      <w:r>
        <w:rPr>
          <w:rFonts w:hint="eastAsia" w:ascii="仿宋" w:hAnsi="仿宋" w:eastAsia="仿宋" w:cs="Arial"/>
          <w:color w:val="000000" w:themeColor="text1"/>
          <w:sz w:val="30"/>
          <w:szCs w:val="30"/>
          <w:lang w:eastAsia="zh-CN"/>
          <w14:textFill>
            <w14:solidFill>
              <w14:schemeClr w14:val="tx1"/>
            </w14:solidFill>
          </w14:textFill>
        </w:rPr>
        <w:t xml:space="preserve"> </w:t>
      </w:r>
      <w:r>
        <w:rPr>
          <w:rFonts w:hint="eastAsia" w:hAnsi="宋体"/>
          <w:b/>
          <w:color w:val="000000" w:themeColor="text1"/>
          <w:kern w:val="0"/>
          <w:sz w:val="28"/>
          <w:szCs w:val="28"/>
          <w14:textFill>
            <w14:solidFill>
              <w14:schemeClr w14:val="tx1"/>
            </w14:solidFill>
          </w14:textFill>
        </w:rPr>
        <w:t>。</w:t>
      </w:r>
    </w:p>
    <w:p w14:paraId="5AC6076F">
      <w:pPr>
        <w:pStyle w:val="13"/>
        <w:adjustRightInd w:val="0"/>
        <w:snapToGrid w:val="0"/>
        <w:spacing w:before="156" w:after="156"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2DF79B9F">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3BFCFC4E">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备份文件收件人：陶老师，联系方式：</w:t>
      </w:r>
      <w:r>
        <w:rPr>
          <w:rFonts w:ascii="宋体" w:hAnsi="宋体"/>
          <w:color w:val="000000" w:themeColor="text1"/>
          <w:kern w:val="0"/>
          <w:sz w:val="28"/>
          <w:szCs w:val="28"/>
          <w14:textFill>
            <w14:solidFill>
              <w14:schemeClr w14:val="tx1"/>
            </w14:solidFill>
          </w14:textFill>
        </w:rPr>
        <w:t>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02AD92DB">
      <w:pPr>
        <w:pStyle w:val="13"/>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2B5CA9E4">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631696F6">
      <w:pPr>
        <w:snapToGrid w:val="0"/>
        <w:spacing w:line="500" w:lineRule="exact"/>
        <w:ind w:firstLine="562" w:firstLineChars="200"/>
        <w:rPr>
          <w:rFonts w:hint="eastAsia" w:ascii="宋体" w:hAnsi="宋体" w:cs="Arial"/>
          <w:b/>
          <w:color w:val="000000" w:themeColor="text1"/>
          <w:sz w:val="28"/>
          <w:szCs w:val="28"/>
          <w14:textFill>
            <w14:solidFill>
              <w14:schemeClr w14:val="tx1"/>
            </w14:solidFill>
          </w14:textFill>
        </w:rPr>
      </w:pPr>
      <w:bookmarkStart w:id="4" w:name="_Hlk186559452"/>
      <w:r>
        <w:rPr>
          <w:rFonts w:hint="eastAsia" w:ascii="宋体" w:hAnsi="宋体" w:cs="Arial"/>
          <w:b/>
          <w:color w:val="000000" w:themeColor="text1"/>
          <w:sz w:val="28"/>
          <w:szCs w:val="28"/>
          <w14:textFill>
            <w14:solidFill>
              <w14:schemeClr w14:val="tx1"/>
            </w14:solidFill>
          </w14:textFill>
        </w:rPr>
        <w:t>本次招标将于</w:t>
      </w:r>
      <w:r>
        <w:rPr>
          <w:rFonts w:hint="eastAsia" w:hAnsi="宋体"/>
          <w:b/>
          <w:color w:val="000000"/>
          <w:kern w:val="0"/>
          <w:sz w:val="28"/>
          <w:szCs w:val="28"/>
          <w:lang w:val="en-US" w:eastAsia="zh-CN"/>
        </w:rPr>
        <w:t>2026年4月24日上午09：00</w:t>
      </w:r>
      <w:r>
        <w:rPr>
          <w:rFonts w:hint="eastAsia" w:ascii="宋体" w:hAnsi="宋体" w:cs="Arial"/>
          <w:b/>
          <w:color w:val="000000" w:themeColor="text1"/>
          <w:sz w:val="28"/>
          <w:szCs w:val="28"/>
          <w14:textFill>
            <w14:solidFill>
              <w14:schemeClr w14:val="tx1"/>
            </w14:solidFill>
          </w14:textFill>
        </w:rPr>
        <w:t>时整在</w:t>
      </w:r>
      <w:bookmarkStart w:id="5" w:name="PO_15528_PM016_1"/>
      <w:r>
        <w:rPr>
          <w:rFonts w:hint="eastAsia" w:ascii="宋体" w:hAnsi="宋体" w:cs="Arial"/>
          <w:b/>
          <w:color w:val="000000" w:themeColor="text1"/>
          <w:sz w:val="28"/>
          <w:szCs w:val="28"/>
          <w14:textFill>
            <w14:solidFill>
              <w14:schemeClr w14:val="tx1"/>
            </w14:solidFill>
          </w14:textFill>
        </w:rPr>
        <w:t>浙江省杭州市西湖区宝石一路3号203开标室</w:t>
      </w:r>
      <w:bookmarkEnd w:id="5"/>
      <w:r>
        <w:rPr>
          <w:rFonts w:hint="eastAsia" w:ascii="宋体" w:hAnsi="宋体" w:cs="Arial"/>
          <w:b/>
          <w:color w:val="000000" w:themeColor="text1"/>
          <w:sz w:val="28"/>
          <w:szCs w:val="28"/>
          <w14:textFill>
            <w14:solidFill>
              <w14:schemeClr w14:val="tx1"/>
            </w14:solidFill>
          </w14:textFill>
        </w:rPr>
        <w:t>开标</w:t>
      </w:r>
      <w:bookmarkEnd w:id="4"/>
      <w:r>
        <w:rPr>
          <w:rFonts w:hint="eastAsia" w:ascii="宋体" w:hAnsi="宋体" w:cs="Arial"/>
          <w:b/>
          <w:color w:val="000000" w:themeColor="text1"/>
          <w:sz w:val="28"/>
          <w:szCs w:val="28"/>
          <w14:textFill>
            <w14:solidFill>
              <w14:schemeClr w14:val="tx1"/>
            </w14:solidFill>
          </w14:textFill>
        </w:rPr>
        <w:t>。</w:t>
      </w:r>
    </w:p>
    <w:p w14:paraId="5FD5C69E">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3442"/>
        <w:gridCol w:w="3443"/>
      </w:tblGrid>
      <w:tr w14:paraId="2FB1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B0131ED">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572583A1">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203开标室：</w:t>
            </w:r>
          </w:p>
          <w:p w14:paraId="4C0109DC">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ascii="宋体" w:hAnsi="宋体" w:cs="宋体"/>
                <w:color w:val="000000" w:themeColor="text1"/>
                <w:kern w:val="0"/>
                <w:sz w:val="28"/>
                <w:szCs w:val="28"/>
                <w14:textFill>
                  <w14:solidFill>
                    <w14:schemeClr w14:val="tx1"/>
                  </w14:solidFill>
                </w14:textFill>
              </w:rPr>
              <w:t>1816</w:t>
            </w:r>
          </w:p>
        </w:tc>
        <w:tc>
          <w:tcPr>
            <w:tcW w:w="3443" w:type="dxa"/>
            <w:tcBorders>
              <w:top w:val="single" w:color="auto" w:sz="4" w:space="0"/>
              <w:left w:val="single" w:color="auto" w:sz="4" w:space="0"/>
              <w:bottom w:val="single" w:color="auto" w:sz="4" w:space="0"/>
              <w:right w:val="single" w:color="auto" w:sz="4" w:space="0"/>
            </w:tcBorders>
            <w:vAlign w:val="center"/>
          </w:tcPr>
          <w:p w14:paraId="6BBD59D7">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评标</w:t>
            </w:r>
            <w:r>
              <w:rPr>
                <w:rFonts w:hint="eastAsia" w:ascii="宋体" w:hAnsi="宋体" w:cs="宋体"/>
                <w:color w:val="000000" w:themeColor="text1"/>
                <w:kern w:val="0"/>
                <w:sz w:val="28"/>
                <w:szCs w:val="28"/>
                <w14:textFill>
                  <w14:solidFill>
                    <w14:schemeClr w14:val="tx1"/>
                  </w14:solidFill>
                </w14:textFill>
              </w:rPr>
              <w:t>室：</w:t>
            </w:r>
          </w:p>
          <w:p w14:paraId="3713F755">
            <w:pPr>
              <w:adjustRightInd w:val="0"/>
              <w:snapToGrid w:val="0"/>
              <w:spacing w:line="360" w:lineRule="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w:t>
            </w:r>
            <w:r>
              <w:rPr>
                <w:rFonts w:hint="eastAsia" w:ascii="宋体" w:hAnsi="宋体" w:cs="宋体"/>
                <w:color w:val="000000" w:themeColor="text1"/>
                <w:kern w:val="0"/>
                <w:sz w:val="28"/>
                <w:szCs w:val="28"/>
                <w:lang w:val="en-US" w:eastAsia="zh-CN"/>
                <w14:textFill>
                  <w14:solidFill>
                    <w14:schemeClr w14:val="tx1"/>
                  </w14:solidFill>
                </w14:textFill>
              </w:rPr>
              <w:t>88907792</w:t>
            </w:r>
          </w:p>
        </w:tc>
      </w:tr>
    </w:tbl>
    <w:p w14:paraId="6EFC97F0">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1FE54D9B">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23"/>
          <w:color w:val="000000" w:themeColor="text1"/>
          <w:sz w:val="28"/>
          <w:szCs w:val="28"/>
          <w14:textFill>
            <w14:solidFill>
              <w14:schemeClr w14:val="tx1"/>
            </w14:solidFill>
          </w14:textFill>
        </w:rPr>
        <w:t>http://zfcg.czt.zj.gov.cn/</w:t>
      </w:r>
      <w:r>
        <w:rPr>
          <w:rStyle w:val="23"/>
          <w:color w:val="000000" w:themeColor="text1"/>
          <w:sz w:val="28"/>
          <w:szCs w:val="28"/>
          <w14:textFill>
            <w14:solidFill>
              <w14:schemeClr w14:val="tx1"/>
            </w14:solidFill>
          </w14:textFill>
        </w:rPr>
        <w:fldChar w:fldCharType="end"/>
      </w:r>
    </w:p>
    <w:p w14:paraId="31ACE4D1">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7A881D56">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22DA5EE5">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244F3696">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188810D9">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1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2C80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50FF19C8">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042EE8F8">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5F12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4F9B5D2">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4E66C9D2">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0081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538A3F7C">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3725518C">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774C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1DE9AD9">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2D533EA7">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45B2836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4C1F750A">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6F547AEA">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230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B9E30F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6FCA79C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7E999DAA">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6" w:name="PO_15528_PM032"/>
            <w:r>
              <w:rPr>
                <w:rFonts w:hint="eastAsia" w:ascii="仿宋" w:hAnsi="仿宋" w:eastAsia="仿宋" w:cs="仿宋"/>
                <w:color w:val="000000" w:themeColor="text1"/>
                <w:sz w:val="28"/>
                <w:szCs w:val="28"/>
                <w:lang w:eastAsia="zh-CN"/>
                <w14:textFill>
                  <w14:solidFill>
                    <w14:schemeClr w14:val="tx1"/>
                  </w14:solidFill>
                </w14:textFill>
              </w:rPr>
              <w:t>杜</w:t>
            </w:r>
            <w:bookmarkEnd w:id="6"/>
            <w:r>
              <w:rPr>
                <w:rFonts w:hint="eastAsia" w:ascii="仿宋" w:hAnsi="仿宋" w:eastAsia="仿宋" w:cs="仿宋"/>
                <w:color w:val="000000" w:themeColor="text1"/>
                <w:sz w:val="28"/>
                <w:szCs w:val="28"/>
                <w:lang w:val="en-US" w:eastAsia="zh-CN"/>
                <w14:textFill>
                  <w14:solidFill>
                    <w14:schemeClr w14:val="tx1"/>
                  </w14:solidFill>
                </w14:textFill>
              </w:rPr>
              <w:t>女士</w:t>
            </w:r>
          </w:p>
        </w:tc>
        <w:tc>
          <w:tcPr>
            <w:tcW w:w="2089" w:type="dxa"/>
            <w:tcBorders>
              <w:top w:val="single" w:color="auto" w:sz="4" w:space="0"/>
              <w:left w:val="single" w:color="auto" w:sz="4" w:space="0"/>
              <w:bottom w:val="single" w:color="auto" w:sz="4" w:space="0"/>
              <w:right w:val="single" w:color="auto" w:sz="4" w:space="0"/>
            </w:tcBorders>
            <w:vAlign w:val="center"/>
          </w:tcPr>
          <w:p w14:paraId="412B8478">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7" w:name="PO_15528_PM033"/>
            <w:r>
              <w:rPr>
                <w:rFonts w:hint="eastAsia" w:ascii="仿宋" w:hAnsi="仿宋" w:eastAsia="仿宋" w:cs="仿宋"/>
                <w:color w:val="000000" w:themeColor="text1"/>
                <w:sz w:val="28"/>
                <w:szCs w:val="28"/>
                <w:lang w:eastAsia="zh-CN"/>
                <w14:textFill>
                  <w14:solidFill>
                    <w14:schemeClr w14:val="tx1"/>
                  </w14:solidFill>
                </w14:textFill>
              </w:rPr>
              <w:t>0571-88901837</w:t>
            </w:r>
            <w:bookmarkEnd w:id="7"/>
          </w:p>
        </w:tc>
        <w:tc>
          <w:tcPr>
            <w:tcW w:w="2066" w:type="dxa"/>
            <w:tcBorders>
              <w:top w:val="single" w:color="auto" w:sz="4" w:space="0"/>
              <w:left w:val="single" w:color="auto" w:sz="4" w:space="0"/>
              <w:bottom w:val="single" w:color="auto" w:sz="4" w:space="0"/>
              <w:right w:val="single" w:color="auto" w:sz="4" w:space="0"/>
            </w:tcBorders>
            <w:vAlign w:val="center"/>
          </w:tcPr>
          <w:p w14:paraId="434BAEF2">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8"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8"/>
          </w:p>
        </w:tc>
        <w:tc>
          <w:tcPr>
            <w:tcW w:w="2645" w:type="dxa"/>
            <w:vMerge w:val="restart"/>
            <w:tcBorders>
              <w:top w:val="single" w:color="auto" w:sz="4" w:space="0"/>
              <w:left w:val="single" w:color="auto" w:sz="4" w:space="0"/>
              <w:bottom w:val="single" w:color="auto" w:sz="4" w:space="0"/>
              <w:right w:val="single" w:color="auto" w:sz="4" w:space="0"/>
            </w:tcBorders>
          </w:tcPr>
          <w:p w14:paraId="1B5478D3">
            <w:pPr>
              <w:spacing w:line="48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9" w:name="PO_409_PM001385"/>
            <w:r>
              <w:rPr>
                <w:rFonts w:hint="eastAsia" w:ascii="仿宋" w:hAnsi="仿宋" w:eastAsia="仿宋" w:cs="仿宋"/>
                <w:color w:val="000000" w:themeColor="text1"/>
                <w:sz w:val="28"/>
                <w:szCs w:val="28"/>
                <w:lang w:eastAsia="zh-CN"/>
                <w14:textFill>
                  <w14:solidFill>
                    <w14:schemeClr w14:val="tx1"/>
                  </w14:solidFill>
                </w14:textFill>
              </w:rPr>
              <w:t>采购二部</w:t>
            </w:r>
            <w:bookmarkEnd w:id="9"/>
          </w:p>
        </w:tc>
      </w:tr>
      <w:tr w14:paraId="525A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9123AD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0BB45F8E">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vAlign w:val="center"/>
          </w:tcPr>
          <w:p w14:paraId="467E543E">
            <w:pPr>
              <w:spacing w:line="48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戴女士</w:t>
            </w:r>
          </w:p>
        </w:tc>
        <w:tc>
          <w:tcPr>
            <w:tcW w:w="2089" w:type="dxa"/>
            <w:tcBorders>
              <w:top w:val="single" w:color="auto" w:sz="4" w:space="0"/>
              <w:left w:val="single" w:color="auto" w:sz="4" w:space="0"/>
              <w:bottom w:val="single" w:color="auto" w:sz="4" w:space="0"/>
              <w:right w:val="single" w:color="auto" w:sz="4" w:space="0"/>
            </w:tcBorders>
            <w:vAlign w:val="center"/>
          </w:tcPr>
          <w:p w14:paraId="4E7B6496">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0571-88907768</w:t>
            </w:r>
          </w:p>
        </w:tc>
        <w:tc>
          <w:tcPr>
            <w:tcW w:w="2066" w:type="dxa"/>
            <w:tcBorders>
              <w:top w:val="single" w:color="auto" w:sz="4" w:space="0"/>
              <w:left w:val="single" w:color="auto" w:sz="4" w:space="0"/>
              <w:bottom w:val="single" w:color="auto" w:sz="4" w:space="0"/>
              <w:right w:val="single" w:color="auto" w:sz="4" w:space="0"/>
            </w:tcBorders>
            <w:vAlign w:val="center"/>
          </w:tcPr>
          <w:p w14:paraId="0DA684F7">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16191FF6">
            <w:pPr>
              <w:widowControl/>
              <w:jc w:val="left"/>
              <w:rPr>
                <w:rFonts w:ascii="仿宋" w:hAnsi="仿宋" w:eastAsia="仿宋" w:cs="仿宋"/>
                <w:color w:val="000000" w:themeColor="text1"/>
                <w:sz w:val="28"/>
                <w:szCs w:val="28"/>
                <w14:textFill>
                  <w14:solidFill>
                    <w14:schemeClr w14:val="tx1"/>
                  </w14:solidFill>
                </w14:textFill>
              </w:rPr>
            </w:pPr>
          </w:p>
        </w:tc>
      </w:tr>
      <w:tr w14:paraId="52D1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8F0435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14:paraId="6C7FEAF4">
            <w:pPr>
              <w:spacing w:line="48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14:paraId="0AA1307C">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0571-88907750</w:t>
            </w:r>
          </w:p>
        </w:tc>
        <w:tc>
          <w:tcPr>
            <w:tcW w:w="2066" w:type="dxa"/>
            <w:tcBorders>
              <w:top w:val="single" w:color="auto" w:sz="4" w:space="0"/>
              <w:left w:val="single" w:color="auto" w:sz="4" w:space="0"/>
              <w:bottom w:val="single" w:color="auto" w:sz="4" w:space="0"/>
              <w:right w:val="single" w:color="auto" w:sz="4" w:space="0"/>
            </w:tcBorders>
            <w:vAlign w:val="center"/>
          </w:tcPr>
          <w:p w14:paraId="7075297F">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246B071D">
            <w:pPr>
              <w:widowControl/>
              <w:jc w:val="left"/>
              <w:rPr>
                <w:rFonts w:ascii="仿宋" w:hAnsi="仿宋" w:eastAsia="仿宋" w:cs="仿宋"/>
                <w:color w:val="000000" w:themeColor="text1"/>
                <w:sz w:val="28"/>
                <w:szCs w:val="28"/>
                <w14:textFill>
                  <w14:solidFill>
                    <w14:schemeClr w14:val="tx1"/>
                  </w14:solidFill>
                </w14:textFill>
              </w:rPr>
            </w:pPr>
          </w:p>
        </w:tc>
      </w:tr>
      <w:tr w14:paraId="2138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7DC1309">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24FE818F">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val="en-US" w:eastAsia="zh-CN"/>
                <w14:textFill>
                  <w14:solidFill>
                    <w14:schemeClr w14:val="tx1"/>
                  </w14:solidFill>
                </w14:textFill>
              </w:rPr>
              <w:t>先生</w:t>
            </w:r>
          </w:p>
        </w:tc>
        <w:tc>
          <w:tcPr>
            <w:tcW w:w="2089" w:type="dxa"/>
            <w:tcBorders>
              <w:top w:val="single" w:color="auto" w:sz="4" w:space="0"/>
              <w:left w:val="single" w:color="auto" w:sz="4" w:space="0"/>
              <w:bottom w:val="single" w:color="auto" w:sz="4" w:space="0"/>
              <w:right w:val="single" w:color="auto" w:sz="4" w:space="0"/>
            </w:tcBorders>
            <w:vAlign w:val="center"/>
          </w:tcPr>
          <w:p w14:paraId="5ED48766">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w:t>
            </w:r>
            <w:r>
              <w:rPr>
                <w:rFonts w:hint="eastAsia" w:ascii="仿宋" w:hAnsi="仿宋" w:eastAsia="仿宋" w:cs="仿宋"/>
                <w:color w:val="000000" w:themeColor="text1"/>
                <w:sz w:val="28"/>
                <w:szCs w:val="28"/>
                <w:lang w:val="en-US" w:eastAsia="zh-CN"/>
                <w14:textFill>
                  <w14:solidFill>
                    <w14:schemeClr w14:val="tx1"/>
                  </w14:solidFill>
                </w14:textFill>
              </w:rPr>
              <w:t>07</w:t>
            </w:r>
          </w:p>
        </w:tc>
        <w:tc>
          <w:tcPr>
            <w:tcW w:w="2066" w:type="dxa"/>
            <w:tcBorders>
              <w:top w:val="single" w:color="auto" w:sz="4" w:space="0"/>
              <w:left w:val="single" w:color="auto" w:sz="4" w:space="0"/>
              <w:bottom w:val="single" w:color="auto" w:sz="4" w:space="0"/>
              <w:right w:val="single" w:color="auto" w:sz="4" w:space="0"/>
            </w:tcBorders>
            <w:vAlign w:val="center"/>
          </w:tcPr>
          <w:p w14:paraId="1B622EA5">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4C26138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r>
              <w:rPr>
                <w:rFonts w:hint="eastAsia" w:ascii="仿宋" w:hAnsi="仿宋" w:eastAsia="仿宋" w:cs="仿宋"/>
                <w:color w:val="000000" w:themeColor="text1"/>
                <w:sz w:val="28"/>
                <w:szCs w:val="28"/>
                <w:lang w:eastAsia="zh-CN"/>
                <w14:textFill>
                  <w14:solidFill>
                    <w14:schemeClr w14:val="tx1"/>
                  </w14:solidFill>
                </w14:textFill>
              </w:rPr>
              <w:t>财务</w:t>
            </w:r>
            <w:r>
              <w:rPr>
                <w:rFonts w:hint="eastAsia" w:ascii="仿宋" w:hAnsi="仿宋" w:eastAsia="仿宋" w:cs="仿宋"/>
                <w:color w:val="000000" w:themeColor="text1"/>
                <w:sz w:val="28"/>
                <w:szCs w:val="28"/>
                <w14:textFill>
                  <w14:solidFill>
                    <w14:schemeClr w14:val="tx1"/>
                  </w14:solidFill>
                </w14:textFill>
              </w:rPr>
              <w:t>监督部）</w:t>
            </w:r>
          </w:p>
        </w:tc>
      </w:tr>
      <w:tr w14:paraId="1151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2EC87C1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5EFA8049">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6A25A548">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218403E2">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60A5AAD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14:paraId="36B35356">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4C06CF8A">
      <w:pPr>
        <w:snapToGrid w:val="0"/>
        <w:spacing w:line="440" w:lineRule="exact"/>
        <w:ind w:firstLine="600" w:firstLineChars="200"/>
        <w:jc w:val="both"/>
        <w:rPr>
          <w:rFonts w:hint="eastAsia" w:ascii="仿宋_GB2312" w:hAnsi="仿宋" w:eastAsia="仿宋_GB2312"/>
          <w:color w:val="000000" w:themeColor="text1"/>
          <w:sz w:val="30"/>
          <w:szCs w:val="30"/>
          <w:vertAlign w:val="baseline"/>
          <w:lang w:eastAsia="zh-CN"/>
          <w14:textFill>
            <w14:solidFill>
              <w14:schemeClr w14:val="tx1"/>
            </w14:solidFill>
          </w14:textFill>
        </w:rPr>
      </w:pPr>
      <w:bookmarkStart w:id="10" w:name="PO_TDCUS_ITEM_PRC_TITLE_1_2"/>
      <w:r>
        <w:rPr>
          <w:rFonts w:hint="eastAsia" w:ascii="仿宋_GB2312" w:hAnsi="仿宋" w:eastAsia="仿宋_GB2312"/>
          <w:color w:val="000000" w:themeColor="text1"/>
          <w:sz w:val="30"/>
          <w:szCs w:val="30"/>
          <w:lang w:eastAsia="zh-CN"/>
          <w14:textFill>
            <w14:solidFill>
              <w14:schemeClr w14:val="tx1"/>
            </w14:solidFill>
          </w14:textFill>
        </w:rPr>
        <w:t>标项1：</w:t>
      </w:r>
      <w:bookmarkEnd w:id="10"/>
      <w:bookmarkStart w:id="11" w:name="PO_TDCUS_ITEM_PRC_TABLE_1_1_2"/>
      <w:r>
        <w:rPr>
          <w:rFonts w:hint="eastAsia" w:ascii="仿宋_GB2312" w:hAnsi="仿宋" w:eastAsia="仿宋_GB2312"/>
          <w:color w:val="000000" w:themeColor="text1"/>
          <w:sz w:val="30"/>
          <w:szCs w:val="30"/>
          <w:lang w:eastAsia="zh-CN"/>
          <w14:textFill>
            <w14:solidFill>
              <w14:schemeClr w14:val="tx1"/>
            </w14:solidFill>
          </w14:textFill>
        </w:rPr>
        <w:t xml:space="preserve"> </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37B0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tcPr>
          <w:p w14:paraId="40829271">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2500" w:type="pct"/>
          </w:tcPr>
          <w:p w14:paraId="04D6C91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浙江省数据局（浙江省政务服务管理办公室）</w:t>
            </w:r>
          </w:p>
        </w:tc>
      </w:tr>
      <w:tr w14:paraId="4ADF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543D14B">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2500" w:type="pct"/>
          </w:tcPr>
          <w:p w14:paraId="3307B3B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体育场路487号</w:t>
            </w:r>
          </w:p>
        </w:tc>
      </w:tr>
      <w:tr w14:paraId="5A2F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AFA1DD3">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2500" w:type="pct"/>
          </w:tcPr>
          <w:p w14:paraId="683ADDB5">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采购需求等</w:t>
            </w:r>
          </w:p>
        </w:tc>
      </w:tr>
      <w:tr w14:paraId="1C55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0DF530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4261" w:type="dxa"/>
            <w:vAlign w:val="top"/>
          </w:tcPr>
          <w:p w14:paraId="30C3FE50">
            <w:pPr>
              <w:keepNext w:val="0"/>
              <w:keepLines w:val="0"/>
              <w:suppressLineNumbers w:val="0"/>
              <w:snapToGrid w:val="0"/>
              <w:spacing w:before="0" w:beforeAutospacing="0" w:after="0" w:afterAutospacing="0" w:line="440" w:lineRule="exact"/>
              <w:ind w:left="0" w:leftChars="0" w:right="0" w:rightChars="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val="en-US" w:eastAsia="zh-CN"/>
                <w14:textFill>
                  <w14:solidFill>
                    <w14:schemeClr w14:val="tx1"/>
                  </w14:solidFill>
                </w14:textFill>
              </w:rPr>
              <w:t>黄先生</w:t>
            </w:r>
          </w:p>
        </w:tc>
      </w:tr>
      <w:tr w14:paraId="2AA6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942C0B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4261" w:type="dxa"/>
            <w:vAlign w:val="top"/>
          </w:tcPr>
          <w:p w14:paraId="5FBFC6C4">
            <w:pPr>
              <w:keepNext w:val="0"/>
              <w:keepLines w:val="0"/>
              <w:suppressLineNumbers w:val="0"/>
              <w:snapToGrid w:val="0"/>
              <w:spacing w:before="0" w:beforeAutospacing="0" w:after="0" w:afterAutospacing="0" w:line="440" w:lineRule="exact"/>
              <w:ind w:left="0" w:leftChars="0" w:right="0" w:rightChars="0"/>
              <w:jc w:val="center"/>
              <w:rPr>
                <w:rFonts w:hint="default" w:ascii="仿宋_GB2312" w:hAnsi="仿宋" w:eastAsia="仿宋_GB2312"/>
                <w:color w:val="000000" w:themeColor="text1"/>
                <w:sz w:val="30"/>
                <w:szCs w:val="30"/>
                <w:vertAlign w:val="baseline"/>
                <w:lang w:val="en-US" w:eastAsia="zh-CN"/>
                <w14:textFill>
                  <w14:solidFill>
                    <w14:schemeClr w14:val="tx1"/>
                  </w14:solidFill>
                </w14:textFill>
              </w:rPr>
            </w:pPr>
            <w:r>
              <w:rPr>
                <w:rFonts w:hint="eastAsia" w:ascii="仿宋_GB2312" w:hAnsi="仿宋" w:eastAsia="仿宋_GB2312"/>
                <w:color w:val="000000" w:themeColor="text1"/>
                <w:sz w:val="30"/>
                <w:szCs w:val="30"/>
                <w:vertAlign w:val="baseline"/>
                <w:lang w:val="en-US" w:eastAsia="zh-CN"/>
                <w14:textFill>
                  <w14:solidFill>
                    <w14:schemeClr w14:val="tx1"/>
                  </w14:solidFill>
                </w14:textFill>
              </w:rPr>
              <w:t xml:space="preserve"> 0571-87056171</w:t>
            </w:r>
          </w:p>
        </w:tc>
      </w:tr>
      <w:tr w14:paraId="25DC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B63945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传真</w:t>
            </w:r>
          </w:p>
        </w:tc>
        <w:tc>
          <w:tcPr>
            <w:tcW w:w="2500" w:type="pct"/>
          </w:tcPr>
          <w:p w14:paraId="22E7AB2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r w14:paraId="46DF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5B23CCF">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备注</w:t>
            </w:r>
          </w:p>
        </w:tc>
        <w:tc>
          <w:tcPr>
            <w:tcW w:w="2500" w:type="pct"/>
          </w:tcPr>
          <w:p w14:paraId="009A521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bl>
    <w:p w14:paraId="0B1F3A34">
      <w:pPr>
        <w:snapToGrid w:val="0"/>
        <w:spacing w:line="440" w:lineRule="exact"/>
        <w:ind w:firstLine="600" w:firstLineChars="200"/>
        <w:jc w:val="center"/>
        <w:rPr>
          <w:rFonts w:hint="eastAsia" w:ascii="仿宋_GB2312" w:hAnsi="仿宋" w:eastAsia="仿宋_GB2312"/>
          <w:color w:val="000000" w:themeColor="text1"/>
          <w:sz w:val="30"/>
          <w:szCs w:val="30"/>
          <w:lang w:eastAsia="zh-CN"/>
          <w14:textFill>
            <w14:solidFill>
              <w14:schemeClr w14:val="tx1"/>
            </w14:solidFill>
          </w14:textFill>
        </w:rPr>
      </w:pPr>
      <w:r>
        <w:rPr>
          <w:rFonts w:hint="eastAsia" w:ascii="仿宋_GB2312" w:hAnsi="仿宋" w:eastAsia="仿宋_GB2312"/>
          <w:color w:val="000000" w:themeColor="text1"/>
          <w:sz w:val="30"/>
          <w:szCs w:val="30"/>
          <w:lang w:eastAsia="zh-CN"/>
          <w14:textFill>
            <w14:solidFill>
              <w14:schemeClr w14:val="tx1"/>
            </w14:solidFill>
          </w14:textFill>
        </w:rPr>
        <w:t xml:space="preserve"> </w:t>
      </w:r>
      <w:bookmarkEnd w:id="11"/>
    </w:p>
    <w:p w14:paraId="6B071B6E">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4C17A507">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27027BD8">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232DE039">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联系人：匡老师</w:t>
      </w:r>
    </w:p>
    <w:p w14:paraId="665B26B1">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sz w:val="30"/>
          <w:szCs w:val="30"/>
        </w:rPr>
        <w:t>监督投诉电话：0571-87807798</w:t>
      </w:r>
    </w:p>
    <w:p w14:paraId="1D1ECFAC">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20A5928A">
      <w:pPr>
        <w:pStyle w:val="1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2" w:name="_Toc29498"/>
      <w:bookmarkStart w:id="13" w:name="_Toc496796636"/>
      <w:r>
        <w:rPr>
          <w:rFonts w:hint="eastAsia" w:ascii="仿宋" w:hAnsi="仿宋" w:eastAsia="仿宋"/>
          <w:b/>
          <w:color w:val="000000" w:themeColor="text1"/>
          <w:sz w:val="36"/>
          <w:szCs w:val="36"/>
          <w14:textFill>
            <w14:solidFill>
              <w14:schemeClr w14:val="tx1"/>
            </w14:solidFill>
          </w14:textFill>
        </w:rPr>
        <w:t>第二章</w:t>
      </w:r>
      <w:bookmarkStart w:id="14" w:name="投标人须知"/>
      <w:r>
        <w:rPr>
          <w:rFonts w:hint="eastAsia" w:ascii="仿宋" w:hAnsi="仿宋" w:eastAsia="仿宋"/>
          <w:b/>
          <w:color w:val="000000" w:themeColor="text1"/>
          <w:sz w:val="36"/>
          <w:szCs w:val="36"/>
          <w14:textFill>
            <w14:solidFill>
              <w14:schemeClr w14:val="tx1"/>
            </w14:solidFill>
          </w14:textFill>
        </w:rPr>
        <w:t>投标人须知</w:t>
      </w:r>
      <w:bookmarkEnd w:id="12"/>
      <w:bookmarkEnd w:id="13"/>
      <w:bookmarkEnd w:id="14"/>
    </w:p>
    <w:p w14:paraId="2DCF9449">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1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79BDB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1FE15C5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24E21874">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2E83DD8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7747A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FB5749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13FA3CD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vAlign w:val="center"/>
          </w:tcPr>
          <w:p w14:paraId="3BA10669">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4597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401F8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398877F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vAlign w:val="center"/>
          </w:tcPr>
          <w:p w14:paraId="59A37952">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48DB1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0B47CD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455E91B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vAlign w:val="center"/>
          </w:tcPr>
          <w:p w14:paraId="047F1D0E">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p>
          <w:p w14:paraId="64866ECB">
            <w:pPr>
              <w:snapToGrid w:val="0"/>
              <w:spacing w:line="360" w:lineRule="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lang w:val="en-US" w:eastAsia="zh-CN"/>
                <w14:textFill>
                  <w14:solidFill>
                    <w14:schemeClr w14:val="tx1"/>
                  </w14:solidFill>
                </w14:textFill>
              </w:rPr>
              <w:t>不</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14:paraId="2BC10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4311A6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77FDCF00">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vAlign w:val="center"/>
          </w:tcPr>
          <w:p w14:paraId="289A6F67">
            <w:pPr>
              <w:pStyle w:val="27"/>
              <w:numPr>
                <w:ilvl w:val="0"/>
                <w:numId w:val="4"/>
              </w:numPr>
              <w:snapToGrid w:val="0"/>
              <w:spacing w:line="460" w:lineRule="exact"/>
              <w:ind w:firstLineChars="0"/>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项目属性（服务类）</w:t>
            </w:r>
          </w:p>
          <w:p w14:paraId="60BF0248">
            <w:pPr>
              <w:pStyle w:val="27"/>
              <w:numPr>
                <w:ilvl w:val="0"/>
                <w:numId w:val="4"/>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667D1EC0">
            <w:pPr>
              <w:snapToGrid w:val="0"/>
              <w:spacing w:line="460" w:lineRule="exact"/>
              <w:ind w:left="60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b/>
                <w:color w:val="000000" w:themeColor="text1"/>
                <w:sz w:val="24"/>
                <w:szCs w:val="24"/>
                <w:lang w:eastAsia="zh-CN"/>
                <w14:textFill>
                  <w14:solidFill>
                    <w14:schemeClr w14:val="tx1"/>
                  </w14:solidFill>
                </w14:textFill>
              </w:rPr>
              <w:t>标项</w:t>
            </w:r>
            <w:r>
              <w:rPr>
                <w:rFonts w:hint="eastAsia" w:ascii="仿宋" w:hAnsi="仿宋" w:eastAsia="仿宋"/>
                <w:b/>
                <w:color w:val="000000" w:themeColor="text1"/>
                <w:sz w:val="24"/>
                <w:szCs w:val="24"/>
                <w:lang w:val="en-US" w:eastAsia="zh-CN"/>
                <w14:textFill>
                  <w14:solidFill>
                    <w14:schemeClr w14:val="tx1"/>
                  </w14:solidFill>
                </w14:textFill>
              </w:rPr>
              <w:t>1</w:t>
            </w:r>
            <w:r>
              <w:rPr>
                <w:rFonts w:hint="eastAsia" w:ascii="仿宋" w:hAnsi="仿宋" w:eastAsia="仿宋"/>
                <w:b/>
                <w:color w:val="000000" w:themeColor="text1"/>
                <w:sz w:val="24"/>
                <w:szCs w:val="24"/>
                <w14:textFill>
                  <w14:solidFill>
                    <w14:schemeClr w14:val="tx1"/>
                  </w14:solidFill>
                </w14:textFill>
              </w:rPr>
              <w:t>：</w:t>
            </w:r>
            <w:r>
              <w:rPr>
                <w:rFonts w:hint="eastAsia" w:ascii="仿宋" w:hAnsi="仿宋" w:eastAsia="仿宋"/>
                <w:b/>
                <w:sz w:val="24"/>
                <w:szCs w:val="24"/>
                <w:u w:val="single"/>
                <w:lang w:val="en-US" w:eastAsia="zh-CN" w:bidi="ar"/>
                <w14:ligatures w14:val="standardContextual"/>
              </w:rPr>
              <w:t>省农业农村厅乡村大脑等11个应用运维</w:t>
            </w:r>
            <w:r>
              <w:rPr>
                <w:rFonts w:hint="eastAsia" w:ascii="仿宋" w:hAnsi="仿宋" w:eastAsia="仿宋"/>
                <w:b/>
                <w:color w:val="000000" w:themeColor="text1"/>
                <w:sz w:val="24"/>
                <w:szCs w:val="24"/>
                <w14:textFill>
                  <w14:solidFill>
                    <w14:schemeClr w14:val="tx1"/>
                  </w14:solidFill>
                </w14:textFill>
              </w:rPr>
              <w:t>，</w:t>
            </w:r>
          </w:p>
          <w:p w14:paraId="0469DCB2">
            <w:pPr>
              <w:snapToGrid w:val="0"/>
              <w:spacing w:line="460" w:lineRule="exact"/>
              <w:ind w:left="6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所属行业：软件和信息技术服务业</w:t>
            </w:r>
          </w:p>
          <w:p w14:paraId="04B47ABF">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3.根据财库〔2020〕46号，〔</w:t>
            </w:r>
            <w:r>
              <w:rPr>
                <w:rFonts w:ascii="仿宋" w:hAnsi="仿宋" w:eastAsia="仿宋"/>
                <w:b/>
                <w:color w:val="000000" w:themeColor="text1"/>
                <w:sz w:val="24"/>
                <w:szCs w:val="24"/>
                <w14:textFill>
                  <w14:solidFill>
                    <w14:schemeClr w14:val="tx1"/>
                  </w14:solidFill>
                </w14:textFill>
              </w:rPr>
              <w:t>2022〕19</w:t>
            </w:r>
            <w:r>
              <w:rPr>
                <w:rFonts w:hint="eastAsia" w:ascii="仿宋" w:hAnsi="仿宋" w:eastAsia="仿宋"/>
                <w:b/>
                <w:color w:val="000000" w:themeColor="text1"/>
                <w:sz w:val="24"/>
                <w:szCs w:val="24"/>
                <w14:textFill>
                  <w14:solidFill>
                    <w14:schemeClr w14:val="tx1"/>
                  </w14:solidFill>
                </w14:textFill>
              </w:rPr>
              <w:t>号的相关规定，在评审时对符合本办法规定的小微企业报价给予</w:t>
            </w:r>
            <w:r>
              <w:rPr>
                <w:rFonts w:hint="eastAsia" w:ascii="仿宋" w:hAnsi="仿宋" w:eastAsia="仿宋"/>
                <w:b/>
                <w:color w:val="000000" w:themeColor="text1"/>
                <w:sz w:val="24"/>
                <w:szCs w:val="24"/>
                <w:u w:val="single"/>
                <w14:textFill>
                  <w14:solidFill>
                    <w14:schemeClr w14:val="tx1"/>
                  </w14:solidFill>
                </w14:textFill>
              </w:rPr>
              <w:t>20%</w:t>
            </w:r>
            <w:r>
              <w:rPr>
                <w:rFonts w:hint="eastAsia" w:ascii="仿宋" w:hAnsi="仿宋" w:eastAsia="仿宋"/>
                <w:b/>
                <w:color w:val="000000" w:themeColor="text1"/>
                <w:sz w:val="24"/>
                <w:szCs w:val="24"/>
                <w14:textFill>
                  <w14:solidFill>
                    <w14:schemeClr w14:val="tx1"/>
                  </w14:solidFill>
                </w14:textFill>
              </w:rPr>
              <w:t>的扣除，取扣除后的价格作为最终投标报价（此最终投标报价仅作为价格分计算）。中小企业参加政府采购活动，应当出具本办法规定的《中小企业声明函》，否则不得享受相关中小企业扶持政策。</w:t>
            </w:r>
          </w:p>
          <w:p w14:paraId="738020FE">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themeColor="text1"/>
                <w:sz w:val="24"/>
                <w:szCs w:val="24"/>
                <w:u w:val="single"/>
                <w:lang w:val="en-US" w:eastAsia="zh-CN"/>
                <w14:textFill>
                  <w14:solidFill>
                    <w14:schemeClr w14:val="tx1"/>
                  </w14:solidFill>
                </w14:textFill>
              </w:rPr>
              <w:t>6</w:t>
            </w:r>
            <w:r>
              <w:rPr>
                <w:rFonts w:hint="eastAsia" w:ascii="仿宋" w:hAnsi="仿宋" w:eastAsia="仿宋"/>
                <w:b/>
                <w:color w:val="000000" w:themeColor="text1"/>
                <w:sz w:val="24"/>
                <w:szCs w:val="24"/>
                <w:u w:val="single"/>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的扣除，用扣除后的价格参加评审。</w:t>
            </w:r>
          </w:p>
          <w:p w14:paraId="639AE5B1">
            <w:pPr>
              <w:snapToGrid w:val="0"/>
              <w:spacing w:line="460" w:lineRule="exact"/>
              <w:ind w:firstLine="602" w:firstLineChars="25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组成联合体或者接受分包 的小微企业与联合体内其他企业、分包企业之间存在直接控 股、管理关系的，不享受价格扣除优惠政策。</w:t>
            </w:r>
          </w:p>
          <w:p w14:paraId="103087A1">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4788D6FB">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4F06E7EB">
            <w:pPr>
              <w:snapToGrid w:val="0"/>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5A95D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6E6ACE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7A4B632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vAlign w:val="center"/>
          </w:tcPr>
          <w:p w14:paraId="122220C7">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0ED98A65">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4F52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940B83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6003C86F">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vAlign w:val="center"/>
          </w:tcPr>
          <w:p w14:paraId="53DAF81A">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2B0C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699A75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0FDF78F8">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71" w:type="dxa"/>
            <w:tcBorders>
              <w:top w:val="single" w:color="auto" w:sz="4" w:space="0"/>
              <w:left w:val="single" w:color="auto" w:sz="4" w:space="0"/>
              <w:bottom w:val="single" w:color="auto" w:sz="4" w:space="0"/>
              <w:right w:val="single" w:color="auto" w:sz="4" w:space="0"/>
            </w:tcBorders>
            <w:vAlign w:val="center"/>
          </w:tcPr>
          <w:p w14:paraId="17492CD4">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3A449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F9DCFE6">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338B217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14:paraId="58DE487F">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w:t>
            </w: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r>
              <w:rPr>
                <w:rFonts w:ascii="仿宋" w:hAnsi="仿宋" w:eastAsia="仿宋"/>
                <w:color w:val="000000" w:themeColor="text1"/>
                <w:sz w:val="24"/>
                <w:szCs w:val="24"/>
                <w14:textFill>
                  <w14:solidFill>
                    <w14:schemeClr w14:val="tx1"/>
                  </w14:solidFill>
                </w14:textFill>
              </w:rPr>
              <w:t>。</w:t>
            </w:r>
          </w:p>
        </w:tc>
      </w:tr>
      <w:tr w14:paraId="3AD6A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BE0D27C">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46906E7F">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vAlign w:val="center"/>
          </w:tcPr>
          <w:p w14:paraId="3F3CDBF6">
            <w:pPr>
              <w:spacing w:line="500" w:lineRule="exact"/>
              <w:jc w:val="left"/>
              <w:rPr>
                <w:rFonts w:ascii="仿宋" w:hAnsi="仿宋" w:eastAsia="仿宋"/>
                <w:color w:val="000000" w:themeColor="text1"/>
                <w:sz w:val="24"/>
                <w:szCs w:val="24"/>
                <w14:textFill>
                  <w14:solidFill>
                    <w14:schemeClr w14:val="tx1"/>
                  </w14:solidFill>
                </w14:textFill>
              </w:rPr>
            </w:pPr>
            <w:bookmarkStart w:id="15"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15"/>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35473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502BAA1">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vAlign w:val="center"/>
          </w:tcPr>
          <w:p w14:paraId="32565097">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lang w:val="en-US" w:eastAsia="zh-CN"/>
                <w14:textFill>
                  <w14:solidFill>
                    <w14:schemeClr w14:val="tx1"/>
                  </w14:solidFill>
                </w14:textFill>
              </w:rPr>
              <w:t xml:space="preserve">本国产品优惠措施 </w:t>
            </w:r>
          </w:p>
        </w:tc>
        <w:tc>
          <w:tcPr>
            <w:tcW w:w="7371" w:type="dxa"/>
            <w:tcBorders>
              <w:top w:val="single" w:color="auto" w:sz="4" w:space="0"/>
              <w:left w:val="single" w:color="auto" w:sz="4" w:space="0"/>
              <w:bottom w:val="single" w:color="auto" w:sz="4" w:space="0"/>
              <w:right w:val="single" w:color="auto" w:sz="4" w:space="0"/>
            </w:tcBorders>
            <w:vAlign w:val="center"/>
          </w:tcPr>
          <w:p w14:paraId="3F876B12">
            <w:pPr>
              <w:spacing w:line="500" w:lineRule="exact"/>
              <w:jc w:val="left"/>
              <w:rPr>
                <w:rFonts w:hint="eastAsia" w:ascii="仿宋" w:hAnsi="仿宋" w:eastAsia="仿宋"/>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本项目不涉及货物采购，不执行本国产品优惠措施。</w:t>
            </w:r>
          </w:p>
        </w:tc>
      </w:tr>
      <w:tr w14:paraId="181E9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6AB327D">
            <w:pPr>
              <w:spacing w:line="500" w:lineRule="exact"/>
              <w:jc w:val="center"/>
              <w:rPr>
                <w:rFonts w:hint="eastAsia"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359EB60C">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vAlign w:val="center"/>
          </w:tcPr>
          <w:p w14:paraId="4B29FF95">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4676FAE8">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16" w:name="PO_15528_PM044"/>
            <w:r>
              <w:rPr>
                <w:rFonts w:hint="eastAsia" w:ascii="仿宋_GB2312" w:hAnsi="仿宋" w:eastAsia="仿宋_GB2312"/>
                <w:bCs/>
                <w:color w:val="000000" w:themeColor="text1"/>
                <w:sz w:val="24"/>
                <w14:textFill>
                  <w14:solidFill>
                    <w14:schemeClr w14:val="tx1"/>
                  </w14:solidFill>
                </w14:textFill>
              </w:rPr>
              <w:t>允许分包</w:t>
            </w:r>
            <w:bookmarkEnd w:id="16"/>
            <w:r>
              <w:rPr>
                <w:rFonts w:hint="eastAsia" w:ascii="仿宋_GB2312" w:hAnsi="仿宋" w:eastAsia="仿宋_GB2312"/>
                <w:bCs/>
                <w:color w:val="000000" w:themeColor="text1"/>
                <w:sz w:val="24"/>
                <w14:textFill>
                  <w14:solidFill>
                    <w14:schemeClr w14:val="tx1"/>
                  </w14:solidFill>
                </w14:textFill>
              </w:rPr>
              <w:t>；允许分包内容：允许分包系统巡检等非主体、非关键性工作。</w:t>
            </w:r>
          </w:p>
          <w:p w14:paraId="1AA644A7">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5D94A601">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r>
              <w:rPr>
                <w:rFonts w:hint="eastAsia" w:ascii="仿宋_GB2312" w:hAnsi="仿宋" w:eastAsia="仿宋_GB2312"/>
                <w:bCs/>
                <w:color w:val="000000" w:themeColor="text1"/>
                <w:sz w:val="24"/>
                <w:lang w:eastAsia="zh-CN"/>
                <w14:textFill>
                  <w14:solidFill>
                    <w14:schemeClr w14:val="tx1"/>
                  </w14:solidFill>
                </w14:textFill>
              </w:rPr>
              <w:t>。</w:t>
            </w:r>
          </w:p>
          <w:p w14:paraId="0C184021">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▲注：不得在允许分包的范围之外进行分包。</w:t>
            </w:r>
          </w:p>
        </w:tc>
      </w:tr>
      <w:tr w14:paraId="09C35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CA6B69C">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12</w:t>
            </w:r>
          </w:p>
        </w:tc>
        <w:tc>
          <w:tcPr>
            <w:tcW w:w="1559" w:type="dxa"/>
            <w:tcBorders>
              <w:top w:val="single" w:color="auto" w:sz="4" w:space="0"/>
              <w:left w:val="single" w:color="auto" w:sz="4" w:space="0"/>
              <w:bottom w:val="single" w:color="auto" w:sz="4" w:space="0"/>
              <w:right w:val="single" w:color="auto" w:sz="4" w:space="0"/>
            </w:tcBorders>
            <w:vAlign w:val="center"/>
          </w:tcPr>
          <w:p w14:paraId="24A1F1B6">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75D22863">
            <w:pPr>
              <w:spacing w:line="500" w:lineRule="exact"/>
              <w:jc w:val="left"/>
              <w:rPr>
                <w:rFonts w:hint="eastAsia" w:ascii="仿宋_GB2312" w:hAnsi="仿宋" w:eastAsia="宋体"/>
                <w:bCs/>
                <w:color w:val="000000" w:themeColor="text1"/>
                <w:sz w:val="24"/>
                <w:lang w:val="en-US"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允许。</w:t>
            </w:r>
          </w:p>
        </w:tc>
      </w:tr>
      <w:tr w14:paraId="6A239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CE9FE0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432FA27A">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cs="Times New Roman"/>
                <w:b w:val="0"/>
                <w:bCs/>
                <w:color w:val="000000" w:themeColor="text1"/>
                <w:sz w:val="24"/>
                <w:szCs w:val="22"/>
                <w14:textFill>
                  <w14:solidFill>
                    <w14:schemeClr w14:val="tx1"/>
                  </w14:solidFill>
                </w14:textFill>
              </w:rPr>
              <w:t>联合体</w:t>
            </w:r>
            <w:r>
              <w:rPr>
                <w:rFonts w:hint="eastAsia" w:ascii="仿宋_GB2312" w:hAnsi="仿宋" w:eastAsia="仿宋_GB2312" w:cs="Times New Roman"/>
                <w:b w:val="0"/>
                <w:bCs/>
                <w:color w:val="000000" w:themeColor="text1"/>
                <w:sz w:val="24"/>
                <w:szCs w:val="22"/>
                <w:lang w:val="en-US" w:eastAsia="zh-CN"/>
                <w14:textFill>
                  <w14:solidFill>
                    <w14:schemeClr w14:val="tx1"/>
                  </w14:solidFill>
                </w14:textFill>
              </w:rPr>
              <w:t>商务和技术证明材料</w:t>
            </w:r>
            <w:r>
              <w:rPr>
                <w:rFonts w:hint="eastAsia" w:ascii="仿宋_GB2312" w:hAnsi="仿宋" w:eastAsia="仿宋_GB2312" w:cs="Times New Roman"/>
                <w:b w:val="0"/>
                <w:bCs/>
                <w:color w:val="000000" w:themeColor="text1"/>
                <w:sz w:val="24"/>
                <w:szCs w:val="22"/>
                <w14:textFill>
                  <w14:solidFill>
                    <w14:schemeClr w14:val="tx1"/>
                  </w14:solidFill>
                </w14:textFill>
              </w:rPr>
              <w:t>认定</w:t>
            </w:r>
          </w:p>
        </w:tc>
        <w:tc>
          <w:tcPr>
            <w:tcW w:w="7371" w:type="dxa"/>
            <w:tcBorders>
              <w:top w:val="single" w:color="auto" w:sz="4" w:space="0"/>
              <w:left w:val="single" w:color="auto" w:sz="4" w:space="0"/>
              <w:bottom w:val="single" w:color="auto" w:sz="4" w:space="0"/>
              <w:right w:val="single" w:color="auto" w:sz="4" w:space="0"/>
            </w:tcBorders>
            <w:vAlign w:val="center"/>
          </w:tcPr>
          <w:p w14:paraId="4CD2D9A1">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1</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联合体业绩认定</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14:textFill>
                  <w14:solidFill>
                    <w14:schemeClr w14:val="tx1"/>
                  </w14:solidFill>
                </w14:textFill>
              </w:rPr>
              <w:t>联合体投标的，联合体各方分别提供与联合体协议中规定的分工内容相应的业绩证明材料，业绩数量以提供材料较少的一方为准。</w:t>
            </w:r>
          </w:p>
          <w:p w14:paraId="5AF3D9C0">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2</w:t>
            </w: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联合体商务和技术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材料认定：</w:t>
            </w:r>
          </w:p>
          <w:p w14:paraId="47E26A26">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联合体投标的，联合体各方均需按招标文件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，否则视为不符合相关要求。</w:t>
            </w:r>
          </w:p>
          <w:p w14:paraId="74EB7EB7">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pPr>
            <w:r>
              <w:rPr>
                <w:rFonts w:hint="eastAsia" w:ascii="仿宋" w:hAnsi="仿宋" w:eastAsia="仿宋" w:cs="Times New Roman"/>
                <w:b w:val="0"/>
                <w:bCs w:val="0"/>
                <w:color w:val="000000" w:themeColor="text1"/>
                <w:sz w:val="24"/>
                <w:szCs w:val="24"/>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联合体投标的，联合体中有一方或者联合体成员根据分工按招标文件</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要求提供了</w:t>
            </w:r>
            <w:r>
              <w:rPr>
                <w:rFonts w:hint="eastAsia" w:ascii="仿宋" w:hAnsi="仿宋" w:eastAsia="仿宋" w:cs="Times New Roman"/>
                <w:b w:val="0"/>
                <w:bCs w:val="0"/>
                <w:color w:val="000000" w:themeColor="text1"/>
                <w:sz w:val="24"/>
                <w:szCs w:val="24"/>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u w:val="none"/>
                <w14:textFill>
                  <w14:solidFill>
                    <w14:schemeClr w14:val="tx1"/>
                  </w14:solidFill>
                </w14:textFill>
              </w:rPr>
              <w:t>的，视为符合了相关要求。</w:t>
            </w:r>
          </w:p>
          <w:p w14:paraId="3E1AAFCB">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注：“</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有其他约定的，以“</w:t>
            </w:r>
            <w:r>
              <w:rPr>
                <w:rFonts w:hint="eastAsia" w:ascii="仿宋" w:hAnsi="仿宋" w:eastAsia="仿宋" w:cs="Times New Roman"/>
                <w:b w:val="0"/>
                <w:bCs w:val="0"/>
                <w:snapToGrid/>
                <w:color w:val="000000" w:themeColor="text1"/>
                <w:kern w:val="2"/>
                <w:sz w:val="24"/>
                <w:szCs w:val="24"/>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u w:val="none"/>
                <w:lang w:val="en-US" w:eastAsia="zh-CN"/>
                <w14:textFill>
                  <w14:solidFill>
                    <w14:schemeClr w14:val="tx1"/>
                  </w14:solidFill>
                </w14:textFill>
              </w:rPr>
              <w:t>为准。</w:t>
            </w:r>
          </w:p>
        </w:tc>
      </w:tr>
      <w:tr w14:paraId="18B21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4CAE28F8">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7C2C1DC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vAlign w:val="center"/>
          </w:tcPr>
          <w:p w14:paraId="403A6734">
            <w:pPr>
              <w:spacing w:line="500" w:lineRule="exact"/>
              <w:jc w:val="left"/>
              <w:rPr>
                <w:rFonts w:ascii="仿宋" w:hAnsi="仿宋" w:eastAsia="仿宋"/>
                <w:color w:val="000000" w:themeColor="text1"/>
                <w:sz w:val="24"/>
                <w:szCs w:val="24"/>
                <w14:textFill>
                  <w14:solidFill>
                    <w14:schemeClr w14:val="tx1"/>
                  </w14:solidFill>
                </w14:textFill>
              </w:rPr>
            </w:pPr>
            <w:bookmarkStart w:id="17"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17"/>
            <w:r>
              <w:rPr>
                <w:rFonts w:hint="eastAsia" w:ascii="仿宋" w:hAnsi="仿宋" w:eastAsia="仿宋"/>
                <w:color w:val="000000" w:themeColor="text1"/>
                <w:sz w:val="24"/>
                <w:szCs w:val="24"/>
                <w14:textFill>
                  <w14:solidFill>
                    <w14:schemeClr w14:val="tx1"/>
                  </w14:solidFill>
                </w14:textFill>
              </w:rPr>
              <w:t>。</w:t>
            </w:r>
          </w:p>
        </w:tc>
      </w:tr>
      <w:tr w14:paraId="4304D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79CB176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08C9407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vAlign w:val="center"/>
          </w:tcPr>
          <w:p w14:paraId="19DDB04F">
            <w:pPr>
              <w:spacing w:line="500" w:lineRule="exact"/>
              <w:jc w:val="left"/>
              <w:rPr>
                <w:rFonts w:ascii="仿宋" w:hAnsi="仿宋" w:eastAsia="仿宋"/>
                <w:color w:val="000000" w:themeColor="text1"/>
                <w:sz w:val="24"/>
                <w:szCs w:val="24"/>
                <w14:textFill>
                  <w14:solidFill>
                    <w14:schemeClr w14:val="tx1"/>
                  </w14:solidFill>
                </w14:textFill>
              </w:rPr>
            </w:pPr>
            <w:bookmarkStart w:id="18"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18"/>
            <w:r>
              <w:rPr>
                <w:rFonts w:hint="eastAsia" w:ascii="仿宋" w:hAnsi="仿宋" w:eastAsia="仿宋"/>
                <w:color w:val="000000" w:themeColor="text1"/>
                <w:sz w:val="24"/>
                <w:szCs w:val="24"/>
                <w14:textFill>
                  <w14:solidFill>
                    <w14:schemeClr w14:val="tx1"/>
                  </w14:solidFill>
                </w14:textFill>
              </w:rPr>
              <w:t>。</w:t>
            </w:r>
          </w:p>
        </w:tc>
      </w:tr>
      <w:tr w14:paraId="0C0A0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3D0047F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29A0F44A">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vAlign w:val="center"/>
          </w:tcPr>
          <w:p w14:paraId="291C97E8">
            <w:pPr>
              <w:spacing w:line="500" w:lineRule="exact"/>
              <w:jc w:val="left"/>
              <w:rPr>
                <w:rFonts w:hint="default" w:ascii="仿宋" w:hAnsi="仿宋" w:eastAsia="仿宋"/>
                <w:color w:val="000000" w:themeColor="text1"/>
                <w:sz w:val="24"/>
                <w:szCs w:val="24"/>
                <w:lang w:val="en-US" w:eastAsia="zh-CN"/>
                <w14:textFill>
                  <w14:solidFill>
                    <w14:schemeClr w14:val="tx1"/>
                  </w14:solidFill>
                </w14:textFill>
              </w:rPr>
            </w:pPr>
            <w:bookmarkStart w:id="19" w:name="PO_1000000445_PM043"/>
            <w:r>
              <w:rPr>
                <w:rFonts w:hint="eastAsia" w:ascii="仿宋" w:hAnsi="仿宋" w:eastAsia="仿宋"/>
                <w:color w:val="000000" w:themeColor="text1"/>
                <w:sz w:val="24"/>
                <w:szCs w:val="24"/>
                <w:lang w:eastAsia="zh-CN"/>
                <w14:textFill>
                  <w14:solidFill>
                    <w14:schemeClr w14:val="tx1"/>
                  </w14:solidFill>
                </w14:textFill>
              </w:rPr>
              <w:t>不要求提供样品</w:t>
            </w:r>
            <w:bookmarkEnd w:id="19"/>
            <w:r>
              <w:rPr>
                <w:rFonts w:hint="eastAsia" w:ascii="仿宋" w:hAnsi="仿宋" w:eastAsia="仿宋"/>
                <w:color w:val="000000" w:themeColor="text1"/>
                <w:sz w:val="24"/>
                <w:szCs w:val="24"/>
                <w14:textFill>
                  <w14:solidFill>
                    <w14:schemeClr w14:val="tx1"/>
                  </w14:solidFill>
                </w14:textFill>
              </w:rPr>
              <w:t>。</w:t>
            </w:r>
          </w:p>
        </w:tc>
      </w:tr>
      <w:tr w14:paraId="02560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2654112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2661B283">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71" w:type="dxa"/>
            <w:tcBorders>
              <w:top w:val="single" w:color="auto" w:sz="4" w:space="0"/>
              <w:left w:val="single" w:color="auto" w:sz="4" w:space="0"/>
              <w:bottom w:val="single" w:color="auto" w:sz="4" w:space="0"/>
              <w:right w:val="single" w:color="auto" w:sz="4" w:space="0"/>
            </w:tcBorders>
            <w:vAlign w:val="center"/>
          </w:tcPr>
          <w:p w14:paraId="631EA893">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5CB762F7">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62D8D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0BCB377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1618368C">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vAlign w:val="center"/>
          </w:tcPr>
          <w:p w14:paraId="0B73EE24">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6A8A7E7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23"/>
                <w:rFonts w:hint="eastAsia" w:ascii="仿宋" w:hAnsi="仿宋" w:eastAsia="仿宋"/>
                <w:b/>
                <w:color w:val="000000" w:themeColor="text1"/>
                <w:sz w:val="24"/>
                <w:szCs w:val="24"/>
                <w14:textFill>
                  <w14:solidFill>
                    <w14:schemeClr w14:val="tx1"/>
                  </w14:solidFill>
                </w14:textFill>
              </w:rPr>
              <w:t>https://middle.zcygov.cn/v-settle-front/registry</w:t>
            </w:r>
            <w:r>
              <w:rPr>
                <w:rStyle w:val="23"/>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75A2A207">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358980F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2628E01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5377EA0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23"/>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23"/>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34C1EE17">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2A55DEDA">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23"/>
                <w:rFonts w:hint="eastAsia" w:ascii="仿宋" w:hAnsi="仿宋" w:eastAsia="仿宋"/>
                <w:b/>
                <w:color w:val="000000" w:themeColor="text1"/>
                <w:sz w:val="24"/>
                <w:szCs w:val="24"/>
                <w14:textFill>
                  <w14:solidFill>
                    <w14:schemeClr w14:val="tx1"/>
                  </w14:solidFill>
                </w14:textFill>
              </w:rPr>
              <w:t>https://edu.zcygov.cn/luban/e-biding</w:t>
            </w:r>
            <w:r>
              <w:rPr>
                <w:rStyle w:val="23"/>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6A3C6A6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4142B20F">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68E76863">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44ABE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15E07D2E">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6C4B255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71" w:type="dxa"/>
            <w:tcBorders>
              <w:top w:val="single" w:color="auto" w:sz="4" w:space="0"/>
              <w:left w:val="single" w:color="auto" w:sz="4" w:space="0"/>
              <w:bottom w:val="single" w:color="auto" w:sz="4" w:space="0"/>
              <w:right w:val="single" w:color="auto" w:sz="4" w:space="0"/>
            </w:tcBorders>
            <w:vAlign w:val="center"/>
          </w:tcPr>
          <w:p w14:paraId="35D30CEE">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7A6FE40B">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643D20E6">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28187F9A">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未按规定密封或标记的；</w:t>
            </w:r>
          </w:p>
          <w:p w14:paraId="4EBDA8BD">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由于包装不妥，在送交途中严重破损或失散的；</w:t>
            </w:r>
          </w:p>
          <w:p w14:paraId="77F50DAB">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超过投标截止时间送达的。</w:t>
            </w:r>
          </w:p>
        </w:tc>
      </w:tr>
      <w:tr w14:paraId="24F8B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629BE117">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1559" w:type="dxa"/>
            <w:tcBorders>
              <w:top w:val="single" w:color="auto" w:sz="4" w:space="0"/>
              <w:left w:val="single" w:color="auto" w:sz="4" w:space="0"/>
              <w:bottom w:val="single" w:color="auto" w:sz="4" w:space="0"/>
              <w:right w:val="single" w:color="auto" w:sz="4" w:space="0"/>
            </w:tcBorders>
            <w:vAlign w:val="center"/>
          </w:tcPr>
          <w:p w14:paraId="5EE02724">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71" w:type="dxa"/>
            <w:tcBorders>
              <w:top w:val="single" w:color="auto" w:sz="4" w:space="0"/>
              <w:left w:val="single" w:color="auto" w:sz="4" w:space="0"/>
              <w:bottom w:val="single" w:color="auto" w:sz="4" w:space="0"/>
              <w:right w:val="single" w:color="auto" w:sz="4" w:space="0"/>
            </w:tcBorders>
            <w:vAlign w:val="center"/>
          </w:tcPr>
          <w:p w14:paraId="1ADB5678">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1E31C8C3">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5DA32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4FB8C31">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21</w:t>
            </w:r>
          </w:p>
        </w:tc>
        <w:tc>
          <w:tcPr>
            <w:tcW w:w="1559" w:type="dxa"/>
            <w:tcBorders>
              <w:top w:val="single" w:color="auto" w:sz="4" w:space="0"/>
              <w:left w:val="single" w:color="auto" w:sz="4" w:space="0"/>
              <w:bottom w:val="single" w:color="auto" w:sz="4" w:space="0"/>
              <w:right w:val="single" w:color="auto" w:sz="4" w:space="0"/>
            </w:tcBorders>
            <w:vAlign w:val="center"/>
          </w:tcPr>
          <w:p w14:paraId="080B2D1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71" w:type="dxa"/>
            <w:tcBorders>
              <w:top w:val="single" w:color="auto" w:sz="4" w:space="0"/>
              <w:left w:val="single" w:color="auto" w:sz="4" w:space="0"/>
              <w:bottom w:val="single" w:color="auto" w:sz="4" w:space="0"/>
              <w:right w:val="single" w:color="auto" w:sz="4" w:space="0"/>
            </w:tcBorders>
            <w:vAlign w:val="center"/>
          </w:tcPr>
          <w:p w14:paraId="7AB560CB">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23"/>
                <w:rFonts w:hint="eastAsia" w:ascii="仿宋" w:hAnsi="仿宋" w:eastAsia="仿宋"/>
                <w:color w:val="000000" w:themeColor="text1"/>
                <w:sz w:val="24"/>
                <w:szCs w:val="24"/>
                <w14:textFill>
                  <w14:solidFill>
                    <w14:schemeClr w14:val="tx1"/>
                  </w14:solidFill>
                </w14:textFill>
              </w:rPr>
              <w:t>http://www.zjzfcg.gov.cn</w:t>
            </w:r>
            <w:r>
              <w:rPr>
                <w:rStyle w:val="23"/>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eastAsia" w:ascii="仿宋" w:hAnsi="仿宋" w:eastAsia="仿宋"/>
                <w:b/>
                <w:color w:val="000000" w:themeColor="text1"/>
                <w:sz w:val="24"/>
                <w:szCs w:val="24"/>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7C75B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2581D30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48292AD3">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71" w:type="dxa"/>
            <w:tcBorders>
              <w:top w:val="single" w:color="auto" w:sz="4" w:space="0"/>
              <w:left w:val="single" w:color="auto" w:sz="4" w:space="0"/>
              <w:bottom w:val="single" w:color="auto" w:sz="4" w:space="0"/>
              <w:right w:val="single" w:color="auto" w:sz="4" w:space="0"/>
            </w:tcBorders>
            <w:vAlign w:val="center"/>
          </w:tcPr>
          <w:p w14:paraId="002217FE">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0D0C4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DCCE05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0A5CC0B4">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13917EB1">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3F99A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0619F86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728CC117">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vAlign w:val="center"/>
          </w:tcPr>
          <w:p w14:paraId="27C13800">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2A2D2BA9">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37BD1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1D5C2171">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64BE3B3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71" w:type="dxa"/>
            <w:tcBorders>
              <w:top w:val="single" w:color="auto" w:sz="4" w:space="0"/>
              <w:left w:val="single" w:color="auto" w:sz="4" w:space="0"/>
              <w:bottom w:val="single" w:color="auto" w:sz="4" w:space="0"/>
              <w:right w:val="single" w:color="auto" w:sz="4" w:space="0"/>
            </w:tcBorders>
            <w:vAlign w:val="center"/>
          </w:tcPr>
          <w:p w14:paraId="3A6E4DB8">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1B3A5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77E8172E">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0435DA8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71" w:type="dxa"/>
            <w:tcBorders>
              <w:top w:val="single" w:color="auto" w:sz="4" w:space="0"/>
              <w:left w:val="single" w:color="auto" w:sz="4" w:space="0"/>
              <w:bottom w:val="single" w:color="auto" w:sz="4" w:space="0"/>
              <w:right w:val="single" w:color="auto" w:sz="4" w:space="0"/>
            </w:tcBorders>
            <w:vAlign w:val="center"/>
          </w:tcPr>
          <w:p w14:paraId="7D67087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w:t>
            </w:r>
            <w:r>
              <w:rPr>
                <w:rFonts w:hint="eastAsia" w:ascii="仿宋" w:hAnsi="仿宋" w:eastAsia="仿宋"/>
                <w:color w:val="000000" w:themeColor="text1"/>
                <w:sz w:val="24"/>
                <w:szCs w:val="24"/>
                <w:lang w:val="en-US" w:eastAsia="zh-CN"/>
                <w14:textFill>
                  <w14:solidFill>
                    <w14:schemeClr w14:val="tx1"/>
                  </w14:solidFill>
                </w14:textFill>
              </w:rPr>
              <w:t>之日起</w:t>
            </w:r>
            <w:r>
              <w:rPr>
                <w:rFonts w:hint="eastAsia" w:ascii="仿宋" w:hAnsi="仿宋" w:eastAsia="仿宋"/>
                <w:color w:val="000000" w:themeColor="text1"/>
                <w:sz w:val="24"/>
                <w:szCs w:val="24"/>
                <w14:textFill>
                  <w14:solidFill>
                    <w14:schemeClr w14:val="tx1"/>
                  </w14:solidFill>
                </w14:textFill>
              </w:rPr>
              <w:t>30日内。</w:t>
            </w:r>
          </w:p>
        </w:tc>
      </w:tr>
      <w:tr w14:paraId="1C121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5AE8C1C7">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225E229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71" w:type="dxa"/>
            <w:tcBorders>
              <w:top w:val="single" w:color="auto" w:sz="4" w:space="0"/>
              <w:left w:val="single" w:color="auto" w:sz="4" w:space="0"/>
              <w:bottom w:val="single" w:color="auto" w:sz="4" w:space="0"/>
              <w:right w:val="single" w:color="auto" w:sz="4" w:space="0"/>
            </w:tcBorders>
            <w:vAlign w:val="center"/>
          </w:tcPr>
          <w:p w14:paraId="5D50AFB0">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4041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2D84CE4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245D9C1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vAlign w:val="center"/>
          </w:tcPr>
          <w:p w14:paraId="67BFA70E">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42B88A5E">
      <w:pPr>
        <w:pStyle w:val="13"/>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1373754C">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313CF8B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2E607E7F">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59E4456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7AA2129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379786E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1B80B8E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64F70C1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0B077E1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7B40C17E">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67F96120">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0643236">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5FFC0F9D">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2463947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075410B3">
      <w:pPr>
        <w:pStyle w:val="1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0D4F4EC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4112259A">
      <w:pPr>
        <w:pStyle w:val="1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遵循诚实信用原则在投标文件中提供真实材料</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按照招标文件的要求提交投标文件，并对所提供的全部资料的真实性承担法律责任。投标人</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可事先在公开官网查询、核对相关证书和报告内容</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确保投标文件资料准确无误</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33C404B">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3B1F719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4BD4C7D6">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w:t>
      </w:r>
      <w:r>
        <w:rPr>
          <w:rFonts w:hint="eastAsia" w:ascii="仿宋" w:hAnsi="仿宋" w:eastAsia="仿宋"/>
          <w:bCs/>
          <w:color w:val="000000" w:themeColor="text1"/>
          <w:sz w:val="28"/>
          <w:szCs w:val="28"/>
          <w:lang w:val="en-US" w:eastAsia="zh-CN"/>
          <w14:textFill>
            <w14:solidFill>
              <w14:schemeClr w14:val="tx1"/>
            </w14:solidFill>
          </w14:textFill>
        </w:rPr>
        <w:t>询问和</w:t>
      </w:r>
      <w:r>
        <w:rPr>
          <w:rFonts w:hint="eastAsia" w:ascii="仿宋" w:hAnsi="仿宋" w:eastAsia="仿宋"/>
          <w:bCs/>
          <w:color w:val="000000" w:themeColor="text1"/>
          <w:sz w:val="28"/>
          <w:szCs w:val="28"/>
          <w14:textFill>
            <w14:solidFill>
              <w14:schemeClr w14:val="tx1"/>
            </w14:solidFill>
          </w14:textFill>
        </w:rPr>
        <w:t>质疑</w:t>
      </w:r>
    </w:p>
    <w:p w14:paraId="62165AD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4F95476">
      <w:pPr>
        <w:snapToGrid w:val="0"/>
        <w:spacing w:line="460" w:lineRule="exact"/>
        <w:ind w:firstLine="560" w:firstLineChars="200"/>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投标人的询问</w:t>
      </w:r>
    </w:p>
    <w:p w14:paraId="1952B169">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362A2008">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投标人的质疑</w:t>
      </w:r>
    </w:p>
    <w:p w14:paraId="045FBA13">
      <w:pPr>
        <w:snapToGrid w:val="0"/>
        <w:spacing w:line="460" w:lineRule="exact"/>
        <w:ind w:firstLine="560" w:firstLineChars="200"/>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1.投标人认为</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文件使自己的权益受到损害的，可以自获取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文件之日或者采购公告期限届满之日（公告期限届满后获取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文件的，以公告期限届满之日为准）起7个工作日内，对</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文件评分细则及项目需求的以书面形式向采购人提出质疑，对其他内容的以书面形式向采购人和招标方提出质疑。</w:t>
      </w:r>
    </w:p>
    <w:p w14:paraId="275A29BE">
      <w:pPr>
        <w:snapToGrid w:val="0"/>
        <w:spacing w:line="460" w:lineRule="exact"/>
        <w:ind w:firstLine="414" w:firstLineChars="148"/>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6DAD290F">
      <w:pPr>
        <w:pStyle w:val="13"/>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3.质疑应当以书面形式提出，格式见《政府采购质疑和投诉办法》（财政部令第94号）附件范本，下载网址：浙江政府采购网(</w:t>
      </w:r>
      <w:r>
        <w:rPr>
          <w:rFonts w:hint="eastAsia" w:ascii="仿宋" w:hAnsi="仿宋" w:eastAsia="仿宋"/>
          <w:bCs/>
          <w:color w:val="000000" w:themeColor="text1"/>
          <w:sz w:val="28"/>
          <w:szCs w:val="28"/>
          <w14:textFill>
            <w14:solidFill>
              <w14:schemeClr w14:val="tx1"/>
            </w14:solidFill>
          </w14:textFill>
        </w:rPr>
        <w:fldChar w:fldCharType="begin"/>
      </w:r>
      <w:r>
        <w:rPr>
          <w:rFonts w:hint="eastAsia" w:ascii="仿宋" w:hAnsi="仿宋" w:eastAsia="仿宋"/>
          <w:bCs/>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bCs/>
          <w:color w:val="000000" w:themeColor="text1"/>
          <w:sz w:val="28"/>
          <w:szCs w:val="28"/>
          <w14:textFill>
            <w14:solidFill>
              <w14:schemeClr w14:val="tx1"/>
            </w14:solidFill>
          </w14:textFill>
        </w:rP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062C3D9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3FF881C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1A94B7A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403E1214">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5F6D91C8">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5B50DFE0">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6BEBFFE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3F4DE29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782889DF">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1689E258">
      <w:pPr>
        <w:pStyle w:val="13"/>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217D306E">
      <w:pPr>
        <w:pStyle w:val="1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5EAFA641">
      <w:pPr>
        <w:pStyle w:val="1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3FEC1DA8">
      <w:pPr>
        <w:pStyle w:val="13"/>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2D140FD0">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74E7018C">
      <w:pPr>
        <w:pStyle w:val="13"/>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23"/>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23"/>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24F4262B">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5F76B4F3">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4CDABE68">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5F937086">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444594A7">
      <w:pPr>
        <w:pStyle w:val="18"/>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71DE89BF">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7CB482A1">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290C5C17">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73279A17">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3093B3EF">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415E21B0">
      <w:pPr>
        <w:pStyle w:val="4"/>
        <w:numPr>
          <w:ilvl w:val="0"/>
          <w:numId w:val="0"/>
        </w:numPr>
        <w:tabs>
          <w:tab w:val="left" w:pos="720"/>
          <w:tab w:val="clear" w:pos="360"/>
        </w:tabs>
        <w:snapToGrid w:val="0"/>
        <w:spacing w:before="156" w:beforeLines="50" w:after="156" w:line="460" w:lineRule="exact"/>
        <w:ind w:leftChars="196" w:firstLine="280" w:firstLine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173FE590">
      <w:pPr>
        <w:pStyle w:val="4"/>
        <w:numPr>
          <w:ilvl w:val="0"/>
          <w:numId w:val="0"/>
        </w:numPr>
        <w:tabs>
          <w:tab w:val="left" w:pos="720"/>
          <w:tab w:val="clear" w:pos="360"/>
        </w:tabs>
        <w:snapToGrid w:val="0"/>
        <w:spacing w:before="156" w:beforeLines="50"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7E03400C">
      <w:pPr>
        <w:pStyle w:val="4"/>
        <w:numPr>
          <w:ilvl w:val="0"/>
          <w:numId w:val="0"/>
        </w:numPr>
        <w:tabs>
          <w:tab w:val="left" w:pos="720"/>
          <w:tab w:val="clear" w:pos="360"/>
        </w:tabs>
        <w:snapToGrid w:val="0"/>
        <w:spacing w:before="156" w:beforeLines="50"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30F373E0">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65C81504">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60B071B5">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453F6944">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409ABBFE">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697320DD">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7DBDB71A">
      <w:pPr>
        <w:pStyle w:val="13"/>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75B4A896">
      <w:pPr>
        <w:pStyle w:val="13"/>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3662A069">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7DC17A0E">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75AE56B7">
      <w:pPr>
        <w:pStyle w:val="13"/>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052599FB">
      <w:pPr>
        <w:pStyle w:val="13"/>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w:t>
      </w:r>
      <w:r>
        <w:rPr>
          <w:rFonts w:hint="eastAsia" w:ascii="仿宋" w:hAnsi="仿宋" w:eastAsia="仿宋"/>
          <w:bCs/>
          <w:color w:val="000000" w:themeColor="text1"/>
          <w:sz w:val="28"/>
          <w:szCs w:val="28"/>
          <w:lang w:val="en-US" w:eastAsia="zh-CN"/>
          <w14:textFill>
            <w14:solidFill>
              <w14:schemeClr w14:val="tx1"/>
            </w14:solidFill>
          </w14:textFill>
        </w:rPr>
        <w:t>分为止。</w:t>
      </w:r>
    </w:p>
    <w:p w14:paraId="344C2A04">
      <w:pPr>
        <w:pStyle w:val="13"/>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674C0DA5">
      <w:pPr>
        <w:pStyle w:val="13"/>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18346AAE">
      <w:pPr>
        <w:pStyle w:val="13"/>
        <w:snapToGrid w:val="0"/>
        <w:spacing w:before="156" w:after="156" w:line="460" w:lineRule="exact"/>
        <w:ind w:firstLine="560" w:firstLineChars="200"/>
        <w:jc w:val="left"/>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6.投标报价</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出现下列情形之一的，</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lang w:val="en-US" w:eastAsia="zh-CN"/>
          <w14:textFill>
            <w14:solidFill>
              <w14:schemeClr w14:val="tx1"/>
            </w14:solidFill>
          </w14:textFill>
        </w:rPr>
        <w:t>将</w:t>
      </w:r>
      <w:r>
        <w:rPr>
          <w:rFonts w:hint="eastAsia" w:ascii="仿宋" w:hAnsi="仿宋" w:eastAsia="仿宋" w:cs="仿宋"/>
          <w:sz w:val="28"/>
          <w:szCs w:val="28"/>
          <w:lang w:val="en-US" w:eastAsia="zh-CN"/>
        </w:rPr>
        <w:t>对相关供应商进行询标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委员会认为供应商报价过低，有可能影响产品质量或者不能诚信履约的情形。</w:t>
      </w:r>
    </w:p>
    <w:p w14:paraId="4C05A12B">
      <w:pPr>
        <w:pStyle w:val="13"/>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vertAlign w:val="baseline"/>
          <w:lang w:val="en-US" w:eastAsia="zh-CN"/>
          <w14:textFill>
            <w14:solidFill>
              <w14:schemeClr w14:val="tx1"/>
            </w14:solidFill>
          </w14:textFill>
        </w:rPr>
        <w:t>发起询标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后，</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投标人必须</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6760243E">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40C8D0C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6712B4C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43B34C4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2A97C08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6DB81A8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372988F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06B05B72">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060632F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2E64C64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1B63BBF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10A6016A">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6D09CFD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12D2DF2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2CFFA9A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12CFD18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6643EADA">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4D185C1A">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0D2E58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60C7721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7181DAF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56EF106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06E4515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0400BF9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473A131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62D5C9F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.投标人被视为串通投标的；</w:t>
      </w:r>
    </w:p>
    <w:p w14:paraId="6A01120C">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1</w:t>
      </w: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8</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.不同供应商的电子投标文件上传计算机的网卡MAC地址或硬盘序列号等硬件信息相同</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360C4300">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19</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.上传的电子投标文件若出现使用本项目其他投标供应商的数字证书加密的，或者加盖本项目其他投标供应商的电子印章</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1A79CFCC">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.不同供应商的投标文件的内容存在3处（含）以上错误一致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35CC2DCF">
      <w:pPr>
        <w:snapToGrid w:val="0"/>
        <w:spacing w:line="460" w:lineRule="exact"/>
        <w:ind w:firstLine="560" w:firstLineChars="200"/>
        <w:rPr>
          <w:rFonts w:hint="eastAsia" w:ascii="仿宋" w:hAnsi="仿宋" w:eastAsia="仿宋"/>
          <w:bCs/>
          <w:color w:val="000000" w:themeColor="text1"/>
          <w:sz w:val="28"/>
          <w:szCs w:val="28"/>
          <w:lang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21</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.不同供应商联系人为同一人或不同联系人的联系电话一致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F447D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22</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232B5424">
      <w:pPr>
        <w:pStyle w:val="13"/>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24D5670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03D0BE44">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17E06FBD">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019A7B0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4D96CD06">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1D7B4BF2">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2A6A646D">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5C88A1C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614D996A">
      <w:pPr>
        <w:pStyle w:val="13"/>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41D8F86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1DDE801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524F1E6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742685B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4B9E7C5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3BBAA3A7">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4BD01DB5">
      <w:pPr>
        <w:pStyle w:val="1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646A0123">
      <w:pPr>
        <w:pStyle w:val="13"/>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04F6D4BE">
      <w:pPr>
        <w:pStyle w:val="13"/>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3E03151D">
      <w:pPr>
        <w:pStyle w:val="1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25C208CD">
      <w:pPr>
        <w:pStyle w:val="1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4B383314">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0E5D3DE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044D4A1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7FA6493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5EF9454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2A4A3B71">
      <w:pPr>
        <w:pStyle w:val="1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2AD36DE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535DDF2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45354F6B">
      <w:pPr>
        <w:pStyle w:val="13"/>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08FB089B">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4D72BB0F">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14:paraId="09242DEB">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按规定统一收缴、保存评标现场相关人员通讯工具。</w:t>
      </w:r>
    </w:p>
    <w:p w14:paraId="7C7EAFEC">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介绍评审现场的人员情况，宣布评审工作纪律，告知评审人员应当回避情形；组织推选评标委员会组长。</w:t>
      </w:r>
    </w:p>
    <w:p w14:paraId="7B10E546">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宣读提交投标文件的供应商名单，组织评标委员会各位成员签订纸质形式的《政府采购评审人员廉洁自律承诺书》。</w:t>
      </w:r>
    </w:p>
    <w:p w14:paraId="41C7660F">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采购人可以在评标前说明项目背景和采购需求，说明内容不得含有歧视性、倾向性意见，不得超出招标文件所述范围。说明应当提交书面材料，并随</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文件一并存档。</w:t>
      </w:r>
    </w:p>
    <w:p w14:paraId="5A8462AA">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5775ECD7">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1796BDA6">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485E6BBD">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做好评审现场相关记录，协助评标委员会组长做好评审报告起草、有关内容电脑文字录入等工作，并要求评标委员会各成员签字确认。</w:t>
      </w:r>
    </w:p>
    <w:p w14:paraId="5E1DFD44">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评审结束后，招标方应对评标委员会各成员的专业水平、职业道德、遵纪守法等情况进行评价；同时按规定向评审专家发放评审费，并交还评审人员及其他现场相关人员的通讯工具。</w:t>
      </w:r>
      <w:r>
        <w:rPr>
          <w:rFonts w:ascii="Calibri" w:hAnsi="Calibri" w:eastAsia="仿宋" w:cs="Calibri"/>
          <w:b/>
          <w:bCs/>
          <w:color w:val="000000" w:themeColor="text1"/>
          <w:sz w:val="28"/>
          <w:szCs w:val="28"/>
          <w14:textFill>
            <w14:solidFill>
              <w14:schemeClr w14:val="tx1"/>
            </w14:solidFill>
          </w14:textFill>
        </w:rPr>
        <w:t> </w:t>
      </w:r>
      <w:r>
        <w:rPr>
          <w:rFonts w:hint="eastAsia" w:ascii="仿宋" w:hAnsi="仿宋" w:eastAsia="仿宋"/>
          <w:b/>
          <w:bCs/>
          <w:color w:val="000000" w:themeColor="text1"/>
          <w:sz w:val="28"/>
          <w:szCs w:val="28"/>
          <w14:textFill>
            <w14:solidFill>
              <w14:schemeClr w14:val="tx1"/>
            </w14:solidFill>
          </w14:textFill>
        </w:rPr>
        <w:tab/>
      </w:r>
    </w:p>
    <w:p w14:paraId="1D44A7D7">
      <w:pPr>
        <w:pStyle w:val="13"/>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15450D89">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在评审专家中推选评标委员会组长。</w:t>
      </w:r>
    </w:p>
    <w:p w14:paraId="1BA41851">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427659DC">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评审人员对各投标人投标文件的有效性、符合性、完整性和响应程度进行审查，确定是否对招标文件作出实质性响应。</w:t>
      </w:r>
    </w:p>
    <w:p w14:paraId="6D886FB1">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评审人员按招标文件规定的评审方法和评审标准，依法独立对投标人投标文件进行评估、比较，并给予评价或打分，不受任何单位和个人的干预。</w:t>
      </w:r>
    </w:p>
    <w:p w14:paraId="3095D187">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6884676D">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09E7321">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 xml:space="preserve">评标委员会根据评审汇总情况和招标文件规定确定中标候选供应商排序名单。 </w:t>
      </w:r>
    </w:p>
    <w:p w14:paraId="29D5955A">
      <w:pPr>
        <w:pStyle w:val="13"/>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14:paraId="5CFC185B">
      <w:pPr>
        <w:pStyle w:val="13"/>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40A643E6">
      <w:pPr>
        <w:pStyle w:val="13"/>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77D6F5BE">
      <w:pPr>
        <w:pStyle w:val="1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73F1728C">
      <w:pPr>
        <w:pStyle w:val="1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1F8232FE">
      <w:pPr>
        <w:pStyle w:val="1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ADCA56">
      <w:pPr>
        <w:pStyle w:val="1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058C3138">
      <w:pPr>
        <w:pStyle w:val="13"/>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F902C3">
      <w:pPr>
        <w:pStyle w:val="1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00B2C35D">
      <w:pPr>
        <w:pStyle w:val="13"/>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08F4B723">
      <w:pPr>
        <w:pStyle w:val="13"/>
        <w:snapToGrid w:val="0"/>
        <w:spacing w:before="156" w:after="156" w:line="460" w:lineRule="exact"/>
        <w:ind w:firstLine="560" w:firstLineChars="200"/>
        <w:rPr>
          <w:rFonts w:ascii="仿宋" w:hAnsi="仿宋" w:eastAsia="仿宋"/>
          <w:b/>
          <w:bCs/>
          <w:color w:val="FF0000"/>
          <w:sz w:val="28"/>
          <w:szCs w:val="28"/>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33A6933E">
      <w:pPr>
        <w:pStyle w:val="13"/>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2C999773">
      <w:pPr>
        <w:pStyle w:val="1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79EE1256">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5BE36D2C">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14DC24B9">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603DE3CF">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F6E6B44">
      <w:pPr>
        <w:pStyle w:val="13"/>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23E168E8">
      <w:pPr>
        <w:pStyle w:val="13"/>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7D2A4AAB">
      <w:pPr>
        <w:pStyle w:val="13"/>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001576BF">
      <w:pPr>
        <w:pStyle w:val="13"/>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28B26618">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67BC50CA">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7B3E309C">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14:paraId="78A16B8F">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14:paraId="2E2E0613">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14:paraId="451FC874">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229CB0CF">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69EF38B2">
      <w:pPr>
        <w:pStyle w:val="13"/>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230C0EA6">
      <w:pPr>
        <w:pStyle w:val="1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0" w:name="_Toc2834"/>
      <w:bookmarkStart w:id="21" w:name="_Toc496796637"/>
      <w:r>
        <w:rPr>
          <w:rFonts w:hint="eastAsia" w:hAnsi="宋体"/>
          <w:b/>
          <w:color w:val="000000" w:themeColor="text1"/>
          <w:sz w:val="36"/>
          <w:szCs w:val="36"/>
          <w14:textFill>
            <w14:solidFill>
              <w14:schemeClr w14:val="tx1"/>
            </w14:solidFill>
          </w14:textFill>
        </w:rPr>
        <w:t>第三章</w:t>
      </w:r>
      <w:bookmarkStart w:id="22" w:name="评标办法及评分标准"/>
      <w:r>
        <w:rPr>
          <w:rFonts w:hint="eastAsia" w:hAnsi="宋体"/>
          <w:b/>
          <w:color w:val="000000" w:themeColor="text1"/>
          <w:sz w:val="36"/>
          <w:szCs w:val="36"/>
          <w14:textFill>
            <w14:solidFill>
              <w14:schemeClr w14:val="tx1"/>
            </w14:solidFill>
          </w14:textFill>
        </w:rPr>
        <w:t>评标办法及评分标准</w:t>
      </w:r>
      <w:bookmarkEnd w:id="20"/>
      <w:bookmarkEnd w:id="21"/>
      <w:bookmarkEnd w:id="22"/>
    </w:p>
    <w:p w14:paraId="6BD16BF0">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01D4F027">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4C54303D">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6CCAF1A7">
      <w:pPr>
        <w:spacing w:before="156" w:beforeLines="50" w:after="156" w:afterLines="50" w:line="460" w:lineRule="exact"/>
        <w:ind w:firstLine="602" w:firstLineChars="200"/>
        <w:rPr>
          <w:rFonts w:hint="default" w:ascii="仿宋" w:hAnsi="仿宋" w:eastAsia="仿宋"/>
          <w:b/>
          <w:bCs/>
          <w:color w:val="FF0000"/>
          <w:sz w:val="30"/>
          <w:szCs w:val="30"/>
          <w:u w:val="single"/>
          <w:lang w:val="en-US" w:eastAsia="zh-CN"/>
        </w:rPr>
      </w:pPr>
      <w:r>
        <w:rPr>
          <w:rFonts w:hint="eastAsia" w:ascii="仿宋" w:hAnsi="仿宋" w:eastAsia="仿宋"/>
          <w:b/>
          <w:bCs/>
          <w:color w:val="FF0000"/>
          <w:sz w:val="30"/>
          <w:szCs w:val="30"/>
          <w:u w:val="single"/>
          <w:lang w:val="en-US" w:eastAsia="zh-CN"/>
        </w:rPr>
        <w:t>中标候选人：总得分排名第一的投标人</w:t>
      </w:r>
    </w:p>
    <w:p w14:paraId="2CFF3C64">
      <w:pPr>
        <w:spacing w:before="156" w:beforeLines="50" w:after="156"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二、分值的计算</w:t>
      </w:r>
    </w:p>
    <w:p w14:paraId="3BB1BA77">
      <w:pPr>
        <w:spacing w:before="156" w:beforeLines="50" w:after="156"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3F62A4EE">
      <w:pPr>
        <w:spacing w:before="156" w:beforeLines="50" w:after="156"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14:paraId="2A40DD92">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lang w:val="en-US" w:eastAsia="zh-CN"/>
          <w14:textFill>
            <w14:solidFill>
              <w14:schemeClr w14:val="tx1"/>
            </w14:solidFill>
          </w14:textFill>
        </w:rPr>
        <w:t>总</w:t>
      </w:r>
      <w:r>
        <w:rPr>
          <w:rFonts w:hint="eastAsia" w:ascii="仿宋" w:hAnsi="仿宋" w:eastAsia="仿宋"/>
          <w:bCs/>
          <w:color w:val="000000" w:themeColor="text1"/>
          <w:sz w:val="30"/>
          <w:szCs w:val="30"/>
          <w14:textFill>
            <w14:solidFill>
              <w14:schemeClr w14:val="tx1"/>
            </w14:solidFill>
          </w14:textFill>
        </w:rPr>
        <w:t>得分=价格分+(技术分+资信商务及其他分)</w:t>
      </w:r>
    </w:p>
    <w:p w14:paraId="51938140">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249C6655">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p>
    <w:p w14:paraId="02F1C66D">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54EB3DCE">
      <w:pPr>
        <w:spacing w:before="156" w:beforeLines="50" w:after="156"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3" w:name="_Toc496796638"/>
    </w:p>
    <w:p w14:paraId="7D504C57">
      <w:pPr>
        <w:spacing w:before="156" w:beforeLines="50" w:after="156" w:afterLines="50" w:line="340" w:lineRule="exact"/>
        <w:rPr>
          <w:rFonts w:hint="eastAsia" w:ascii="仿宋_GB2312" w:hAnsi="宋体" w:eastAsia="仿宋_GB2312"/>
          <w:b/>
          <w:color w:val="000000" w:themeColor="text1"/>
          <w:sz w:val="32"/>
          <w:szCs w:val="32"/>
          <w:vertAlign w:val="baseline"/>
          <w:lang w:eastAsia="zh-CN"/>
          <w14:textFill>
            <w14:solidFill>
              <w14:schemeClr w14:val="tx1"/>
            </w14:solidFill>
          </w14:textFill>
        </w:rPr>
      </w:pPr>
      <w:bookmarkStart w:id="24" w:name="PO_TDCUS_ITEM_SM_TITLE_1_1"/>
      <w:bookmarkStart w:id="25" w:name="PO_TDCUS_ITEM_SM_TABLE_1_1"/>
      <w:bookmarkStart w:id="26" w:name="_Toc24960"/>
      <w:r>
        <w:rPr>
          <w:rFonts w:hint="eastAsia" w:ascii="仿宋_GB2312" w:hAnsi="宋体" w:eastAsia="仿宋_GB2312"/>
          <w:b/>
          <w:color w:val="000000" w:themeColor="text1"/>
          <w:sz w:val="32"/>
          <w:szCs w:val="32"/>
          <w:lang w:eastAsia="zh-CN"/>
          <w14:textFill>
            <w14:solidFill>
              <w14:schemeClr w14:val="tx1"/>
            </w14:solidFill>
          </w14:textFill>
        </w:rPr>
        <w:t>标项1的评分方法</w:t>
      </w:r>
      <w:bookmarkEnd w:id="24"/>
      <w:r>
        <w:rPr>
          <w:rFonts w:hint="eastAsia" w:ascii="仿宋_GB2312" w:hAnsi="宋体" w:eastAsia="仿宋_GB2312"/>
          <w:b/>
          <w:color w:val="000000" w:themeColor="text1"/>
          <w:sz w:val="32"/>
          <w:szCs w:val="32"/>
          <w:lang w:eastAsia="zh-CN"/>
          <w14:textFill>
            <w14:solidFill>
              <w14:schemeClr w14:val="tx1"/>
            </w14:solidFill>
          </w14:textFill>
        </w:rPr>
        <w:t xml:space="preserve"> </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937"/>
        <w:gridCol w:w="4489"/>
        <w:gridCol w:w="975"/>
        <w:gridCol w:w="943"/>
      </w:tblGrid>
      <w:tr w14:paraId="5F5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F3ABCD3">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序号</w:t>
            </w:r>
          </w:p>
        </w:tc>
        <w:tc>
          <w:tcPr>
            <w:tcW w:w="937" w:type="dxa"/>
          </w:tcPr>
          <w:p w14:paraId="794BBEF6">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评分类型</w:t>
            </w:r>
          </w:p>
        </w:tc>
        <w:tc>
          <w:tcPr>
            <w:tcW w:w="4489" w:type="dxa"/>
          </w:tcPr>
          <w:p w14:paraId="0F3E019C">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评分标准</w:t>
            </w:r>
          </w:p>
        </w:tc>
        <w:tc>
          <w:tcPr>
            <w:tcW w:w="975" w:type="dxa"/>
          </w:tcPr>
          <w:p w14:paraId="7D0BE6E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分值</w:t>
            </w:r>
          </w:p>
        </w:tc>
        <w:tc>
          <w:tcPr>
            <w:tcW w:w="943" w:type="dxa"/>
          </w:tcPr>
          <w:p w14:paraId="2AAF3DC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打分方式</w:t>
            </w:r>
          </w:p>
        </w:tc>
      </w:tr>
      <w:tr w14:paraId="0156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E88487A">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w:t>
            </w:r>
          </w:p>
        </w:tc>
        <w:tc>
          <w:tcPr>
            <w:tcW w:w="937" w:type="dxa"/>
          </w:tcPr>
          <w:p w14:paraId="7DA48F0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报价</w:t>
            </w:r>
          </w:p>
        </w:tc>
        <w:tc>
          <w:tcPr>
            <w:tcW w:w="4489" w:type="dxa"/>
          </w:tcPr>
          <w:p w14:paraId="31FFF61A">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(评标基准价／有效投标报价)*最大分值</w:t>
            </w:r>
          </w:p>
        </w:tc>
        <w:tc>
          <w:tcPr>
            <w:tcW w:w="975" w:type="dxa"/>
          </w:tcPr>
          <w:p w14:paraId="698DCCC9">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lang w:val="en-US" w:eastAsia="zh-CN"/>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10</w:t>
            </w:r>
          </w:p>
        </w:tc>
        <w:tc>
          <w:tcPr>
            <w:tcW w:w="943" w:type="dxa"/>
          </w:tcPr>
          <w:p w14:paraId="50A0BD6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w:t>
            </w:r>
          </w:p>
        </w:tc>
      </w:tr>
      <w:tr w14:paraId="6ED0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53C1DA27">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w:t>
            </w:r>
          </w:p>
        </w:tc>
        <w:tc>
          <w:tcPr>
            <w:tcW w:w="937" w:type="dxa"/>
          </w:tcPr>
          <w:p w14:paraId="73672C8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4489" w:type="dxa"/>
            <w:shd w:val="clear" w:color="auto" w:fill="auto"/>
          </w:tcPr>
          <w:p w14:paraId="04D44E8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对用户项目</w:t>
            </w:r>
            <w:r>
              <w:rPr>
                <w:rFonts w:hint="eastAsia" w:ascii="仿宋_GB2312" w:hAnsi="宋体" w:eastAsia="仿宋_GB2312"/>
                <w:b/>
                <w:color w:val="000000" w:themeColor="text1"/>
                <w:sz w:val="32"/>
                <w:szCs w:val="32"/>
                <w:lang w:val="en-US" w:eastAsia="zh-CN"/>
                <w14:textFill>
                  <w14:solidFill>
                    <w14:schemeClr w14:val="tx1"/>
                  </w14:solidFill>
                </w14:textFill>
              </w:rPr>
              <w:t>11个系统</w:t>
            </w:r>
            <w:r>
              <w:rPr>
                <w:rFonts w:hint="eastAsia" w:ascii="仿宋_GB2312" w:hAnsi="宋体" w:eastAsia="仿宋_GB2312"/>
                <w:b/>
                <w:color w:val="000000" w:themeColor="text1"/>
                <w:sz w:val="32"/>
                <w:szCs w:val="32"/>
                <w14:textFill>
                  <w14:solidFill>
                    <w14:schemeClr w14:val="tx1"/>
                  </w14:solidFill>
                </w14:textFill>
              </w:rPr>
              <w:t>软硬件部署、运行环境、架构的理解。</w:t>
            </w:r>
          </w:p>
          <w:p w14:paraId="1C006F34">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lang w:val="en-US" w:eastAsia="zh-CN"/>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1、全省农业农村数字化总体架构</w:t>
            </w:r>
            <w:r>
              <w:rPr>
                <w:rFonts w:hint="eastAsia" w:ascii="仿宋_GB2312" w:hAnsi="宋体" w:eastAsia="仿宋_GB2312"/>
                <w:b/>
                <w:color w:val="000000" w:themeColor="text1"/>
                <w:sz w:val="32"/>
                <w:szCs w:val="32"/>
                <w14:textFill>
                  <w14:solidFill>
                    <w14:schemeClr w14:val="tx1"/>
                  </w14:solidFill>
                </w14:textFill>
              </w:rPr>
              <w:t>（评分范围：4、3、2、1、0分）；</w:t>
            </w:r>
          </w:p>
          <w:p w14:paraId="503074C3">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2</w:t>
            </w:r>
            <w:r>
              <w:rPr>
                <w:rFonts w:hint="eastAsia" w:ascii="仿宋_GB2312" w:hAnsi="宋体" w:eastAsia="仿宋_GB2312"/>
                <w:b/>
                <w:color w:val="000000" w:themeColor="text1"/>
                <w:sz w:val="32"/>
                <w:szCs w:val="32"/>
                <w14:textFill>
                  <w14:solidFill>
                    <w14:schemeClr w14:val="tx1"/>
                  </w14:solidFill>
                </w14:textFill>
              </w:rPr>
              <w:t>、</w:t>
            </w:r>
            <w:r>
              <w:rPr>
                <w:rFonts w:hint="eastAsia" w:ascii="仿宋_GB2312" w:hAnsi="宋体" w:eastAsia="仿宋_GB2312"/>
                <w:b/>
                <w:color w:val="000000" w:themeColor="text1"/>
                <w:sz w:val="32"/>
                <w:szCs w:val="32"/>
                <w:lang w:val="en-US" w:eastAsia="zh-CN"/>
                <w14:textFill>
                  <w14:solidFill>
                    <w14:schemeClr w14:val="tx1"/>
                  </w14:solidFill>
                </w14:textFill>
              </w:rPr>
              <w:t>11个系统的</w:t>
            </w:r>
            <w:r>
              <w:rPr>
                <w:rFonts w:hint="eastAsia" w:ascii="仿宋_GB2312" w:hAnsi="宋体" w:eastAsia="仿宋_GB2312"/>
                <w:b/>
                <w:color w:val="000000" w:themeColor="text1"/>
                <w:sz w:val="32"/>
                <w:szCs w:val="32"/>
                <w14:textFill>
                  <w14:solidFill>
                    <w14:schemeClr w14:val="tx1"/>
                  </w14:solidFill>
                </w14:textFill>
              </w:rPr>
              <w:t>软硬件部署（评分范围：4、3、2、1、0分）；</w:t>
            </w:r>
          </w:p>
          <w:p w14:paraId="5653EF0A">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3</w:t>
            </w:r>
            <w:r>
              <w:rPr>
                <w:rFonts w:hint="eastAsia" w:ascii="仿宋_GB2312" w:hAnsi="宋体" w:eastAsia="仿宋_GB2312"/>
                <w:b/>
                <w:color w:val="000000" w:themeColor="text1"/>
                <w:sz w:val="32"/>
                <w:szCs w:val="32"/>
                <w14:textFill>
                  <w14:solidFill>
                    <w14:schemeClr w14:val="tx1"/>
                  </w14:solidFill>
                </w14:textFill>
              </w:rPr>
              <w:t>、</w:t>
            </w:r>
            <w:r>
              <w:rPr>
                <w:rFonts w:hint="eastAsia" w:ascii="仿宋_GB2312" w:hAnsi="宋体" w:eastAsia="仿宋_GB2312"/>
                <w:b/>
                <w:color w:val="000000" w:themeColor="text1"/>
                <w:sz w:val="32"/>
                <w:szCs w:val="32"/>
                <w:lang w:val="en-US" w:eastAsia="zh-CN"/>
                <w14:textFill>
                  <w14:solidFill>
                    <w14:schemeClr w14:val="tx1"/>
                  </w14:solidFill>
                </w14:textFill>
              </w:rPr>
              <w:t>11个系统的</w:t>
            </w:r>
            <w:r>
              <w:rPr>
                <w:rFonts w:hint="eastAsia" w:ascii="仿宋_GB2312" w:hAnsi="宋体" w:eastAsia="仿宋_GB2312"/>
                <w:b/>
                <w:color w:val="000000" w:themeColor="text1"/>
                <w:sz w:val="32"/>
                <w:szCs w:val="32"/>
                <w14:textFill>
                  <w14:solidFill>
                    <w14:schemeClr w14:val="tx1"/>
                  </w14:solidFill>
                </w14:textFill>
              </w:rPr>
              <w:t>运行环境（评分范围：4、3、2、1、0分）；</w:t>
            </w:r>
          </w:p>
          <w:p w14:paraId="73EE7EBC">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4</w:t>
            </w:r>
            <w:r>
              <w:rPr>
                <w:rFonts w:hint="eastAsia" w:ascii="仿宋_GB2312" w:hAnsi="宋体" w:eastAsia="仿宋_GB2312"/>
                <w:b/>
                <w:color w:val="000000" w:themeColor="text1"/>
                <w:sz w:val="32"/>
                <w:szCs w:val="32"/>
                <w14:textFill>
                  <w14:solidFill>
                    <w14:schemeClr w14:val="tx1"/>
                  </w14:solidFill>
                </w14:textFill>
              </w:rPr>
              <w:t>、</w:t>
            </w:r>
            <w:r>
              <w:rPr>
                <w:rFonts w:hint="eastAsia" w:ascii="仿宋_GB2312" w:hAnsi="宋体" w:eastAsia="仿宋_GB2312"/>
                <w:b/>
                <w:color w:val="000000" w:themeColor="text1"/>
                <w:sz w:val="32"/>
                <w:szCs w:val="32"/>
                <w:lang w:val="en-US" w:eastAsia="zh-CN"/>
                <w14:textFill>
                  <w14:solidFill>
                    <w14:schemeClr w14:val="tx1"/>
                  </w14:solidFill>
                </w14:textFill>
              </w:rPr>
              <w:t>11个系统的技术</w:t>
            </w:r>
            <w:r>
              <w:rPr>
                <w:rFonts w:hint="eastAsia" w:ascii="仿宋_GB2312" w:hAnsi="宋体" w:eastAsia="仿宋_GB2312"/>
                <w:b/>
                <w:color w:val="000000" w:themeColor="text1"/>
                <w:sz w:val="32"/>
                <w:szCs w:val="32"/>
                <w14:textFill>
                  <w14:solidFill>
                    <w14:schemeClr w14:val="tx1"/>
                  </w14:solidFill>
                </w14:textFill>
              </w:rPr>
              <w:t>架构（评分范围：4、3、2、1、0分）。</w:t>
            </w:r>
          </w:p>
        </w:tc>
        <w:tc>
          <w:tcPr>
            <w:tcW w:w="975" w:type="dxa"/>
            <w:shd w:val="clear" w:color="auto" w:fill="auto"/>
            <w:vAlign w:val="center"/>
          </w:tcPr>
          <w:p w14:paraId="3724E41E">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w:t>
            </w:r>
            <w:r>
              <w:rPr>
                <w:rFonts w:hint="default" w:ascii="仿宋_GB2312" w:hAnsi="宋体" w:eastAsia="仿宋_GB2312"/>
                <w:b/>
                <w:color w:val="000000" w:themeColor="text1"/>
                <w:sz w:val="32"/>
                <w:szCs w:val="32"/>
                <w:lang w:val="en-US"/>
                <w14:textFill>
                  <w14:solidFill>
                    <w14:schemeClr w14:val="tx1"/>
                  </w14:solidFill>
                </w14:textFill>
              </w:rPr>
              <w:t>6</w:t>
            </w:r>
          </w:p>
        </w:tc>
        <w:tc>
          <w:tcPr>
            <w:tcW w:w="943" w:type="dxa"/>
            <w:shd w:val="clear" w:color="auto" w:fill="auto"/>
            <w:vAlign w:val="center"/>
          </w:tcPr>
          <w:p w14:paraId="2621750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w:t>
            </w:r>
          </w:p>
        </w:tc>
      </w:tr>
      <w:tr w14:paraId="0610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01A26A7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3</w:t>
            </w:r>
          </w:p>
        </w:tc>
        <w:tc>
          <w:tcPr>
            <w:tcW w:w="937" w:type="dxa"/>
          </w:tcPr>
          <w:p w14:paraId="67F1BF1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4489" w:type="dxa"/>
            <w:shd w:val="clear" w:color="auto" w:fill="auto"/>
          </w:tcPr>
          <w:p w14:paraId="6BAFDE29">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运维实施方案：</w:t>
            </w:r>
          </w:p>
          <w:p w14:paraId="1BD860BE">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lang w:val="en-US" w:eastAsia="zh-CN"/>
                <w14:textFill>
                  <w14:solidFill>
                    <w14:schemeClr w14:val="tx1"/>
                  </w14:solidFill>
                </w14:textFill>
              </w:rPr>
            </w:pPr>
            <w:r>
              <w:rPr>
                <w:rFonts w:hint="default" w:ascii="仿宋_GB2312" w:hAnsi="宋体" w:eastAsia="仿宋_GB2312"/>
                <w:b/>
                <w:color w:val="000000" w:themeColor="text1"/>
                <w:sz w:val="32"/>
                <w:szCs w:val="32"/>
                <w:lang w:val="en-US"/>
                <w14:textFill>
                  <w14:solidFill>
                    <w14:schemeClr w14:val="tx1"/>
                  </w14:solidFill>
                </w14:textFill>
              </w:rPr>
              <w:t>1</w:t>
            </w:r>
            <w:r>
              <w:rPr>
                <w:rFonts w:hint="eastAsia" w:ascii="仿宋_GB2312" w:hAnsi="宋体" w:eastAsia="仿宋_GB2312"/>
                <w:b/>
                <w:color w:val="000000" w:themeColor="text1"/>
                <w:sz w:val="32"/>
                <w:szCs w:val="32"/>
                <w:lang w:val="en-US" w:eastAsia="zh-CN"/>
                <w14:textFill>
                  <w14:solidFill>
                    <w14:schemeClr w14:val="tx1"/>
                  </w14:solidFill>
                </w14:textFill>
              </w:rPr>
              <w:t>、系统功能完善方案（5分）</w:t>
            </w:r>
            <w:r>
              <w:rPr>
                <w:rFonts w:hint="eastAsia" w:ascii="仿宋_GB2312" w:hAnsi="宋体" w:eastAsia="仿宋_GB2312"/>
                <w:b/>
                <w:color w:val="000000" w:themeColor="text1"/>
                <w:sz w:val="32"/>
                <w:szCs w:val="32"/>
                <w14:textFill>
                  <w14:solidFill>
                    <w14:schemeClr w14:val="tx1"/>
                  </w14:solidFill>
                </w14:textFill>
              </w:rPr>
              <w:t>，评分范围：5、4、3、2、1、0；</w:t>
            </w:r>
          </w:p>
          <w:p w14:paraId="5C4A676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2、运维方案（5分）</w:t>
            </w:r>
            <w:r>
              <w:rPr>
                <w:rFonts w:hint="eastAsia" w:ascii="仿宋_GB2312" w:hAnsi="宋体" w:eastAsia="仿宋_GB2312"/>
                <w:b/>
                <w:color w:val="000000" w:themeColor="text1"/>
                <w:sz w:val="32"/>
                <w:szCs w:val="32"/>
                <w14:textFill>
                  <w14:solidFill>
                    <w14:schemeClr w14:val="tx1"/>
                  </w14:solidFill>
                </w14:textFill>
              </w:rPr>
              <w:t>，评分范围：5、4、3、2、1、0；</w:t>
            </w:r>
          </w:p>
          <w:p w14:paraId="64FD8F7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3</w:t>
            </w:r>
            <w:r>
              <w:rPr>
                <w:rFonts w:hint="eastAsia" w:ascii="仿宋_GB2312" w:hAnsi="宋体" w:eastAsia="仿宋_GB2312"/>
                <w:b/>
                <w:color w:val="000000" w:themeColor="text1"/>
                <w:sz w:val="32"/>
                <w:szCs w:val="32"/>
                <w14:textFill>
                  <w14:solidFill>
                    <w14:schemeClr w14:val="tx1"/>
                  </w14:solidFill>
                </w14:textFill>
              </w:rPr>
              <w:t>、巡检方案（5分），评分范围：5、4、3、2、1、0；</w:t>
            </w:r>
          </w:p>
          <w:p w14:paraId="7A2E28AC">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4</w:t>
            </w:r>
            <w:r>
              <w:rPr>
                <w:rFonts w:hint="eastAsia" w:ascii="仿宋_GB2312" w:hAnsi="宋体" w:eastAsia="仿宋_GB2312"/>
                <w:b/>
                <w:color w:val="000000" w:themeColor="text1"/>
                <w:sz w:val="32"/>
                <w:szCs w:val="32"/>
                <w14:textFill>
                  <w14:solidFill>
                    <w14:schemeClr w14:val="tx1"/>
                  </w14:solidFill>
                </w14:textFill>
              </w:rPr>
              <w:t>、系统性能调优配置方案（3分），评分范围3、2、1、0；软件缺陷修复升级更新优化方案（2分），评分范围2、1、0；</w:t>
            </w:r>
          </w:p>
          <w:p w14:paraId="58614FF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5</w:t>
            </w:r>
            <w:r>
              <w:rPr>
                <w:rFonts w:hint="eastAsia" w:ascii="仿宋_GB2312" w:hAnsi="宋体" w:eastAsia="仿宋_GB2312"/>
                <w:b/>
                <w:color w:val="000000" w:themeColor="text1"/>
                <w:sz w:val="32"/>
                <w:szCs w:val="32"/>
                <w14:textFill>
                  <w14:solidFill>
                    <w14:schemeClr w14:val="tx1"/>
                  </w14:solidFill>
                </w14:textFill>
              </w:rPr>
              <w:t>、应急处置：应急方案（3分），评分范围3、2、1、0；保障人员配置（2分）评分范围2、1、0；</w:t>
            </w:r>
          </w:p>
          <w:p w14:paraId="11EDF50D">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14:textFill>
                  <w14:solidFill>
                    <w14:schemeClr w14:val="tx1"/>
                  </w14:solidFill>
                </w14:textFill>
                <w:woUserID w:val="1"/>
              </w:rPr>
            </w:pPr>
            <w:r>
              <w:rPr>
                <w:rFonts w:hint="eastAsia" w:ascii="仿宋_GB2312" w:hAnsi="宋体" w:eastAsia="仿宋_GB2312"/>
                <w:b/>
                <w:color w:val="000000" w:themeColor="text1"/>
                <w:sz w:val="32"/>
                <w:szCs w:val="32"/>
                <w:lang w:val="en-US" w:eastAsia="zh-CN"/>
                <w14:textFill>
                  <w14:solidFill>
                    <w14:schemeClr w14:val="tx1"/>
                  </w14:solidFill>
                </w14:textFill>
              </w:rPr>
              <w:t>6</w:t>
            </w:r>
            <w:r>
              <w:rPr>
                <w:rFonts w:hint="eastAsia" w:ascii="仿宋_GB2312" w:hAnsi="宋体" w:eastAsia="仿宋_GB2312"/>
                <w:b/>
                <w:color w:val="000000" w:themeColor="text1"/>
                <w:sz w:val="32"/>
                <w:szCs w:val="32"/>
                <w14:textFill>
                  <w14:solidFill>
                    <w14:schemeClr w14:val="tx1"/>
                  </w14:solidFill>
                </w14:textFill>
              </w:rPr>
              <w:t>、重大活动、节假日保障：保障方案（3分），评分范围3、2、1、0；人员配置（2分）评分范围2、1、0；</w:t>
            </w:r>
          </w:p>
        </w:tc>
        <w:tc>
          <w:tcPr>
            <w:tcW w:w="975" w:type="dxa"/>
            <w:shd w:val="clear" w:color="auto" w:fill="auto"/>
            <w:vAlign w:val="center"/>
          </w:tcPr>
          <w:p w14:paraId="6288F859">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lang w:val="en-US"/>
                <w14:textFill>
                  <w14:solidFill>
                    <w14:schemeClr w14:val="tx1"/>
                  </w14:solidFill>
                </w14:textFill>
              </w:rPr>
            </w:pPr>
            <w:r>
              <w:rPr>
                <w:rFonts w:hint="default" w:ascii="仿宋_GB2312" w:hAnsi="宋体" w:eastAsia="仿宋_GB2312"/>
                <w:b/>
                <w:color w:val="000000" w:themeColor="text1"/>
                <w:sz w:val="32"/>
                <w:szCs w:val="32"/>
                <w:lang w:val="en-US"/>
                <w14:textFill>
                  <w14:solidFill>
                    <w14:schemeClr w14:val="tx1"/>
                  </w14:solidFill>
                </w14:textFill>
              </w:rPr>
              <w:t>3</w:t>
            </w:r>
            <w:r>
              <w:rPr>
                <w:rFonts w:hint="default" w:ascii="仿宋_GB2312" w:hAnsi="宋体" w:eastAsia="仿宋_GB2312"/>
                <w:b/>
                <w:color w:val="000000" w:themeColor="text1"/>
                <w:sz w:val="32"/>
                <w:szCs w:val="32"/>
                <w14:textFill>
                  <w14:solidFill>
                    <w14:schemeClr w14:val="tx1"/>
                  </w14:solidFill>
                </w14:textFill>
                <w:woUserID w:val="1"/>
              </w:rPr>
              <w:t>0</w:t>
            </w:r>
          </w:p>
        </w:tc>
        <w:tc>
          <w:tcPr>
            <w:tcW w:w="943" w:type="dxa"/>
            <w:shd w:val="clear" w:color="auto" w:fill="auto"/>
            <w:vAlign w:val="center"/>
          </w:tcPr>
          <w:p w14:paraId="1DEA20F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w:t>
            </w:r>
          </w:p>
        </w:tc>
      </w:tr>
      <w:tr w14:paraId="544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03DC3189">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4</w:t>
            </w:r>
          </w:p>
        </w:tc>
        <w:tc>
          <w:tcPr>
            <w:tcW w:w="937" w:type="dxa"/>
          </w:tcPr>
          <w:p w14:paraId="64D0C7F3">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4489" w:type="dxa"/>
          </w:tcPr>
          <w:p w14:paraId="15818777">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运维质量管理和流程规范程度（管理制度、流程图、记录、表单）（5分）评分范围：5、4、3、2、1、0。</w:t>
            </w:r>
          </w:p>
        </w:tc>
        <w:tc>
          <w:tcPr>
            <w:tcW w:w="975" w:type="dxa"/>
            <w:vAlign w:val="center"/>
          </w:tcPr>
          <w:p w14:paraId="6D89F1D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943" w:type="dxa"/>
          </w:tcPr>
          <w:p w14:paraId="3189F75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w:t>
            </w:r>
          </w:p>
        </w:tc>
      </w:tr>
      <w:tr w14:paraId="5B58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6EB92383">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937" w:type="dxa"/>
          </w:tcPr>
          <w:p w14:paraId="08FFC4A0">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4489" w:type="dxa"/>
            <w:shd w:val="clear" w:color="auto" w:fill="auto"/>
          </w:tcPr>
          <w:p w14:paraId="4B190CA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项目运维人员组成及实施要求。包括人员数量、职业资格、项目相关专业技能证书、相应人员实施经验等从业时间及所在投标单位任职时间等：</w:t>
            </w:r>
          </w:p>
          <w:p w14:paraId="1625A95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1、项目负责人具备信息系统项目管理师证书（发证机构：人社部门）（</w:t>
            </w:r>
            <w:r>
              <w:rPr>
                <w:rFonts w:hint="default" w:ascii="仿宋_GB2312" w:hAnsi="宋体" w:eastAsia="仿宋_GB2312"/>
                <w:b/>
                <w:color w:val="000000" w:themeColor="text1"/>
                <w:sz w:val="32"/>
                <w:szCs w:val="32"/>
                <w:lang w:val="en-US"/>
                <w14:textFill>
                  <w14:solidFill>
                    <w14:schemeClr w14:val="tx1"/>
                  </w14:solidFill>
                </w14:textFill>
              </w:rPr>
              <w:t>3</w:t>
            </w:r>
            <w:r>
              <w:rPr>
                <w:rFonts w:hint="eastAsia" w:ascii="仿宋_GB2312" w:hAnsi="宋体" w:eastAsia="仿宋_GB2312"/>
                <w:b/>
                <w:color w:val="000000" w:themeColor="text1"/>
                <w:sz w:val="32"/>
                <w:szCs w:val="32"/>
                <w14:textFill>
                  <w14:solidFill>
                    <w14:schemeClr w14:val="tx1"/>
                  </w14:solidFill>
                </w14:textFill>
              </w:rPr>
              <w:t>分）</w:t>
            </w:r>
          </w:p>
          <w:p w14:paraId="667598EA">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2、驻场人员中，具有3年及以上类似项目运维经验的，提供相关人员简历材料加盖公章及社保缴纳证明材料，每提供1人得</w:t>
            </w:r>
            <w:r>
              <w:rPr>
                <w:rFonts w:hint="default" w:ascii="仿宋_GB2312" w:hAnsi="宋体" w:eastAsia="仿宋_GB2312"/>
                <w:b/>
                <w:color w:val="000000" w:themeColor="text1"/>
                <w:sz w:val="32"/>
                <w:szCs w:val="32"/>
                <w:lang w:val="en-US"/>
                <w14:textFill>
                  <w14:solidFill>
                    <w14:schemeClr w14:val="tx1"/>
                  </w14:solidFill>
                </w14:textFill>
              </w:rPr>
              <w:t>1</w:t>
            </w:r>
            <w:r>
              <w:rPr>
                <w:rFonts w:hint="eastAsia" w:ascii="仿宋_GB2312" w:hAnsi="宋体" w:eastAsia="仿宋_GB2312"/>
                <w:b/>
                <w:color w:val="000000" w:themeColor="text1"/>
                <w:sz w:val="32"/>
                <w:szCs w:val="32"/>
                <w14:textFill>
                  <w14:solidFill>
                    <w14:schemeClr w14:val="tx1"/>
                  </w14:solidFill>
                </w14:textFill>
              </w:rPr>
              <w:t>分，最高得</w:t>
            </w:r>
            <w:r>
              <w:rPr>
                <w:rFonts w:hint="default" w:ascii="仿宋_GB2312" w:hAnsi="宋体" w:eastAsia="仿宋_GB2312"/>
                <w:b/>
                <w:color w:val="000000" w:themeColor="text1"/>
                <w:sz w:val="32"/>
                <w:szCs w:val="32"/>
                <w:lang w:val="en-US"/>
                <w14:textFill>
                  <w14:solidFill>
                    <w14:schemeClr w14:val="tx1"/>
                  </w14:solidFill>
                </w14:textFill>
              </w:rPr>
              <w:t>11</w:t>
            </w:r>
            <w:r>
              <w:rPr>
                <w:rFonts w:hint="eastAsia" w:ascii="仿宋_GB2312" w:hAnsi="宋体" w:eastAsia="仿宋_GB2312"/>
                <w:b/>
                <w:color w:val="000000" w:themeColor="text1"/>
                <w:sz w:val="32"/>
                <w:szCs w:val="32"/>
                <w14:textFill>
                  <w14:solidFill>
                    <w14:schemeClr w14:val="tx1"/>
                  </w14:solidFill>
                </w14:textFill>
              </w:rPr>
              <w:t>分；不符合或提供不全或未提供不得分。</w:t>
            </w:r>
          </w:p>
          <w:p w14:paraId="6E5FF0B9">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3、后备支持团队中，具有3年及以上类似项目运维经验，提供相关人员简历材料加盖公章及社保缴纳证明材料，每提供1人得1分，最高得</w:t>
            </w:r>
            <w:r>
              <w:rPr>
                <w:rFonts w:hint="default" w:ascii="仿宋_GB2312" w:hAnsi="宋体" w:eastAsia="仿宋_GB2312"/>
                <w:b/>
                <w:color w:val="000000" w:themeColor="text1"/>
                <w:sz w:val="32"/>
                <w:szCs w:val="32"/>
                <w:lang w:val="en-US"/>
                <w14:textFill>
                  <w14:solidFill>
                    <w14:schemeClr w14:val="tx1"/>
                  </w14:solidFill>
                </w14:textFill>
              </w:rPr>
              <w:t>6</w:t>
            </w:r>
            <w:r>
              <w:rPr>
                <w:rFonts w:hint="eastAsia" w:ascii="仿宋_GB2312" w:hAnsi="宋体" w:eastAsia="仿宋_GB2312"/>
                <w:b/>
                <w:color w:val="000000" w:themeColor="text1"/>
                <w:sz w:val="32"/>
                <w:szCs w:val="32"/>
                <w14:textFill>
                  <w14:solidFill>
                    <w14:schemeClr w14:val="tx1"/>
                  </w14:solidFill>
                </w14:textFill>
              </w:rPr>
              <w:t>分；不符合或提供不全或未提供不得分。</w:t>
            </w:r>
          </w:p>
          <w:p w14:paraId="376C9D7C">
            <w:pPr>
              <w:pStyle w:val="24"/>
              <w:numPr>
                <w:ilvl w:val="-1"/>
                <w:numId w:val="0"/>
              </w:numPr>
              <w:ind w:left="0" w:firstLine="0"/>
              <w:rPr>
                <w:rFonts w:hint="eastAsia"/>
              </w:rPr>
            </w:pPr>
            <w:r>
              <w:rPr>
                <w:rFonts w:hint="eastAsia" w:ascii="仿宋_GB2312" w:hAnsi="宋体" w:eastAsia="仿宋_GB2312"/>
                <w:b/>
                <w:color w:val="000000" w:themeColor="text1"/>
                <w:sz w:val="32"/>
                <w:szCs w:val="32"/>
                <w:highlight w:val="none"/>
                <w:lang w:val="en-US" w:eastAsia="zh-CN"/>
                <w14:textFill>
                  <w14:solidFill>
                    <w14:schemeClr w14:val="tx1"/>
                  </w14:solidFill>
                </w14:textFill>
                <w:woUserID w:val="1"/>
              </w:rPr>
              <w:t>4、</w:t>
            </w:r>
            <w:r>
              <w:rPr>
                <w:rFonts w:hint="eastAsia" w:ascii="仿宋_GB2312" w:hAnsi="宋体" w:eastAsia="仿宋_GB2312"/>
                <w:b/>
                <w:color w:val="000000" w:themeColor="text1"/>
                <w:sz w:val="32"/>
                <w:szCs w:val="32"/>
                <w:highlight w:val="none"/>
                <w14:textFill>
                  <w14:solidFill>
                    <w14:schemeClr w14:val="tx1"/>
                  </w14:solidFill>
                </w14:textFill>
                <w:woUserID w:val="1"/>
              </w:rPr>
              <w:t>投标人承诺在规定时间内不能解决故障，甲方有权寻求第三方协助，由此产生费用由乙方承担</w:t>
            </w:r>
            <w:r>
              <w:rPr>
                <w:rFonts w:hint="eastAsia" w:ascii="仿宋_GB2312" w:hAnsi="宋体" w:eastAsia="仿宋_GB2312"/>
                <w:b/>
                <w:color w:val="000000" w:themeColor="text1"/>
                <w:sz w:val="32"/>
                <w:szCs w:val="32"/>
                <w:highlight w:val="none"/>
                <w:lang w:eastAsia="zh-CN"/>
                <w14:textFill>
                  <w14:solidFill>
                    <w14:schemeClr w14:val="tx1"/>
                  </w14:solidFill>
                </w14:textFill>
                <w:woUserID w:val="1"/>
              </w:rPr>
              <w:t>。</w:t>
            </w:r>
            <w:r>
              <w:rPr>
                <w:rFonts w:hint="eastAsia" w:ascii="仿宋_GB2312" w:hAnsi="宋体" w:eastAsia="仿宋_GB2312"/>
                <w:b/>
                <w:color w:val="000000" w:themeColor="text1"/>
                <w:sz w:val="32"/>
                <w:szCs w:val="32"/>
                <w:highlight w:val="none"/>
                <w:lang w:val="en-US" w:eastAsia="zh-CN"/>
                <w14:textFill>
                  <w14:solidFill>
                    <w14:schemeClr w14:val="tx1"/>
                  </w14:solidFill>
                </w14:textFill>
                <w:woUserID w:val="1"/>
              </w:rPr>
              <w:t>提供承诺函得</w:t>
            </w:r>
            <w:r>
              <w:rPr>
                <w:rFonts w:hint="eastAsia" w:ascii="仿宋_GB2312" w:hAnsi="宋体" w:eastAsia="仿宋_GB2312"/>
                <w:b/>
                <w:color w:val="000000" w:themeColor="text1"/>
                <w:sz w:val="32"/>
                <w:szCs w:val="32"/>
                <w:highlight w:val="none"/>
                <w14:textFill>
                  <w14:solidFill>
                    <w14:schemeClr w14:val="tx1"/>
                  </w14:solidFill>
                </w14:textFill>
                <w:woUserID w:val="1"/>
              </w:rPr>
              <w:t>5分</w:t>
            </w:r>
            <w:r>
              <w:rPr>
                <w:rFonts w:hint="eastAsia" w:ascii="仿宋_GB2312" w:hAnsi="宋体" w:eastAsia="仿宋_GB2312"/>
                <w:b/>
                <w:color w:val="000000" w:themeColor="text1"/>
                <w:sz w:val="32"/>
                <w:szCs w:val="32"/>
                <w:highlight w:val="none"/>
                <w:lang w:eastAsia="zh-CN"/>
                <w14:textFill>
                  <w14:solidFill>
                    <w14:schemeClr w14:val="tx1"/>
                  </w14:solidFill>
                </w14:textFill>
                <w:woUserID w:val="1"/>
              </w:rPr>
              <w:t>，</w:t>
            </w:r>
            <w:r>
              <w:rPr>
                <w:rFonts w:hint="eastAsia" w:ascii="仿宋_GB2312" w:hAnsi="宋体" w:eastAsia="仿宋_GB2312"/>
                <w:b/>
                <w:color w:val="000000" w:themeColor="text1"/>
                <w:sz w:val="32"/>
                <w:szCs w:val="32"/>
                <w:highlight w:val="none"/>
                <w:lang w:val="en-US" w:eastAsia="zh-CN"/>
                <w14:textFill>
                  <w14:solidFill>
                    <w14:schemeClr w14:val="tx1"/>
                  </w14:solidFill>
                </w14:textFill>
                <w:woUserID w:val="1"/>
              </w:rPr>
              <w:t>未提供不得分</w:t>
            </w:r>
            <w:r>
              <w:rPr>
                <w:rFonts w:hint="eastAsia" w:ascii="仿宋_GB2312" w:hAnsi="宋体" w:eastAsia="仿宋_GB2312"/>
                <w:b/>
                <w:color w:val="000000" w:themeColor="text1"/>
                <w:sz w:val="32"/>
                <w:szCs w:val="32"/>
                <w:highlight w:val="none"/>
                <w14:textFill>
                  <w14:solidFill>
                    <w14:schemeClr w14:val="tx1"/>
                  </w14:solidFill>
                </w14:textFill>
                <w:woUserID w:val="1"/>
              </w:rPr>
              <w:t>。</w:t>
            </w:r>
          </w:p>
        </w:tc>
        <w:tc>
          <w:tcPr>
            <w:tcW w:w="975" w:type="dxa"/>
            <w:shd w:val="clear" w:color="auto" w:fill="auto"/>
            <w:vAlign w:val="center"/>
          </w:tcPr>
          <w:p w14:paraId="54A78AC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default" w:ascii="仿宋_GB2312" w:hAnsi="宋体" w:eastAsia="仿宋_GB2312"/>
                <w:b/>
                <w:color w:val="000000" w:themeColor="text1"/>
                <w:sz w:val="32"/>
                <w:szCs w:val="32"/>
                <w14:textFill>
                  <w14:solidFill>
                    <w14:schemeClr w14:val="tx1"/>
                  </w14:solidFill>
                </w14:textFill>
                <w:woUserID w:val="1"/>
              </w:rPr>
              <w:t>25</w:t>
            </w:r>
          </w:p>
        </w:tc>
        <w:tc>
          <w:tcPr>
            <w:tcW w:w="943" w:type="dxa"/>
          </w:tcPr>
          <w:p w14:paraId="6DC7B2F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w:t>
            </w:r>
          </w:p>
        </w:tc>
      </w:tr>
      <w:tr w14:paraId="1853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21D91FE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6</w:t>
            </w:r>
          </w:p>
        </w:tc>
        <w:tc>
          <w:tcPr>
            <w:tcW w:w="937" w:type="dxa"/>
          </w:tcPr>
          <w:p w14:paraId="6F42EB1D">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4489" w:type="dxa"/>
          </w:tcPr>
          <w:p w14:paraId="6EED626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项目维护计划（驻点人员安排，定期巡检</w:t>
            </w:r>
            <w:r>
              <w:rPr>
                <w:rFonts w:hint="eastAsia" w:ascii="仿宋_GB2312" w:hAnsi="宋体" w:eastAsia="仿宋_GB2312"/>
                <w:b/>
                <w:color w:val="000000" w:themeColor="text1"/>
                <w:sz w:val="32"/>
                <w:szCs w:val="32"/>
                <w:lang w:eastAsia="zh-CN"/>
                <w14:textFill>
                  <w14:solidFill>
                    <w14:schemeClr w14:val="tx1"/>
                  </w14:solidFill>
                </w14:textFill>
              </w:rPr>
              <w:t>、</w:t>
            </w:r>
            <w:r>
              <w:rPr>
                <w:rFonts w:hint="eastAsia" w:ascii="仿宋_GB2312" w:hAnsi="宋体" w:eastAsia="仿宋_GB2312"/>
                <w:b/>
                <w:color w:val="000000" w:themeColor="text1"/>
                <w:sz w:val="32"/>
                <w:szCs w:val="32"/>
                <w14:textFill>
                  <w14:solidFill>
                    <w14:schemeClr w14:val="tx1"/>
                  </w14:solidFill>
                </w14:textFill>
              </w:rPr>
              <w:t>重大或紧急问题提供现场技术支持等情况）的有效性等。（5分）评分范围：5、4、3、2、1、0。</w:t>
            </w:r>
          </w:p>
        </w:tc>
        <w:tc>
          <w:tcPr>
            <w:tcW w:w="975" w:type="dxa"/>
            <w:vAlign w:val="center"/>
          </w:tcPr>
          <w:p w14:paraId="78363C7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w:t>
            </w:r>
          </w:p>
        </w:tc>
        <w:tc>
          <w:tcPr>
            <w:tcW w:w="943" w:type="dxa"/>
          </w:tcPr>
          <w:p w14:paraId="3E4FD96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w:t>
            </w:r>
          </w:p>
        </w:tc>
      </w:tr>
      <w:tr w14:paraId="49FD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3502860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7</w:t>
            </w:r>
          </w:p>
        </w:tc>
        <w:tc>
          <w:tcPr>
            <w:tcW w:w="937" w:type="dxa"/>
          </w:tcPr>
          <w:p w14:paraId="398BB4FC">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p>
        </w:tc>
        <w:tc>
          <w:tcPr>
            <w:tcW w:w="4489" w:type="dxa"/>
          </w:tcPr>
          <w:p w14:paraId="1B30EBA7">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售后服务的响应情况（对用户故障响应、处理等）。（5分）评分范围：5、4、3、2、1、0。</w:t>
            </w:r>
          </w:p>
        </w:tc>
        <w:tc>
          <w:tcPr>
            <w:tcW w:w="975" w:type="dxa"/>
            <w:vAlign w:val="center"/>
          </w:tcPr>
          <w:p w14:paraId="6C9156F7">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default" w:ascii="仿宋_GB2312" w:hAnsi="宋体" w:eastAsia="仿宋_GB2312"/>
                <w:b/>
                <w:color w:val="000000" w:themeColor="text1"/>
                <w:sz w:val="32"/>
                <w:szCs w:val="32"/>
                <w14:textFill>
                  <w14:solidFill>
                    <w14:schemeClr w14:val="tx1"/>
                  </w14:solidFill>
                </w14:textFill>
                <w:woUserID w:val="1"/>
              </w:rPr>
              <w:t>5</w:t>
            </w:r>
          </w:p>
        </w:tc>
        <w:tc>
          <w:tcPr>
            <w:tcW w:w="943" w:type="dxa"/>
          </w:tcPr>
          <w:p w14:paraId="3CFAC89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w:t>
            </w:r>
          </w:p>
        </w:tc>
      </w:tr>
      <w:tr w14:paraId="0716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1FC23A6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8</w:t>
            </w:r>
          </w:p>
        </w:tc>
        <w:tc>
          <w:tcPr>
            <w:tcW w:w="937" w:type="dxa"/>
          </w:tcPr>
          <w:p w14:paraId="38E3D1A3">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技术</w:t>
            </w:r>
            <w:bookmarkStart w:id="35" w:name="_GoBack"/>
            <w:bookmarkEnd w:id="35"/>
          </w:p>
        </w:tc>
        <w:tc>
          <w:tcPr>
            <w:tcW w:w="4489" w:type="dxa"/>
          </w:tcPr>
          <w:p w14:paraId="25AFC653">
            <w:pPr>
              <w:keepNext w:val="0"/>
              <w:keepLines w:val="0"/>
              <w:suppressLineNumbers w:val="0"/>
              <w:spacing w:before="156" w:beforeLines="50" w:beforeAutospacing="0" w:after="156" w:afterLines="50" w:afterAutospacing="0" w:line="340" w:lineRule="exact"/>
              <w:ind w:left="0" w:right="0"/>
              <w:rPr>
                <w:rFonts w:hint="default"/>
              </w:rPr>
            </w:pPr>
            <w:r>
              <w:rPr>
                <w:rFonts w:hint="eastAsia" w:ascii="仿宋_GB2312" w:hAnsi="宋体" w:eastAsia="仿宋_GB2312"/>
                <w:b/>
                <w:color w:val="000000" w:themeColor="text1"/>
                <w:sz w:val="32"/>
                <w:szCs w:val="32"/>
                <w14:textFill>
                  <w14:solidFill>
                    <w14:schemeClr w14:val="tx1"/>
                  </w14:solidFill>
                </w14:textFill>
              </w:rPr>
              <w:t>培训方案、计划的可行性及合理性。评分范围：3、2、1、0。</w:t>
            </w:r>
          </w:p>
        </w:tc>
        <w:tc>
          <w:tcPr>
            <w:tcW w:w="975" w:type="dxa"/>
          </w:tcPr>
          <w:p w14:paraId="35B2D614">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3</w:t>
            </w:r>
          </w:p>
        </w:tc>
        <w:tc>
          <w:tcPr>
            <w:tcW w:w="943" w:type="dxa"/>
          </w:tcPr>
          <w:p w14:paraId="79A56D90">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主观</w:t>
            </w:r>
          </w:p>
        </w:tc>
      </w:tr>
      <w:tr w14:paraId="2DFD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14:paraId="0D1F7A0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9</w:t>
            </w:r>
          </w:p>
        </w:tc>
        <w:tc>
          <w:tcPr>
            <w:tcW w:w="937" w:type="dxa"/>
          </w:tcPr>
          <w:p w14:paraId="3D5244F6">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商务资信</w:t>
            </w:r>
          </w:p>
        </w:tc>
        <w:tc>
          <w:tcPr>
            <w:tcW w:w="4489" w:type="dxa"/>
            <w:vAlign w:val="center"/>
          </w:tcPr>
          <w:p w14:paraId="0EC47D5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default" w:ascii="仿宋_GB2312" w:hAnsi="宋体" w:eastAsia="仿宋_GB2312" w:cs="Times New Roman"/>
                <w:b/>
                <w:color w:val="000000" w:themeColor="text1"/>
                <w:sz w:val="32"/>
                <w:szCs w:val="32"/>
                <w14:textFill>
                  <w14:solidFill>
                    <w14:schemeClr w14:val="tx1"/>
                  </w14:solidFill>
                </w14:textFill>
                <w:woUserID w:val="1"/>
              </w:rPr>
              <w:t>投标人自</w:t>
            </w:r>
            <w:r>
              <w:rPr>
                <w:rFonts w:hint="eastAsia" w:ascii="仿宋_GB2312" w:hAnsi="宋体" w:eastAsia="仿宋_GB2312" w:cs="Times New Roman"/>
                <w:b/>
                <w:color w:val="000000" w:themeColor="text1"/>
                <w:sz w:val="32"/>
                <w:szCs w:val="32"/>
                <w14:textFill>
                  <w14:solidFill>
                    <w14:schemeClr w14:val="tx1"/>
                  </w14:solidFill>
                </w14:textFill>
              </w:rPr>
              <w:t>2023年1月1日起至投标截止时间止（以合同签订时间为准），投标人承担类似项目案例工作的，每个业绩得0.5分，最高得1分。</w:t>
            </w:r>
          </w:p>
        </w:tc>
        <w:tc>
          <w:tcPr>
            <w:tcW w:w="975" w:type="dxa"/>
            <w:vAlign w:val="center"/>
          </w:tcPr>
          <w:p w14:paraId="6A1C836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lang w:eastAsia="zh-CN"/>
                <w14:textFill>
                  <w14:solidFill>
                    <w14:schemeClr w14:val="tx1"/>
                  </w14:solidFill>
                </w14:textFill>
              </w:rPr>
            </w:pPr>
            <w:r>
              <w:rPr>
                <w:rFonts w:hint="default" w:ascii="仿宋_GB2312" w:hAnsi="宋体" w:eastAsia="仿宋_GB2312"/>
                <w:b/>
                <w:color w:val="000000" w:themeColor="text1"/>
                <w:sz w:val="32"/>
                <w:szCs w:val="32"/>
                <w:lang w:val="en-US" w:eastAsia="zh-CN"/>
                <w14:textFill>
                  <w14:solidFill>
                    <w14:schemeClr w14:val="tx1"/>
                  </w14:solidFill>
                </w14:textFill>
              </w:rPr>
              <w:t>1</w:t>
            </w:r>
          </w:p>
        </w:tc>
        <w:tc>
          <w:tcPr>
            <w:tcW w:w="943" w:type="dxa"/>
          </w:tcPr>
          <w:p w14:paraId="502858CD">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客观</w:t>
            </w:r>
          </w:p>
        </w:tc>
      </w:tr>
    </w:tbl>
    <w:p w14:paraId="419688AE">
      <w:pPr>
        <w:spacing w:before="156" w:beforeLines="50" w:after="156" w:afterLines="50" w:line="340" w:lineRule="exact"/>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25"/>
    </w:p>
    <w:p w14:paraId="6EDF0BAA">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29DB2C0A">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1573F541">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408E69EF">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016D5301">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3AB9AE5F">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1D0A92A8">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428C1F67">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3AEF91C8">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342DC7B5">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75B0BAE9">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1DF0FE9D">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7370FF3B">
      <w:pPr>
        <w:spacing w:after="312" w:afterLines="100" w:line="340" w:lineRule="exact"/>
        <w:jc w:val="center"/>
        <w:outlineLvl w:val="0"/>
        <w:rPr>
          <w:rFonts w:hint="eastAsia" w:hAnsi="宋体"/>
          <w:b/>
          <w:color w:val="000000" w:themeColor="text1"/>
          <w:sz w:val="36"/>
          <w:szCs w:val="36"/>
          <w14:textFill>
            <w14:solidFill>
              <w14:schemeClr w14:val="tx1"/>
            </w14:solidFill>
          </w14:textFill>
        </w:rPr>
      </w:pPr>
    </w:p>
    <w:p w14:paraId="727D791A">
      <w:pPr>
        <w:spacing w:after="312" w:afterLines="100" w:line="340" w:lineRule="exact"/>
        <w:jc w:val="both"/>
        <w:outlineLvl w:val="0"/>
        <w:rPr>
          <w:rFonts w:hint="eastAsia" w:hAnsi="宋体"/>
          <w:b/>
          <w:color w:val="000000" w:themeColor="text1"/>
          <w:sz w:val="36"/>
          <w:szCs w:val="36"/>
          <w14:textFill>
            <w14:solidFill>
              <w14:schemeClr w14:val="tx1"/>
            </w14:solidFill>
          </w14:textFill>
        </w:rPr>
      </w:pPr>
    </w:p>
    <w:p w14:paraId="7F941BA6">
      <w:pPr>
        <w:spacing w:after="312" w:afterLines="100" w:line="340" w:lineRule="exact"/>
        <w:jc w:val="both"/>
        <w:outlineLvl w:val="0"/>
        <w:rPr>
          <w:rFonts w:hint="eastAsia" w:hAnsi="宋体"/>
          <w:b/>
          <w:color w:val="000000" w:themeColor="text1"/>
          <w:sz w:val="36"/>
          <w:szCs w:val="36"/>
          <w14:textFill>
            <w14:solidFill>
              <w14:schemeClr w14:val="tx1"/>
            </w14:solidFill>
          </w14:textFill>
        </w:rPr>
      </w:pPr>
    </w:p>
    <w:p w14:paraId="78DE0829">
      <w:pPr>
        <w:spacing w:after="312" w:afterLines="100" w:line="340" w:lineRule="exact"/>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第四章招标需求</w:t>
      </w:r>
      <w:bookmarkEnd w:id="23"/>
      <w:bookmarkEnd w:id="26"/>
    </w:p>
    <w:p w14:paraId="41208DEB">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p>
    <w:p w14:paraId="7E2DEE00">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20E545DA">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2EB554B7">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2854CEF1">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仿宋" w:hAnsi="仿宋" w:eastAsia="仿宋"/>
          <w:b/>
          <w:color w:val="000000" w:themeColor="text1"/>
          <w:sz w:val="28"/>
          <w:szCs w:val="28"/>
          <w:lang w:eastAsia="zh-CN"/>
          <w14:textFill>
            <w14:solidFill>
              <w14:schemeClr w14:val="tx1"/>
            </w14:solidFill>
          </w14:textFill>
        </w:rPr>
        <w:t>。</w:t>
      </w:r>
    </w:p>
    <w:p w14:paraId="3E5D957D">
      <w:pPr>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6139A346">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683B09C2">
      <w:pPr>
        <w:pStyle w:val="13"/>
        <w:spacing w:before="156" w:after="156" w:line="360" w:lineRule="auto"/>
        <w:rPr>
          <w:rFonts w:ascii="仿宋" w:hAnsi="仿宋" w:eastAsia="仿宋" w:cs="Arial"/>
          <w:b/>
          <w:color w:val="000000" w:themeColor="text1"/>
          <w:sz w:val="28"/>
          <w:szCs w:val="28"/>
          <w14:textFill>
            <w14:solidFill>
              <w14:schemeClr w14:val="tx1"/>
            </w14:solidFill>
          </w14:textFill>
        </w:rPr>
      </w:pPr>
      <w:bookmarkStart w:id="27" w:name="_Toc496796639"/>
    </w:p>
    <w:p w14:paraId="5C3E86CA">
      <w:pPr>
        <w:spacing w:line="560" w:lineRule="exact"/>
        <w:ind w:firstLine="723" w:firstLineChars="200"/>
        <w:jc w:val="center"/>
        <w:rPr>
          <w:rFonts w:hint="eastAsia" w:hAnsi="宋体"/>
          <w:b/>
          <w:color w:val="000000" w:themeColor="text1"/>
          <w:sz w:val="36"/>
          <w:szCs w:val="36"/>
          <w:lang w:eastAsia="zh-CN"/>
          <w14:textFill>
            <w14:solidFill>
              <w14:schemeClr w14:val="tx1"/>
            </w14:solidFill>
          </w14:textFill>
        </w:rPr>
      </w:pPr>
      <w:bookmarkStart w:id="28" w:name="PO_TDCUS_ITEM_PB_REQ_TITLE_0_0"/>
      <w:bookmarkStart w:id="29" w:name="_Toc26308"/>
      <w:r>
        <w:rPr>
          <w:rFonts w:hint="eastAsia" w:hAnsi="宋体"/>
          <w:b/>
          <w:color w:val="000000" w:themeColor="text1"/>
          <w:sz w:val="36"/>
          <w:szCs w:val="36"/>
          <w14:textFill>
            <w14:solidFill>
              <w14:schemeClr w14:val="tx1"/>
            </w14:solidFill>
          </w14:textFill>
        </w:rPr>
        <w:t>标项1:</w:t>
      </w:r>
      <w:bookmarkEnd w:id="28"/>
      <w:bookmarkStart w:id="30" w:name="PO_TDCUS_ITEM_PB_REQ_FILE_1_1_0"/>
      <w:r>
        <w:rPr>
          <w:rFonts w:hint="eastAsia" w:hAnsi="宋体"/>
          <w:b/>
          <w:color w:val="000000" w:themeColor="text1"/>
          <w:sz w:val="36"/>
          <w:szCs w:val="36"/>
          <w:lang w:eastAsia="zh-CN"/>
          <w14:textFill>
            <w14:solidFill>
              <w14:schemeClr w14:val="tx1"/>
            </w14:solidFill>
          </w14:textFill>
        </w:rPr>
        <w:t>省农业农村厅乡村大脑等11个应用运维</w:t>
      </w:r>
    </w:p>
    <w:p w14:paraId="15C27EC1">
      <w:pPr>
        <w:numPr>
          <w:ilvl w:val="0"/>
          <w:numId w:val="5"/>
        </w:numPr>
        <w:spacing w:line="640" w:lineRule="exact"/>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项目背景</w:t>
      </w:r>
    </w:p>
    <w:p w14:paraId="1B4100AC">
      <w:pPr>
        <w:pStyle w:val="5"/>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通过本项目维护服务，保障浙江乡村大脑及“浙农”应用的日常运维管理、系统功能优化、技术支持、巡检及应急保障等内容，确保系统满足业务发展需求。</w:t>
      </w:r>
      <w:r>
        <w:rPr>
          <w:rFonts w:hint="eastAsia" w:ascii="仿宋_GB2312" w:hAnsi="仿宋_GB2312" w:eastAsia="仿宋_GB2312" w:cs="仿宋_GB2312"/>
          <w:sz w:val="32"/>
          <w:szCs w:val="32"/>
          <w:highlight w:val="none"/>
          <w:lang w:val="en-US" w:eastAsia="zh-CN"/>
        </w:rPr>
        <w:t>项目</w:t>
      </w:r>
      <w:r>
        <w:rPr>
          <w:rFonts w:hint="default" w:ascii="仿宋_GB2312" w:hAnsi="仿宋_GB2312" w:eastAsia="仿宋_GB2312" w:cs="仿宋_GB2312"/>
          <w:sz w:val="32"/>
          <w:szCs w:val="32"/>
          <w:highlight w:val="none"/>
          <w:lang w:val="en-US" w:eastAsia="zh-CN"/>
        </w:rPr>
        <w:t>涵盖11个子系统/应用，具体包括浙江乡村大脑、浙农码、浙江省农业农村行政审批系统、浙江农业信息网、浙农帮扶（浙农富裕）、防止返贫监测和衔接推进乡村振兴信息系统、浙农粮、浙农机、浙农田、浙农牧、浙农优品。</w:t>
      </w:r>
    </w:p>
    <w:p w14:paraId="0C212A0F">
      <w:pPr>
        <w:spacing w:line="640" w:lineRule="exact"/>
        <w:ind w:firstLine="640" w:firstLineChars="200"/>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运维内容和要求</w:t>
      </w:r>
    </w:p>
    <w:p w14:paraId="26F6A084">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浙江乡村大脑维护</w:t>
      </w:r>
    </w:p>
    <w:p w14:paraId="5673CA9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江乡村大脑运维工作围绕四大核心领域展开：①在三农数据仓优化运维方面，开展数据资源目录新增、数据资源开放共享、持续做好数据水印共享下发实施工作，迭代主体库等工作，保障三农数据仓数据有序归集共享；②在三农地图优化运维方面，进行地图服务迁移、地图图层新增、地图开放共享实施、历史遥感追溯等工作，保障三农地图数据稳定更新、开放共享；③在能力中心优化运维方面，开展能力集成、能力监测范围拓展、数据服务调用量支持升降配、应用埋点服务优化等工作，保障能力中心安全稳定运行；④提供技术咨询、权限配置、人员指导培训及故障修复服务，配合做好网络安全攻防演练等重大活动。</w:t>
      </w:r>
    </w:p>
    <w:p w14:paraId="22C92163">
      <w:pPr>
        <w:spacing w:line="640" w:lineRule="exact"/>
        <w:ind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1.</w:t>
      </w:r>
      <w:r>
        <w:rPr>
          <w:rFonts w:hint="eastAsia" w:ascii="仿宋_GB2312" w:hAnsi="仿宋_GB2312" w:eastAsia="仿宋_GB2312" w:cs="仿宋_GB2312"/>
          <w:b/>
          <w:bCs/>
          <w:sz w:val="32"/>
          <w:szCs w:val="32"/>
        </w:rPr>
        <w:t>运维服务内容</w:t>
      </w:r>
    </w:p>
    <w:p w14:paraId="37CD5D1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三农数据仓优化运维</w:t>
      </w:r>
    </w:p>
    <w:p w14:paraId="74670F4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数据资源目录新增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以浙江乡村大脑已有数据资源目录管理模块为基础，梳理浙江乡村大脑大脑各应用数据资源目录清单，通过数据实施运维，</w:t>
      </w:r>
      <w:r>
        <w:rPr>
          <w:rFonts w:ascii="仿宋_GB2312" w:hAnsi="仿宋_GB2312" w:eastAsia="仿宋_GB2312" w:cs="仿宋_GB2312"/>
          <w:sz w:val="32"/>
          <w:szCs w:val="32"/>
        </w:rPr>
        <w:t>结合浙农应用</w:t>
      </w:r>
      <w:r>
        <w:rPr>
          <w:rFonts w:hint="eastAsia" w:ascii="仿宋_GB2312" w:hAnsi="仿宋_GB2312" w:eastAsia="仿宋_GB2312" w:cs="仿宋_GB2312"/>
          <w:sz w:val="32"/>
          <w:szCs w:val="32"/>
        </w:rPr>
        <w:t>业务迭代情况，梳理新增数据资源目录清单。</w:t>
      </w:r>
      <w:r>
        <w:rPr>
          <w:rFonts w:ascii="仿宋_GB2312" w:hAnsi="仿宋_GB2312" w:eastAsia="仿宋_GB2312" w:cs="仿宋_GB2312"/>
          <w:sz w:val="32"/>
          <w:szCs w:val="32"/>
        </w:rPr>
        <w:t>指导各应用按照乡村大脑数据归集要求做好数据全量、增量归集工作，同时基于大数据处理工具，做好已归集数据的定期同步、规则配置、流程配置工作，实现数据归集、数据治理、数据统计等功能。</w:t>
      </w:r>
    </w:p>
    <w:p w14:paraId="10BD0EC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数据资源开放共享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根据省市各数字化应用业务开展需要，梳理开放共享数据资源名录，</w:t>
      </w:r>
      <w:r>
        <w:rPr>
          <w:rFonts w:ascii="仿宋_GB2312" w:hAnsi="仿宋_GB2312" w:eastAsia="仿宋_GB2312" w:cs="仿宋_GB2312"/>
          <w:sz w:val="32"/>
          <w:szCs w:val="32"/>
        </w:rPr>
        <w:t>持续开放共享</w:t>
      </w:r>
      <w:r>
        <w:rPr>
          <w:rFonts w:hint="eastAsia" w:ascii="仿宋_GB2312" w:hAnsi="仿宋_GB2312" w:eastAsia="仿宋_GB2312" w:cs="仿宋_GB2312"/>
          <w:sz w:val="32"/>
          <w:szCs w:val="32"/>
        </w:rPr>
        <w:t>数据资源，拓展数据资源开放共享数量，供全省农业农村</w:t>
      </w:r>
      <w:r>
        <w:rPr>
          <w:rFonts w:ascii="仿宋_GB2312" w:hAnsi="仿宋_GB2312" w:eastAsia="仿宋_GB2312" w:cs="仿宋_GB2312"/>
          <w:sz w:val="32"/>
          <w:szCs w:val="32"/>
        </w:rPr>
        <w:t>条线</w:t>
      </w:r>
      <w:r>
        <w:rPr>
          <w:rFonts w:hint="eastAsia" w:ascii="仿宋_GB2312" w:hAnsi="仿宋_GB2312" w:eastAsia="仿宋_GB2312" w:cs="仿宋_GB2312"/>
          <w:sz w:val="32"/>
          <w:szCs w:val="32"/>
        </w:rPr>
        <w:t>申请。</w:t>
      </w:r>
    </w:p>
    <w:p w14:paraId="67E77F4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数据水印下发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持续做好数据水印共享下发实施工作，需熟悉历年水印配置策略，确保新下发的水印与历史水印版本兼容，不影响历史数据的溯源验证。</w:t>
      </w:r>
    </w:p>
    <w:p w14:paraId="16BEAFA5">
      <w:pPr>
        <w:spacing w:line="640" w:lineRule="exact"/>
        <w:ind w:firstLine="640" w:firstLineChars="200"/>
        <w:rPr>
          <w:rFonts w:hint="default" w:ascii="Calibri" w:hAnsi="Calibri" w:eastAsia="仿宋_GB2312" w:cs="Calibri"/>
          <w:sz w:val="32"/>
          <w:szCs w:val="32"/>
        </w:rPr>
      </w:pPr>
      <w:bookmarkStart w:id="31" w:name="_Toc16968"/>
      <w:r>
        <w:rPr>
          <w:rFonts w:hint="default" w:ascii="Calibri" w:hAnsi="Calibri" w:eastAsia="仿宋_GB2312" w:cs="Calibri"/>
          <w:sz w:val="32"/>
          <w:szCs w:val="32"/>
        </w:rPr>
        <w:t>省市县数据资源贯通实施</w:t>
      </w:r>
      <w:bookmarkEnd w:id="31"/>
      <w:r>
        <w:rPr>
          <w:rFonts w:hint="eastAsia" w:ascii="Calibri" w:hAnsi="Calibri" w:eastAsia="仿宋_GB2312" w:cs="Calibri"/>
          <w:sz w:val="32"/>
          <w:szCs w:val="32"/>
          <w:lang w:eastAsia="zh-CN"/>
        </w:rPr>
        <w:t>：</w:t>
      </w:r>
      <w:r>
        <w:rPr>
          <w:rFonts w:ascii="Calibri" w:hAnsi="Calibri" w:eastAsia="仿宋_GB2312" w:cs="Calibri"/>
          <w:sz w:val="32"/>
          <w:szCs w:val="32"/>
        </w:rPr>
        <w:t>遵循浙江乡村大脑的数据标准规范，对新建（202</w:t>
      </w:r>
      <w:r>
        <w:rPr>
          <w:rFonts w:hint="default" w:ascii="Calibri" w:hAnsi="Calibri" w:eastAsia="仿宋_GB2312" w:cs="Calibri"/>
          <w:sz w:val="32"/>
          <w:szCs w:val="32"/>
        </w:rPr>
        <w:t>6</w:t>
      </w:r>
      <w:r>
        <w:rPr>
          <w:rFonts w:ascii="Calibri" w:hAnsi="Calibri" w:eastAsia="仿宋_GB2312" w:cs="Calibri"/>
          <w:sz w:val="32"/>
          <w:szCs w:val="32"/>
        </w:rPr>
        <w:t>年-202</w:t>
      </w:r>
      <w:r>
        <w:rPr>
          <w:rFonts w:hint="default" w:ascii="Calibri" w:hAnsi="Calibri" w:eastAsia="仿宋_GB2312" w:cs="Calibri"/>
          <w:sz w:val="32"/>
          <w:szCs w:val="32"/>
        </w:rPr>
        <w:t>7</w:t>
      </w:r>
      <w:r>
        <w:rPr>
          <w:rFonts w:ascii="Calibri" w:hAnsi="Calibri" w:eastAsia="仿宋_GB2312" w:cs="Calibri"/>
          <w:sz w:val="32"/>
          <w:szCs w:val="32"/>
        </w:rPr>
        <w:t>年）省市县应用场景进行数据梳理</w:t>
      </w:r>
      <w:r>
        <w:rPr>
          <w:rFonts w:hint="default" w:ascii="Calibri" w:hAnsi="Calibri" w:eastAsia="仿宋_GB2312" w:cs="Calibri"/>
          <w:sz w:val="32"/>
          <w:szCs w:val="32"/>
        </w:rPr>
        <w:t>形成数据资源清单与数据贯通实施方案，</w:t>
      </w:r>
      <w:r>
        <w:rPr>
          <w:rFonts w:ascii="Calibri" w:hAnsi="Calibri" w:eastAsia="仿宋_GB2312" w:cs="Calibri"/>
          <w:sz w:val="32"/>
          <w:szCs w:val="32"/>
        </w:rPr>
        <w:t>通过前置机的方式，将应用场景的数据归集到三农数据仓，并建立数据同步更新机制，实现“数出一处，数归一源”。</w:t>
      </w:r>
    </w:p>
    <w:p w14:paraId="57664A5C">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智慧农业“百千”工程申报表格维护</w:t>
      </w:r>
      <w:r>
        <w:rPr>
          <w:rFonts w:hint="eastAsia" w:ascii="Calibri" w:hAnsi="Calibri" w:eastAsia="仿宋_GB2312" w:cs="Calibri"/>
          <w:sz w:val="32"/>
          <w:szCs w:val="32"/>
          <w:lang w:eastAsia="zh-CN"/>
        </w:rPr>
        <w:t>：</w:t>
      </w:r>
      <w:r>
        <w:rPr>
          <w:rFonts w:hint="eastAsia" w:ascii="仿宋_GB2312" w:hAnsi="仿宋_GB2312" w:eastAsia="仿宋_GB2312" w:cs="仿宋_GB2312"/>
          <w:sz w:val="32"/>
          <w:szCs w:val="32"/>
        </w:rPr>
        <w:t>根据数字农业工厂（基地）和未来农场认定标准调整情况，对现有智慧农业“百千”工程后台申报表格进行调整。按照认定标准做好各个数字农业工厂（基地）和未来农场的数字化应用对接、物联网设施设备数据的</w:t>
      </w:r>
      <w:r>
        <w:rPr>
          <w:rFonts w:ascii="仿宋_GB2312" w:hAnsi="仿宋_GB2312" w:eastAsia="仿宋_GB2312" w:cs="仿宋_GB2312"/>
          <w:sz w:val="32"/>
          <w:szCs w:val="32"/>
        </w:rPr>
        <w:t>技术咨询、实施</w:t>
      </w:r>
      <w:r>
        <w:rPr>
          <w:rFonts w:hint="eastAsia" w:ascii="仿宋_GB2312" w:hAnsi="仿宋_GB2312" w:eastAsia="仿宋_GB2312" w:cs="仿宋_GB2312"/>
          <w:sz w:val="32"/>
          <w:szCs w:val="32"/>
        </w:rPr>
        <w:t>接入</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工作。</w:t>
      </w:r>
    </w:p>
    <w:p w14:paraId="54FFD29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三农地图优化运维</w:t>
      </w:r>
    </w:p>
    <w:p w14:paraId="2962D6A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地图图层新增</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统筹整合全省三农地图数字资源，扩建产业、主体</w:t>
      </w:r>
      <w:r>
        <w:rPr>
          <w:rFonts w:hint="eastAsia" w:ascii="仿宋_GB2312" w:hAnsi="仿宋_GB2312" w:eastAsia="仿宋_GB2312" w:cs="仿宋_GB2312"/>
          <w:sz w:val="32"/>
          <w:szCs w:val="32"/>
        </w:rPr>
        <w:t>、区划、机构</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地图</w:t>
      </w:r>
      <w:r>
        <w:rPr>
          <w:rFonts w:ascii="仿宋_GB2312" w:hAnsi="仿宋_GB2312" w:eastAsia="仿宋_GB2312" w:cs="仿宋_GB2312"/>
          <w:sz w:val="32"/>
          <w:szCs w:val="32"/>
        </w:rPr>
        <w:t>图层，实现跨部门、跨地区、跨层级的高效共享、开发利用，资源流通和利用效率大幅提高。新增图层需基于现有地图图层体系，</w:t>
      </w:r>
      <w:r>
        <w:rPr>
          <w:rFonts w:hint="eastAsia" w:ascii="仿宋_GB2312" w:hAnsi="仿宋_GB2312" w:eastAsia="仿宋_GB2312" w:cs="仿宋_GB2312"/>
          <w:sz w:val="32"/>
          <w:szCs w:val="32"/>
        </w:rPr>
        <w:t>输出地图图层新增实施方案，</w:t>
      </w:r>
      <w:r>
        <w:rPr>
          <w:rFonts w:ascii="仿宋_GB2312" w:hAnsi="仿宋_GB2312" w:eastAsia="仿宋_GB2312" w:cs="仿宋_GB2312"/>
          <w:sz w:val="32"/>
          <w:szCs w:val="32"/>
        </w:rPr>
        <w:t>确保数据格式、坐标系、样式与历史图层保持一致，并能与历史图层进行叠加分析和时空对比。</w:t>
      </w:r>
    </w:p>
    <w:p w14:paraId="563C22B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地图图层开放共享实施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梳理大脑当前共享图层资源目录，配合强化地图图层源开放共享，拓展地图图层开放共享数量，形成可共享地图图层清单，供全省农业农村系统申请。</w:t>
      </w:r>
    </w:p>
    <w:p w14:paraId="1E4A1D8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能力中心优化运维</w:t>
      </w:r>
    </w:p>
    <w:p w14:paraId="6D1ACD0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能力集成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强化三农领域能力组件集成，</w:t>
      </w:r>
      <w:r>
        <w:rPr>
          <w:rFonts w:ascii="仿宋_GB2312" w:hAnsi="仿宋_GB2312" w:eastAsia="仿宋_GB2312" w:cs="仿宋_GB2312"/>
          <w:sz w:val="32"/>
          <w:szCs w:val="32"/>
        </w:rPr>
        <w:t>各应用场景如有新建能力组件，</w:t>
      </w:r>
      <w:r>
        <w:rPr>
          <w:rFonts w:hint="eastAsia" w:ascii="仿宋_GB2312" w:hAnsi="仿宋_GB2312" w:eastAsia="仿宋_GB2312" w:cs="仿宋_GB2312"/>
          <w:sz w:val="32"/>
          <w:szCs w:val="32"/>
        </w:rPr>
        <w:t>配合完成新建能力组件上架至乡村大脑。</w:t>
      </w:r>
    </w:p>
    <w:p w14:paraId="75A5BD9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能力监测范围拓展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将全部组件、数据服务、地图服务纳入到监测系统中，监测各类服务的使用情况。</w:t>
      </w:r>
    </w:p>
    <w:p w14:paraId="68EDAA3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数据服务调用量支持升降配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灵活应对业务增长与波动，确保大脑能力中心服务的稳定与高效，增加数据服务用量升降配，数据访问量激增时，系统自动增加计算资源、存储容量或网络带宽，以满足更高的数据处理需求。业务低谷期，系统自动调整至较低的资源配置，避免资源浪费，优化成本效益。</w:t>
      </w:r>
    </w:p>
    <w:p w14:paraId="528E7CE2">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应用埋点服务的优化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进一步加强各级应用系统的运行监测与管理，推动各级应用系统实战实效，将对现有的应用埋点服务进行优化，明确各级应用系统的使用对象以及对象类型，真实体现各级应用的运行情况。要求各级应用系统能够唯一准确地对用户进行标识和分类，原则上用户标识应为浙政钉ID或浙里办ID。用户标识须具备唯一性。用户类型限定为群众、企业、政府工作人员、其他四类。</w:t>
      </w:r>
    </w:p>
    <w:p w14:paraId="011A945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三农统计监测系统（浙里菜篮子）模块运维</w:t>
      </w:r>
    </w:p>
    <w:p w14:paraId="751C50E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系统功能维护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各使用部门要求对已有的功能模块进行适度修改，维护模块涉及数据接口对接、蔬菜协会生产数据上报模板调整。提供系统现有接口的详细清单及历史变更记录，确保功能修改不破坏原有数据流转逻辑。对蔬菜协会生产数据上报模板的调整，需兼容历年上报数据的格式差异，避免历史数据无法回溯。</w:t>
      </w:r>
    </w:p>
    <w:p w14:paraId="107A7C5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系统报表调整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梳理系统各项报表清单，根据系统运行情况，对系统相关报表进行纠正、调整，涉及业务报表、花卉产销情况调查表、设施农业生产情况表等报表数据修改、字段调整等。报表调整后，需提供历史报表变更记录作为参考，明确各报表修改内容，确保历年统计口径保持一致，不影响历史数据的对比分析。</w:t>
      </w:r>
    </w:p>
    <w:p w14:paraId="08950E6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功能模型新增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业务部门工作开展需要，搭建土特产全产业链填报、农产品加工园区申报两个业务模块，并输出业务流程图，补充完善业务数据来源，丰富数据资源分析。新增模块需基于现有系统的数据模型和用户权限体系进行开发，确保与历史数据无缝衔接。</w:t>
      </w:r>
    </w:p>
    <w:p w14:paraId="488C63A9">
      <w:pPr>
        <w:spacing w:line="640" w:lineRule="exact"/>
        <w:ind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技术支持服务</w:t>
      </w:r>
    </w:p>
    <w:p w14:paraId="5AB5233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巡检服务</w:t>
      </w:r>
    </w:p>
    <w:p w14:paraId="2789BD7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在维护期内，投标人需提供的巡检服务内容。巡检内容如下：</w:t>
      </w:r>
    </w:p>
    <w:p w14:paraId="5B722F5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故障修复。定期巡检系统功能和相关反馈情况，以及监控软件、巡检发现的异常（例如服务器故障、数据库故障、应用BUG、应用离线等），详细记录故障并及时做好故障修复，确保系统稳定运行。</w:t>
      </w:r>
    </w:p>
    <w:p w14:paraId="44AE235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服务器补丁升级。定期检查操作系统是否存在补丁，并更新补丁。</w:t>
      </w:r>
    </w:p>
    <w:p w14:paraId="7F4588C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服务器安全软件检查。检查云服务器有无杀毒安全软件，确认安全软件是否正常运行，设置密码保护，及时更新病毒库。检查并及时升级运维工具，及时更新、清理运维工具记住的用户和密码。</w:t>
      </w:r>
    </w:p>
    <w:p w14:paraId="2422B512">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云资源存储空间维护。定期检查服务器桌面是否存在临时文件，并删除临时文件。</w:t>
      </w:r>
    </w:p>
    <w:p w14:paraId="5E0D655B">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技术框架升级。定期对底层框架升级，用于解决信息安全方面的漏洞，定期系统日志及性能维护，巡视数据管理的日志，进行日志分析和清空工作。</w:t>
      </w:r>
    </w:p>
    <w:p w14:paraId="4B5CA58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技术咨询。通过电话、微信、浙政钉等通讯工具，支撑新老用户就系统使用问题和业务进行咨询答疑、操作指导、技术支持，以及电脑远程操作指导等。</w:t>
      </w:r>
    </w:p>
    <w:p w14:paraId="77F2B6B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权限配置。根据人员角色调整进行相应权限新增及修改等，提供省级管理各部门及全省各市县管理部门日常咨询指导，用户账号添加、密码重置、信息删除、修改。</w:t>
      </w:r>
    </w:p>
    <w:p w14:paraId="122FA44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及重点工作。配合业务单位做好重大活动、网络安全普查、渗透测试、攻防演练、漏洞扫描、应急演练等专项服务的支撑保障工作。配合省大数据和大数据发展中心部门发布的系统漏洞、系统风险通知，积极响应，组织、沟通协作各方相关人员，及时排查涉及的服务器、数据库、应用等，及时对系统漏洞、系统风险进行修复。提供历史漏洞修复记录和运维安全实施方案，体现对系统演变过程中安全策略的熟悉，并能快速定位历史版本可能引入的安全隐患。</w:t>
      </w:r>
    </w:p>
    <w:p w14:paraId="5A52278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云资源策略维护。按照业务单位管理要求及应用使用需求，按需维护资源，协助业主单位完成云资源申请相关材料，对资源进行新增、升配、降配、释放、端口变更等运维。</w:t>
      </w:r>
    </w:p>
    <w:p w14:paraId="7C954E9C">
      <w:pPr>
        <w:spacing w:line="640" w:lineRule="exact"/>
        <w:ind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服务要求</w:t>
      </w:r>
    </w:p>
    <w:p w14:paraId="1AED311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服务过程要求</w:t>
      </w:r>
    </w:p>
    <w:p w14:paraId="6948BE7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原系统基础技术框架开展系统维护，在运维实施过程中应尽可能小的影响原系统和网络的正常运行，做好备份和应急措施,不能对当前应用系统的正常运行产生影响，包括系统性能明显下降、网络拥塞、服务中断等，如无法避免出现这些情况应先停止项目实施，并向用户方书面详细描述。</w:t>
      </w:r>
    </w:p>
    <w:p w14:paraId="3D218086">
      <w:pPr>
        <w:spacing w:line="640" w:lineRule="exact"/>
        <w:ind w:firstLine="616" w:firstLineChars="200"/>
        <w:rPr>
          <w:rFonts w:ascii="仿宋_GB2312" w:hAnsi="Times New Roman" w:eastAsia="仿宋_GB2312"/>
          <w:spacing w:val="-6"/>
          <w:sz w:val="32"/>
          <w:szCs w:val="32"/>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19F4AFD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平台统一性。</w:t>
      </w:r>
      <w:r>
        <w:rPr>
          <w:rFonts w:ascii="仿宋_GB2312" w:hAnsi="仿宋_GB2312" w:eastAsia="仿宋_GB2312" w:cs="仿宋_GB2312"/>
          <w:sz w:val="32"/>
          <w:szCs w:val="32"/>
        </w:rPr>
        <w:t>保障“浙江乡村大脑”与省级应用、市县条线应用的对接实施工作，实现各应用通过“浙江乡村大脑”统一门户进入，统一用户接入和数据归集。</w:t>
      </w:r>
    </w:p>
    <w:p w14:paraId="2EDCAC7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服务人员要求</w:t>
      </w:r>
    </w:p>
    <w:p w14:paraId="4E53F9D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资质与能力要求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成立专属运维项目组，核心成员全程驻场服务。项目负责人具有信息技术(技术开发)专业副高及以上职称。项目组成员具有信息系统项目管理师（高级）证书、初级信息处理技术员证书。近3年有3个以上省级农业农村政务系统运维项目经验。</w:t>
      </w:r>
    </w:p>
    <w:p w14:paraId="4F447A0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工作规范要求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系统运行提供7*24小时电话/微信/浙政钉的响应，支持对业务系统的应用支持和系统相关的技术问题解答；用户在使用系统时如遇到问题，都可以得到相应的支持与帮助；接到服务请求后20分钟内给予响应和答复，提供故障诊断分析和解决方案；对于远程不能解决的故障会派驻具体工程人员现场解决。确保系统现有的各项业务功能正常使用。</w:t>
      </w:r>
    </w:p>
    <w:p w14:paraId="6D09C6A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稳定性要求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需</w:t>
      </w:r>
      <w:r>
        <w:rPr>
          <w:rFonts w:hint="eastAsia" w:ascii="仿宋_GB2312" w:hAnsi="仿宋_GB2312" w:eastAsia="仿宋_GB2312" w:cs="仿宋_GB2312"/>
          <w:b w:val="0"/>
          <w:bCs w:val="0"/>
          <w:sz w:val="32"/>
          <w:szCs w:val="32"/>
          <w:lang w:val="en-US" w:eastAsia="zh-CN"/>
        </w:rPr>
        <w:t>具有稳定</w:t>
      </w:r>
      <w:r>
        <w:rPr>
          <w:rFonts w:hint="eastAsia" w:ascii="仿宋_GB2312" w:hAnsi="仿宋_GB2312" w:eastAsia="仿宋_GB2312" w:cs="仿宋_GB2312"/>
          <w:b w:val="0"/>
          <w:bCs w:val="0"/>
          <w:sz w:val="32"/>
          <w:szCs w:val="32"/>
        </w:rPr>
        <w:t>运维团队，</w:t>
      </w:r>
      <w:r>
        <w:rPr>
          <w:rFonts w:hint="eastAsia" w:ascii="仿宋_GB2312" w:hAnsi="仿宋_GB2312" w:eastAsia="仿宋_GB2312" w:cs="仿宋_GB2312"/>
          <w:b w:val="0"/>
          <w:bCs w:val="0"/>
          <w:sz w:val="32"/>
          <w:szCs w:val="32"/>
          <w:lang w:val="en-US" w:eastAsia="zh-CN"/>
        </w:rPr>
        <w:t>驻点</w:t>
      </w:r>
      <w:r>
        <w:rPr>
          <w:rFonts w:hint="eastAsia" w:ascii="仿宋_GB2312" w:hAnsi="仿宋_GB2312" w:eastAsia="仿宋_GB2312" w:cs="仿宋_GB2312"/>
          <w:b w:val="0"/>
          <w:bCs w:val="0"/>
          <w:sz w:val="32"/>
          <w:szCs w:val="32"/>
        </w:rPr>
        <w:t>成员不少于2人，</w:t>
      </w:r>
      <w:r>
        <w:rPr>
          <w:rFonts w:hint="eastAsia" w:ascii="仿宋_GB2312" w:hAnsi="仿宋_GB2312" w:eastAsia="仿宋_GB2312" w:cs="仿宋_GB2312"/>
          <w:sz w:val="32"/>
          <w:szCs w:val="32"/>
        </w:rPr>
        <w:t>且团队需具备7*24小时驻场响应能力；项目核心运维人员需有3年以上省级农业农村政务系统运维服务经历。</w:t>
      </w:r>
    </w:p>
    <w:p w14:paraId="49F7AB3D">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浙农码维护</w:t>
      </w:r>
    </w:p>
    <w:p w14:paraId="0D41FD5A">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保障“浙农码”系统稳定、安全、高效运行，充分发挥系统在农业领域的服务效能，满足全省推广应用及功能优化需求，现采购专业运维服务，负责系统各模块日常运维、数据管理、技术支持及功能完善等相关工作，确保系统持续赋能农业高质量发展。</w:t>
      </w:r>
    </w:p>
    <w:p w14:paraId="45720263">
      <w:pPr>
        <w:spacing w:line="640" w:lineRule="exact"/>
        <w:ind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运维服务内容</w:t>
      </w:r>
    </w:p>
    <w:p w14:paraId="212FD69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块日常运维：保障“浙农码”应用的日常运维、异常处理和安全防护，确保浙政钉及浙里办端应用、管理后台及开放平台等模块安全、稳定、持续运行；持续监控服务器性能指标，分析系统当前负载状况与未来增长需求，制定并执行服务器资源的优化、扩容或升级计划。</w:t>
      </w:r>
    </w:p>
    <w:p w14:paraId="3AD039A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数据日常运维：负责完成“浙农码”各模块相关数据的日常维护与服务工作，确保数据的准确性、完整性和安全性；建立常态化数据维护机制，及时处理数据异常、数据缺失等问题。</w:t>
      </w:r>
    </w:p>
    <w:p w14:paraId="5370449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功能完善：开展行政村应用模块丰富集成，做好“浙农”应用高频服务功能对接聚合，提升模块实用性和便捷性；开展“土特产”集成管理模块运维，持续优化完善模块功能，保障“浙农码”赋能“土特产”全覆盖顺利、高效实施；开展“浙农码”与“全农码”有机衔接工作。</w:t>
      </w:r>
    </w:p>
    <w:p w14:paraId="401CE1DE">
      <w:pPr>
        <w:spacing w:line="640" w:lineRule="exact"/>
        <w:ind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技术支持服务</w:t>
      </w:r>
    </w:p>
    <w:p w14:paraId="462D6F9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巡检服务</w:t>
      </w:r>
    </w:p>
    <w:p w14:paraId="5251314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运行环境巡检：当服务器云资源不足需要扩容时，提供云资源扩容所需的“最小化扩容”配置建议；检查中间件配置调整、性能优化与故障排查；检查数据库索引优化、异常日志分析与数据一致性校验等。</w:t>
      </w:r>
    </w:p>
    <w:p w14:paraId="2BE9284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系统功能巡检：检查系统登录、权限管控、菜单功能可用性，排查权限越界、功能失效、统计错误等问题；检查接口对接状态、数据同步时效性，排查接口中断、数据传输异常等问题。</w:t>
      </w:r>
    </w:p>
    <w:p w14:paraId="73B8E1B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安全防护巡检：开展系统漏洞扫描，重点排查应用系统、服务器的高危漏洞，对第三方公司扫描发现的安全漏洞，及时修复潜在安全隐患，确保系统符合安全规范。</w:t>
      </w:r>
    </w:p>
    <w:p w14:paraId="6005524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配合做好系统开发对接相关工作，协助完成与其他相关系统的接口调试、联调测试等事宜，提供必要的技术支撑，保障对接工作顺利推进。</w:t>
      </w:r>
    </w:p>
    <w:p w14:paraId="72CA039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配合“浙农码”在全省范围内的推广应用工作，为各级使用人员（包括管理人员、基层操作人员等）提供专业、及时的技术支持，通过电话、远程协助等方式解答使用疑问、处理异常操作。</w:t>
      </w:r>
    </w:p>
    <w:p w14:paraId="6489B41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在重大活动保障等重要运行节点，实行24小时不间断运维保障，安排专人值守，及时响应各类突发情况，确保系统稳定运行、无中断服务。</w:t>
      </w:r>
    </w:p>
    <w:p w14:paraId="04A1ADE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不定期开展技术培训，根据使用人员需求，提供针对性的操作培训、运维培训，提升使用人员操作能力。</w:t>
      </w:r>
    </w:p>
    <w:p w14:paraId="5AB75922">
      <w:pPr>
        <w:spacing w:line="640" w:lineRule="exact"/>
        <w:ind w:firstLine="643" w:firstLineChars="200"/>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服务要求</w:t>
      </w:r>
    </w:p>
    <w:p w14:paraId="10639C0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服务过程要求</w:t>
      </w:r>
    </w:p>
    <w:p w14:paraId="4FA10C7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建立标准化运维服务流程，明确服务各环节的操作规范、责任分工及时间节点，确保服务有序推进。服务过程中需主动对接采购方，定期汇报运维工作进展，及时反馈系统运行异常、潜在隐患及功能优化建议。针对采购方提出的运维需求，需在规定时限内响应并推进落实，全程做好记录，形成服务闭环。严格按照行业规范及采购方要求开展运维工作，杜绝违规操作，确保服务质量达标。服务过程中产生的各类运维资料、记录需妥善保管，服务结束后按要求移交采购方。</w:t>
      </w:r>
    </w:p>
    <w:p w14:paraId="6080C26C">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564C5DA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服务人员要求</w:t>
      </w:r>
    </w:p>
    <w:p w14:paraId="26AC760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与能力要求：核心运维人员需具备计算机相关专业本科及以上学历，持有相关专业资格证书；具备扎实的系统运维、网络安全、数据管理相关知识，熟悉“浙农码”相关业务流程及系统架构，能够独立处理各类系统故障及运维需求；具备良好的沟通协调能力、问题解决能力，能够高效对接采购方及各级使用人员。</w:t>
      </w:r>
    </w:p>
    <w:p w14:paraId="6BDD5E1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规范要求：服务人员需严格遵守采购方及供应商的各项规章制度，恪守职业道德，秉持专业、严谨、高效的工作态度开展运维工作；工作期间需遵守保密规定，不泄露任何敏感信息；主动配合采购方的工作安排，积极参与技术培训、故障排查等相关工作，及时反馈工作中遇到的问题；保持良好的工作作风，做到文明服务、耐心解答各类咨询。</w:t>
      </w:r>
    </w:p>
    <w:p w14:paraId="355A2825">
      <w:pPr>
        <w:spacing w:line="64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稳定性要求：服务团队核心成员在服务周期内不得擅自更换，若因特殊情况确需更换，需提前15个工作日书面告知采购方，经采购方审核同意后方可更换；更换后的核心成员资质、能力需不低于原成员标准，且需经过采购方验收合格后才能上岗。服务人员需保证稳定的工作时间，确保运维服务的连续性，杜绝因人员频繁变动影响服务质量。</w:t>
      </w:r>
    </w:p>
    <w:p w14:paraId="4E0FD454">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浙江省农业农村行政审批系统维护</w:t>
      </w:r>
    </w:p>
    <w:p w14:paraId="54A546D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围绕浙江省农业农村行政审批系统开展功能性维护、政务服务事项维护、海洋类权力事项改造、技术支持、巡检及技术培训等运维服务，全方位保障系统安全稳定运行及各项政务服务、业务工作有序推进。</w:t>
      </w:r>
    </w:p>
    <w:p w14:paraId="2753B2DE">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运维服务内容</w:t>
      </w:r>
    </w:p>
    <w:p w14:paraId="0D17C49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功能性维护服务</w:t>
      </w:r>
    </w:p>
    <w:p w14:paraId="3450F8C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功能保障。熟悉并熟练操作行政审批系统各项业务与功能模块，输出行政审批业务清单及功能模块流程图，保障现有待办管理、办结管理、归档管理、证照管理模块的稳定运行，以及业务工作使用情况，对业务模块的功能操作、页面交换等方面按需进行技术性优化，确保功能调整不引发新的关联性问题。</w:t>
      </w:r>
    </w:p>
    <w:p w14:paraId="65FB95C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系统功能调整。根据系统运行情况及历史变更记录，输出系统功能调整方案，对系统相关功能进行纠正、调整，以及因业务需要对业务模块的结果进行完善。</w:t>
      </w:r>
    </w:p>
    <w:p w14:paraId="69F62FE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档案模块改造。做好与档案管理部门新系统的对接，根据系统对接技术方案与对接需求，制定本应用模块改造方案及对接实施流程图，并根据档案系统事项归档需求进行重新配置，以及办件归档重新对接。</w:t>
      </w:r>
    </w:p>
    <w:p w14:paraId="3E1DDB9C">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系统数据维护。包括常规数据增，删，改，导出等，以及数据更新、数据逻辑一致性等方面的维护。协助业主对各个地区的证件数据授权修改和维护。</w:t>
      </w:r>
    </w:p>
    <w:p w14:paraId="54B20DCB">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irs平台数据程序维护。根据irs平台数据目录归集要求，梳理irs平台数据归集目录清单，定期对动物检疫合格证明（产品A）版式文件、拖拉机和联合收割机驾驶证版式文件、执业助理兽医师资格证书、执业兽医师资格证书等15个资源目录归集程序</w:t>
      </w:r>
      <w:r>
        <w:rPr>
          <w:rFonts w:hint="eastAsia" w:ascii="仿宋_GB2312" w:hAnsi="仿宋_GB2312" w:eastAsia="仿宋_GB2312" w:cs="仿宋_GB2312"/>
          <w:sz w:val="32"/>
          <w:szCs w:val="32"/>
        </w:rPr>
        <w:t>定期维护，并配合数据需求部门完成数据的共享、规范等相关工作。</w:t>
      </w:r>
    </w:p>
    <w:p w14:paraId="69179DE2">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浙江乡村大脑数据维护。需熟悉历次乡村大脑接口规范变更情况，对办件申报信息表、办件受理信息表、办件办结信息表、办件办理环节表、办件申报材料表信息等数据归集程序进行维护，制定浙江乡村大脑数据维护实施方案，明确数据维护清单，实现运维期内增量数据及时归集，确保运维期内数据传输的兼容性。</w:t>
      </w:r>
    </w:p>
    <w:p w14:paraId="2B9A5E6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政务服务事项维护</w:t>
      </w:r>
    </w:p>
    <w:p w14:paraId="60B6387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政务中台许可审批事项配置。按照省数据局对事项字段的数据规范要求，进行配置调整，主要工作如下：</w:t>
      </w:r>
    </w:p>
    <w:p w14:paraId="6BFF8B5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根据业务需要，对所有未脱敏完全事项进行脱敏修改，并清理各个许可事项中已无效的留存字段进行删除；</w:t>
      </w:r>
    </w:p>
    <w:p w14:paraId="5E714BD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调整所有许可事项中数据源数据共享的配置，对共享出参数进行最小化设置，移除无关的数据响应参数，减少数据泄露的风险；</w:t>
      </w:r>
    </w:p>
    <w:p w14:paraId="75BC349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一网通办。应共享尽共享第二批整改名单的8个事项的12个材料共享配置，涉及事项如下：</w:t>
      </w:r>
    </w:p>
    <w:tbl>
      <w:tblPr>
        <w:tblStyle w:val="20"/>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7479"/>
      </w:tblGrid>
      <w:tr w14:paraId="753A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42459C63">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序号</w:t>
            </w:r>
          </w:p>
        </w:tc>
        <w:tc>
          <w:tcPr>
            <w:tcW w:w="7479" w:type="dxa"/>
            <w:vAlign w:val="center"/>
          </w:tcPr>
          <w:p w14:paraId="576F97F6">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事项名称</w:t>
            </w:r>
          </w:p>
        </w:tc>
      </w:tr>
      <w:tr w14:paraId="79ED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230DDAB5">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479" w:type="dxa"/>
            <w:vAlign w:val="center"/>
          </w:tcPr>
          <w:p w14:paraId="03C8A14E">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出售、收购、利用水生野生动物或其产品备案</w:t>
            </w:r>
          </w:p>
        </w:tc>
      </w:tr>
      <w:tr w14:paraId="1ACD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66005CD6">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479" w:type="dxa"/>
            <w:vAlign w:val="center"/>
          </w:tcPr>
          <w:p w14:paraId="4EBEBAD5">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农作物种子生产经营许可证核发（A证设立）</w:t>
            </w:r>
          </w:p>
        </w:tc>
      </w:tr>
      <w:tr w14:paraId="1EA6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5CE50EC9">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479" w:type="dxa"/>
            <w:vAlign w:val="center"/>
          </w:tcPr>
          <w:p w14:paraId="0268F2C6">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农作物种子生产经营许可证核发（B、C、D证设立）</w:t>
            </w:r>
          </w:p>
        </w:tc>
      </w:tr>
      <w:tr w14:paraId="73F8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2F80E182">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479" w:type="dxa"/>
            <w:vAlign w:val="center"/>
          </w:tcPr>
          <w:p w14:paraId="59826825">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农作物种子生产经营许可证核发（副证变更）</w:t>
            </w:r>
          </w:p>
        </w:tc>
      </w:tr>
      <w:tr w14:paraId="7BAF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48C3C385">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479" w:type="dxa"/>
            <w:vAlign w:val="center"/>
          </w:tcPr>
          <w:p w14:paraId="4314FB02">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农作物种子生产经营许可证核发（主证变更）</w:t>
            </w:r>
          </w:p>
        </w:tc>
      </w:tr>
      <w:tr w14:paraId="42D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4490920B">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479" w:type="dxa"/>
            <w:vAlign w:val="center"/>
          </w:tcPr>
          <w:p w14:paraId="643EB37D">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生猪定点屠宰厂（场）设置审查（变更）</w:t>
            </w:r>
          </w:p>
        </w:tc>
      </w:tr>
      <w:tr w14:paraId="08A3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80" w:type="dxa"/>
            <w:vAlign w:val="center"/>
          </w:tcPr>
          <w:p w14:paraId="13732729">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7479" w:type="dxa"/>
            <w:vAlign w:val="center"/>
          </w:tcPr>
          <w:p w14:paraId="7D402046">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生猪定点屠宰厂（场）设置审查（设立）</w:t>
            </w:r>
          </w:p>
        </w:tc>
      </w:tr>
      <w:tr w14:paraId="731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80" w:type="dxa"/>
            <w:vAlign w:val="center"/>
          </w:tcPr>
          <w:p w14:paraId="644DF2B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7479" w:type="dxa"/>
            <w:vAlign w:val="center"/>
          </w:tcPr>
          <w:p w14:paraId="2ED2DFA7">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植物、植物产品调运检疫证明核发改为“农业植物检疫证书核发”</w:t>
            </w:r>
          </w:p>
        </w:tc>
      </w:tr>
    </w:tbl>
    <w:p w14:paraId="7C459A0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修改政务中台服务事项。按需提供增加、变更政务服务事项维护，基于系统现有流程、逻辑增量开发，输出新增/修改相关事项业务流程图，分别提供修改前后业务流程图和调整说明，保障新增事项和原有事项稳定运行。涉及事项如下：</w:t>
      </w:r>
    </w:p>
    <w:tbl>
      <w:tblPr>
        <w:tblStyle w:val="20"/>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554"/>
      </w:tblGrid>
      <w:tr w14:paraId="7A60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45" w:type="dxa"/>
            <w:vAlign w:val="center"/>
          </w:tcPr>
          <w:p w14:paraId="37D6773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554" w:type="dxa"/>
            <w:vAlign w:val="center"/>
          </w:tcPr>
          <w:p w14:paraId="3C732411">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事项名称</w:t>
            </w:r>
          </w:p>
        </w:tc>
      </w:tr>
      <w:tr w14:paraId="615C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45" w:type="dxa"/>
            <w:vAlign w:val="center"/>
          </w:tcPr>
          <w:p w14:paraId="4D334B6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554" w:type="dxa"/>
            <w:vAlign w:val="center"/>
          </w:tcPr>
          <w:p w14:paraId="2C72F152">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饲料生产企业许可（设立）</w:t>
            </w:r>
          </w:p>
        </w:tc>
      </w:tr>
      <w:tr w14:paraId="0A87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45" w:type="dxa"/>
            <w:vAlign w:val="center"/>
          </w:tcPr>
          <w:p w14:paraId="3E12EB65">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554" w:type="dxa"/>
            <w:vAlign w:val="center"/>
          </w:tcPr>
          <w:p w14:paraId="0CD6AC1B">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宠物配合饲料生产企业审批（设立）</w:t>
            </w:r>
          </w:p>
        </w:tc>
      </w:tr>
      <w:tr w14:paraId="7E6E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45" w:type="dxa"/>
            <w:vAlign w:val="center"/>
          </w:tcPr>
          <w:p w14:paraId="5C5B5584">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554" w:type="dxa"/>
            <w:vAlign w:val="center"/>
          </w:tcPr>
          <w:p w14:paraId="7C7760D9">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宠物添加剂预混合饲料生产企业审批（设立）</w:t>
            </w:r>
          </w:p>
        </w:tc>
      </w:tr>
    </w:tbl>
    <w:p w14:paraId="60697D1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垂管服务事项维护。定期对国务院部门垂管系统各许可事项的数据上行接口、将对应的事项数据，按照对接规范好的数据结构推送至相应国务院部门垂管系统。掌握历年上行接口协议的变更版本，输出推送事项及数据清单，确保在对接新接口时，对旧数据的回传和处理依然准确。</w:t>
      </w:r>
    </w:p>
    <w:p w14:paraId="3DE40AB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对国务院部门垂管系统各个事项的下行接口、对办件的办理信息(申请、受理、流程、办结）进行解析并存储。</w:t>
      </w:r>
    </w:p>
    <w:p w14:paraId="634A965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海洋类权力事项改造</w:t>
      </w:r>
    </w:p>
    <w:p w14:paraId="727219E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结合原有系统架构进行海洋类权力事项改造。</w:t>
      </w:r>
    </w:p>
    <w:p w14:paraId="1B258AA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权利事项库分离。对接权力事项库，获取海洋权利事项信息，配合业务部门对权利事项进行分离。</w:t>
      </w:r>
    </w:p>
    <w:p w14:paraId="1C75C2E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电子证照分离。配合业务单位，对电子证照进行重新配置、调整。</w:t>
      </w:r>
    </w:p>
    <w:p w14:paraId="3F98ACD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政务中台事项配置。协助配置中台事项，以及对接收件地址，完成系统联调。</w:t>
      </w:r>
    </w:p>
    <w:p w14:paraId="59D5476A">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000000" w:themeColor="text1"/>
          <w:sz w:val="32"/>
          <w:szCs w:val="32"/>
          <w14:textFill>
            <w14:solidFill>
              <w14:schemeClr w14:val="tx1"/>
            </w14:solidFill>
          </w14:textFill>
        </w:rPr>
        <w:t>技术支持服务</w:t>
      </w:r>
    </w:p>
    <w:p w14:paraId="3439677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巡检服务</w:t>
      </w:r>
    </w:p>
    <w:p w14:paraId="6F2BA5A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定期巡检：定期使用漏洞软件进行远程扫描，确保能够及时发现软件可能存在的漏洞，并及时修复。</w:t>
      </w:r>
    </w:p>
    <w:p w14:paraId="0C98D6A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系统账号保护：定期对软件系统中的账号密码进行更换，包括操作系统密码、数据库密码以及软件系统密码。</w:t>
      </w:r>
    </w:p>
    <w:p w14:paraId="5C70ADF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服务器补丁升级。定期检查操作系统是否存在补丁，服务器桌面是否存在临时文件，及时更新补丁，删除临时文件。</w:t>
      </w:r>
    </w:p>
    <w:p w14:paraId="32F83ECB">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安全软件检查。检查云服务器有无杀毒安全软件，确认安全软件是否正常运行，设置密码保护密码，及时更新病毒库。检查并及时升级运维工具，及时更新、清理运维工具记住的用户和密码。</w:t>
      </w:r>
    </w:p>
    <w:p w14:paraId="7C08437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稳定性技术服务</w:t>
      </w:r>
    </w:p>
    <w:p w14:paraId="351F191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根据系统访问的稳定保障要求，提供稳定性技术服务，全面掌握系统代码库和部署架构，确保系统在性能、数据、功能等方面保持安全稳定的运行环境。</w:t>
      </w:r>
    </w:p>
    <w:p w14:paraId="3DBE65C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系统性能优化</w:t>
      </w:r>
    </w:p>
    <w:p w14:paraId="1472EC9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系统长时间运行可能会出现系统变慢、卡顿等情况，按需对系统进行优化，清理系统垃圾文件，调整程序加载速度等，提高系统运行效率。</w:t>
      </w:r>
    </w:p>
    <w:p w14:paraId="003B248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数据备份服务</w:t>
      </w:r>
    </w:p>
    <w:p w14:paraId="5E43A56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辅助建设单位定期做好数据备份；定期进行系统数据备份及备份数据核查工作，并依据业务工作需求，进行数据的导入和导出。结合历年系统数据增长趋势，制定符合数据增长规律的分库、分表备份策略。</w:t>
      </w:r>
    </w:p>
    <w:p w14:paraId="1972E5D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系统日志及性能维护</w:t>
      </w:r>
    </w:p>
    <w:p w14:paraId="1DB913C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定期巡视及数据管理的日志，进行日志分析和清空工作。</w:t>
      </w:r>
    </w:p>
    <w:p w14:paraId="777E55F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远程及上门服务</w:t>
      </w:r>
    </w:p>
    <w:p w14:paraId="58831E1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常规维护以远程服务为主，遇到特殊情况提供上门服务。</w:t>
      </w:r>
    </w:p>
    <w:p w14:paraId="5FEA6A3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云资源维护</w:t>
      </w:r>
    </w:p>
    <w:p w14:paraId="7AA20A1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按照业务单位云资源管理要求及应用使用需求，按需维护资源，协助业主单位完成云资源申请相关材料，对资源进行新增、升配、降配、释放、端口变更等运维工作。</w:t>
      </w:r>
    </w:p>
    <w:p w14:paraId="6C8FF28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技术培训服务</w:t>
      </w:r>
    </w:p>
    <w:p w14:paraId="4060F44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地方人员调整对系统操作不熟，提供培训指导服务，包括远程协助、电话等方式指导操作。以及通过电话、微信、浙政钉等通讯工具，对全省各个地区的证件数据授权修改和维护，按需对系统用户使开展咨询答疑、操作指导、技术支持等。</w:t>
      </w:r>
    </w:p>
    <w:p w14:paraId="33215567">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000000" w:themeColor="text1"/>
          <w:sz w:val="32"/>
          <w:szCs w:val="32"/>
          <w14:textFill>
            <w14:solidFill>
              <w14:schemeClr w14:val="tx1"/>
            </w14:solidFill>
          </w14:textFill>
        </w:rPr>
        <w:t>服务要求</w:t>
      </w:r>
    </w:p>
    <w:p w14:paraId="40353DB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服务过程要求</w:t>
      </w:r>
    </w:p>
    <w:p w14:paraId="1385C13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原系统基础技术框架开展系统维护，在运维实施过程中应尽可能小的影响原系统和网络的正常运行，做好备份和应急措施,不能对当前应用系统的正常运行产生影响，包括系统性能明显下降、网络拥塞、服务中断等，如无法避免出现这些情况应先停止项目实施，并向用户方书面详细描述。</w:t>
      </w:r>
    </w:p>
    <w:p w14:paraId="60037888">
      <w:pPr>
        <w:spacing w:line="640" w:lineRule="exact"/>
        <w:ind w:firstLine="616" w:firstLineChars="200"/>
        <w:rPr>
          <w:rFonts w:ascii="仿宋_GB2312" w:hAnsi="Times New Roman" w:eastAsia="仿宋_GB2312"/>
          <w:spacing w:val="-6"/>
          <w:sz w:val="32"/>
          <w:szCs w:val="32"/>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765E43C0">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保障与“浙江乡村大脑”对接工作，实现“浙江乡村大脑”统一门户进入，统一用户接入和数据归集。</w:t>
      </w:r>
    </w:p>
    <w:p w14:paraId="23AD23C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服务人员要求</w:t>
      </w:r>
    </w:p>
    <w:p w14:paraId="3929F1D7">
      <w:pPr>
        <w:spacing w:line="6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资质与能力要求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要求成立专属运维项目组，核心成员全程驻场服务。项目组成员具有省级农业农村政务系统开发或运维工作经验。服务方近3年有3个以上省级农业农村政务系统运维项目经验。</w:t>
      </w:r>
    </w:p>
    <w:p w14:paraId="1D404F2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工作规范要求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系统运行提供7x24小时电话/微信/浙政钉的响应，支持对业务系统的应用支持和系统相关的技术问题解答；用户在使用系统时如遇到问题，都可以得到相应的支持与帮助；接到服务请求后20分钟内给予响应和答复，提供故障诊断分析和解决方案；对于远程不能解决的故障会派驻具体工程人员现场解决。确保系统现有的各项业务功能正常使用。</w:t>
      </w:r>
    </w:p>
    <w:p w14:paraId="5E3BDE2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稳定性要求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需设有</w:t>
      </w:r>
      <w:r>
        <w:rPr>
          <w:rFonts w:hint="eastAsia"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rPr>
        <w:t>运维团队，项目</w:t>
      </w:r>
      <w:r>
        <w:rPr>
          <w:rFonts w:hint="eastAsia" w:ascii="仿宋_GB2312" w:hAnsi="仿宋_GB2312" w:eastAsia="仿宋_GB2312" w:cs="仿宋_GB2312"/>
          <w:sz w:val="32"/>
          <w:szCs w:val="32"/>
          <w:lang w:val="en-US" w:eastAsia="zh-CN"/>
        </w:rPr>
        <w:t>驻点人员</w:t>
      </w:r>
      <w:r>
        <w:rPr>
          <w:rFonts w:hint="eastAsia" w:ascii="仿宋_GB2312" w:hAnsi="仿宋_GB2312" w:eastAsia="仿宋_GB2312" w:cs="仿宋_GB2312"/>
          <w:sz w:val="32"/>
          <w:szCs w:val="32"/>
        </w:rPr>
        <w:t>1人，且团队需具备7*24小时驻场响应能力。</w:t>
      </w:r>
    </w:p>
    <w:p w14:paraId="277FB3F4">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浙江农业信息网维护</w:t>
      </w:r>
    </w:p>
    <w:p w14:paraId="4B9BC63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32" w:name="_Toc321846189"/>
      <w:bookmarkStart w:id="33" w:name="_Toc24468"/>
      <w:r>
        <w:rPr>
          <w:rFonts w:hint="eastAsia" w:ascii="仿宋_GB2312" w:hAnsi="仿宋_GB2312" w:eastAsia="仿宋_GB2312" w:cs="仿宋_GB2312"/>
          <w:color w:val="000000" w:themeColor="text1"/>
          <w:sz w:val="32"/>
          <w:szCs w:val="32"/>
          <w14:textFill>
            <w14:solidFill>
              <w14:schemeClr w14:val="tx1"/>
            </w14:solidFill>
          </w14:textFill>
        </w:rPr>
        <w:t>派</w:t>
      </w:r>
      <w:r>
        <w:rPr>
          <w:rFonts w:hint="default" w:ascii="仿宋_GB2312" w:hAnsi="仿宋_GB2312" w:eastAsia="仿宋_GB2312" w:cs="仿宋_GB2312"/>
          <w:color w:val="000000" w:themeColor="text1"/>
          <w:sz w:val="32"/>
          <w:szCs w:val="32"/>
          <w:lang w:val="en-US"/>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名</w:t>
      </w:r>
      <w:r>
        <w:rPr>
          <w:rFonts w:hint="eastAsia" w:ascii="仿宋_GB2312" w:hAnsi="仿宋_GB2312" w:eastAsia="仿宋_GB2312" w:cs="仿宋_GB2312"/>
          <w:color w:val="000000" w:themeColor="text1"/>
          <w:sz w:val="32"/>
          <w:szCs w:val="32"/>
          <w14:textFill>
            <w14:solidFill>
              <w14:schemeClr w14:val="tx1"/>
            </w14:solidFill>
          </w14:textFill>
        </w:rPr>
        <w:t>专人驻点</w:t>
      </w:r>
      <w:r>
        <w:rPr>
          <w:rFonts w:ascii="仿宋_GB2312" w:hAnsi="仿宋_GB2312" w:eastAsia="仿宋_GB2312" w:cs="仿宋_GB2312"/>
          <w:color w:val="000000" w:themeColor="text1"/>
          <w:sz w:val="32"/>
          <w:szCs w:val="32"/>
          <w14:textFill>
            <w14:solidFill>
              <w14:schemeClr w14:val="tx1"/>
            </w14:solidFill>
          </w14:textFill>
        </w:rPr>
        <w:t>在运维期间</w:t>
      </w:r>
      <w:r>
        <w:rPr>
          <w:rFonts w:hint="eastAsia" w:ascii="仿宋_GB2312" w:hAnsi="仿宋_GB2312" w:eastAsia="仿宋_GB2312" w:cs="仿宋_GB2312"/>
          <w:color w:val="000000" w:themeColor="text1"/>
          <w:sz w:val="32"/>
          <w:szCs w:val="32"/>
          <w14:textFill>
            <w14:solidFill>
              <w14:schemeClr w14:val="tx1"/>
            </w14:solidFill>
          </w14:textFill>
        </w:rPr>
        <w:t>做好浙江农业信息网技术支撑与运维服务，保障网站稳定运行。</w:t>
      </w:r>
    </w:p>
    <w:bookmarkEnd w:id="32"/>
    <w:bookmarkEnd w:id="33"/>
    <w:p w14:paraId="37C50F4A">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运维服务内容</w:t>
      </w:r>
    </w:p>
    <w:p w14:paraId="32D1F19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网站配置服务</w:t>
      </w:r>
    </w:p>
    <w:p w14:paraId="438AA78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基于浙江农业信息网现有技术框架开展网站配置服务。</w:t>
      </w:r>
    </w:p>
    <w:p w14:paraId="13AE349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网站专栏维护。根据网站所需增加子栏目，进行系统界面的设计制作和开发。</w:t>
      </w:r>
    </w:p>
    <w:p w14:paraId="15E1C51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栏目新增：根据业务需求，在现有技术框架内设计并开发栏目，包含：</w:t>
      </w:r>
    </w:p>
    <w:p w14:paraId="63F4000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界面设计：遵循浙江农业信息网统一视觉规范（如配色、字体、布局模板），确保新增专栏与主站风格统一；</w:t>
      </w:r>
    </w:p>
    <w:p w14:paraId="45176D43">
      <w:pPr>
        <w:spacing w:line="640" w:lineRule="exact"/>
        <w:ind w:firstLine="640" w:firstLineChars="200"/>
        <w:rPr>
          <w:rFonts w:hint="default" w:ascii="Calibri" w:hAnsi="Calibri" w:eastAsia="仿宋_GB2312" w:cs="Calibri"/>
          <w:color w:val="000000" w:themeColor="text1"/>
          <w:sz w:val="32"/>
          <w:szCs w:val="32"/>
          <w14:textFill>
            <w14:solidFill>
              <w14:schemeClr w14:val="tx1"/>
            </w14:solidFill>
          </w14:textFill>
        </w:rPr>
      </w:pPr>
      <w:r>
        <w:rPr>
          <w:rFonts w:hint="default" w:ascii="Calibri" w:hAnsi="Calibri" w:eastAsia="仿宋_GB2312" w:cs="Calibri"/>
          <w:color w:val="000000" w:themeColor="text1"/>
          <w:sz w:val="32"/>
          <w:szCs w:val="32"/>
          <w14:textFill>
            <w14:solidFill>
              <w14:schemeClr w14:val="tx1"/>
            </w14:solidFill>
          </w14:textFill>
        </w:rPr>
        <w:t>功能开发：实现栏目内容发布、检索、权限管理等功能；</w:t>
      </w:r>
    </w:p>
    <w:p w14:paraId="4D3014D6">
      <w:pPr>
        <w:spacing w:line="640" w:lineRule="exact"/>
        <w:ind w:firstLine="640" w:firstLineChars="200"/>
        <w:rPr>
          <w:rFonts w:hint="default" w:ascii="Calibri" w:hAnsi="Calibri" w:eastAsia="仿宋_GB2312" w:cs="Calibri"/>
          <w:color w:val="000000" w:themeColor="text1"/>
          <w:sz w:val="32"/>
          <w:szCs w:val="32"/>
          <w14:textFill>
            <w14:solidFill>
              <w14:schemeClr w14:val="tx1"/>
            </w14:solidFill>
          </w14:textFill>
        </w:rPr>
      </w:pPr>
      <w:r>
        <w:rPr>
          <w:rFonts w:hint="default" w:ascii="Calibri" w:hAnsi="Calibri" w:eastAsia="仿宋_GB2312" w:cs="Calibri"/>
          <w:color w:val="000000" w:themeColor="text1"/>
          <w:sz w:val="32"/>
          <w:szCs w:val="32"/>
          <w14:textFill>
            <w14:solidFill>
              <w14:schemeClr w14:val="tx1"/>
            </w14:solidFill>
          </w14:textFill>
        </w:rPr>
        <w:t>测试验收：完成功能测试，通过业务部门确认后上线。</w:t>
      </w:r>
    </w:p>
    <w:p w14:paraId="04BEDA35">
      <w:pPr>
        <w:spacing w:line="640" w:lineRule="exact"/>
        <w:ind w:firstLine="640" w:firstLineChars="200"/>
        <w:rPr>
          <w:rFonts w:hint="default" w:ascii="Calibri" w:hAnsi="Calibri" w:eastAsia="仿宋_GB2312" w:cs="Calibri"/>
          <w:color w:val="000000" w:themeColor="text1"/>
          <w:sz w:val="32"/>
          <w:szCs w:val="32"/>
          <w14:textFill>
            <w14:solidFill>
              <w14:schemeClr w14:val="tx1"/>
            </w14:solidFill>
          </w14:textFill>
        </w:rPr>
      </w:pPr>
      <w:r>
        <w:rPr>
          <w:rFonts w:hint="default" w:ascii="Calibri" w:hAnsi="Calibri" w:eastAsia="仿宋_GB2312" w:cs="Calibri"/>
          <w:color w:val="000000" w:themeColor="text1"/>
          <w:sz w:val="32"/>
          <w:szCs w:val="32"/>
          <w14:textFill>
            <w14:solidFill>
              <w14:schemeClr w14:val="tx1"/>
            </w14:solidFill>
          </w14:textFill>
        </w:rPr>
        <w:t>历史数据迁移：若涉及旧栏目合并或内容迁移，需确保数据完整性。</w:t>
      </w:r>
    </w:p>
    <w:p w14:paraId="16D12B64">
      <w:pPr>
        <w:spacing w:line="640" w:lineRule="exact"/>
        <w:ind w:firstLine="640" w:firstLineChars="200"/>
        <w:rPr>
          <w:rFonts w:hint="default" w:ascii="Calibri" w:hAnsi="Calibri" w:eastAsia="仿宋_GB2312" w:cs="Calibri"/>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Calibri" w:hAnsi="Calibri" w:eastAsia="仿宋_GB2312" w:cs="Calibri"/>
          <w:color w:val="000000" w:themeColor="text1"/>
          <w:sz w:val="32"/>
          <w:szCs w:val="32"/>
          <w14:textFill>
            <w14:solidFill>
              <w14:schemeClr w14:val="tx1"/>
            </w14:solidFill>
          </w14:textFill>
        </w:rPr>
        <w:t>网站内栏目适度调整。根据需求对栏目进行修改、新增等维护，并开发设计相应的栏目功能，实现新增栏目与现有技术框架与网站的无缝衔接。</w:t>
      </w:r>
    </w:p>
    <w:p w14:paraId="08F2B7F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栏目优化：根据业务需求，对现有栏目进行以下调整：</w:t>
      </w:r>
    </w:p>
    <w:p w14:paraId="0E01E0A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）结构调整：优化栏目层级（如合并子栏目、调整栏目顺序）；</w:t>
      </w:r>
    </w:p>
    <w:p w14:paraId="64A20C5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合规性调整：确保调整后栏目符合政务网站规范（如信息公开目录）。</w:t>
      </w:r>
    </w:p>
    <w:p w14:paraId="464B294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调整流程：需经业务部门提出需求→技术团队评估可行性→制定调整方案→开发测试→内部评审→正式上线。</w:t>
      </w:r>
    </w:p>
    <w:p w14:paraId="698DCCD1">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后台配置工作。协助厅内各部门对集约化后台的用户、流程的配置工作。</w:t>
      </w:r>
    </w:p>
    <w:p w14:paraId="3C0C74F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用户与权限配置：协助厅内各部门完成集约化后台的用户管理，包括：</w:t>
      </w:r>
    </w:p>
    <w:p w14:paraId="13D0EC41">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账号创建与维护：根据部门职责分配账号角色（如信息维护员、审核员），配置数据查看、发布、审批等权限，遵循“最小权限原则”；</w:t>
      </w:r>
    </w:p>
    <w:p w14:paraId="469A9167">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权限变更管理：根据人员变动及时更新账号权限，定期清理冗余账号，确保后台操作安全。</w:t>
      </w:r>
    </w:p>
    <w:p w14:paraId="323DEAA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业务流程配置：基于现有工作流引擎，协助配置内容发布、审批流程（如“部门编辑→部门审核”），支持流程节点自定义、审批人灵活配置及流程状态跟踪，确保符合政务信息发布规范。</w:t>
      </w:r>
    </w:p>
    <w:p w14:paraId="57B4EC51">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技术支持服务</w:t>
      </w:r>
    </w:p>
    <w:p w14:paraId="513FD1DA">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巡检服务</w:t>
      </w:r>
    </w:p>
    <w:p w14:paraId="1FAAAD95">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提供确保网站运行正常、稳定、可靠的技术支持和技术服务，并对网站进行定期的巡检，定期对网站错别字、空链接做处理。</w:t>
      </w:r>
    </w:p>
    <w:p w14:paraId="67DFB01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驻点服务。</w:t>
      </w:r>
    </w:p>
    <w:p w14:paraId="73B3E4B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派</w:t>
      </w:r>
      <w:r>
        <w:rPr>
          <w:rFonts w:hint="default" w:ascii="仿宋_GB2312" w:hAnsi="仿宋_GB2312" w:eastAsia="仿宋_GB2312" w:cs="仿宋_GB2312"/>
          <w:color w:val="000000" w:themeColor="text1"/>
          <w:sz w:val="32"/>
          <w:szCs w:val="32"/>
          <w:lang w:val="en-US"/>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人驻点提供网站维护技术支持，开展网站信息审核发布、网站栏目调整对接等工作。</w:t>
      </w:r>
    </w:p>
    <w:p w14:paraId="2252D6B2">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服务要求</w:t>
      </w:r>
    </w:p>
    <w:p w14:paraId="2F8F6EB3">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服务过程要求</w:t>
      </w:r>
    </w:p>
    <w:p w14:paraId="00991DF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原系统基础技术框架开展系统维护，在运维实施过程中应尽可能小的影响原系统和网络的正常运行，做好备份和应急措施,不能对当前应用系统的正常运行产生影响，包括系统性能明显下降、网络拥塞、服务中断等，如无法避免出现这些情况应先停止项目实施，并向用户方书面详细描述。</w:t>
      </w:r>
    </w:p>
    <w:p w14:paraId="37F6CB50">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0DC7CAA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服务人员要求</w:t>
      </w:r>
    </w:p>
    <w:p w14:paraId="46048A9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资质与能力要求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要求成立专属运维项目组，核心成员全程驻场服务。项目负责人具有信息技术(技术开发)专业副高及以上职称。项目组成员具有具有信息系统项目管理师（高级）证书。近3年有3个以上省级农业农村政务系统运维项目经验。</w:t>
      </w:r>
    </w:p>
    <w:p w14:paraId="48AF858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工作规范要求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系统运行提供7x24小时电话/微信/浙政钉的响应，支持对业务系统的应用支持和系统相关的技术问题解答；用户在使用系统时如遇到问题，都可以得到相应的支持与帮助；接到服务请求后20分钟内给予响应和答复，提供故障诊断分析和解决方案；对于远程不能解决的故障会派驻具体工程人员现场解决。确保系统现有的各项业务功能正常使用。</w:t>
      </w:r>
    </w:p>
    <w:p w14:paraId="53EC072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稳定性要求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需设有</w:t>
      </w:r>
      <w:r>
        <w:rPr>
          <w:rFonts w:hint="eastAsia"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rPr>
        <w:t>运维团队，项目</w:t>
      </w:r>
      <w:r>
        <w:rPr>
          <w:rFonts w:hint="eastAsia" w:ascii="仿宋_GB2312" w:hAnsi="仿宋_GB2312" w:eastAsia="仿宋_GB2312" w:cs="仿宋_GB2312"/>
          <w:sz w:val="32"/>
          <w:szCs w:val="32"/>
          <w:lang w:val="en-US" w:eastAsia="zh-CN"/>
        </w:rPr>
        <w:t>驻点人员</w:t>
      </w:r>
      <w:r>
        <w:rPr>
          <w:rFonts w:hint="eastAsia" w:ascii="仿宋_GB2312" w:hAnsi="仿宋_GB2312" w:eastAsia="仿宋_GB2312" w:cs="仿宋_GB2312"/>
          <w:sz w:val="32"/>
          <w:szCs w:val="32"/>
        </w:rPr>
        <w:t>1人，且团队需具备7*24小时驻场响应能力。</w:t>
      </w:r>
    </w:p>
    <w:p w14:paraId="5D662288">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浙农帮扶（浙农富裕）应用</w:t>
      </w:r>
    </w:p>
    <w:p w14:paraId="69EA9971">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浙里帮农促富系统全面开展运维，主要涵盖四大板块：一是保障PC管理端、浙里办端、浙政钉端各业务模块稳定运行与多级协同，按需求迭代优化功能；二是基于IRS一体化数字资源系统维护各类数据库，完成低收入农户、幸福清单等数据同步与共享推送，确保数据归集、治理、协同及建模正常运行；三是提供技术咨询、故障修复、权限配置，支撑重大活动与网络安全工作，开展底层框架升级、日志及性能维护；四是完成服务器补丁更新、安全软件检查及云资源申请、调配、变更等运维，全方位保障系统安全、稳定、高效支撑全省帮农促富业务开展。</w:t>
      </w:r>
    </w:p>
    <w:p w14:paraId="02658457">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运维服务内容</w:t>
      </w:r>
    </w:p>
    <w:p w14:paraId="540807C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三端功能维护和优化</w:t>
      </w:r>
    </w:p>
    <w:p w14:paraId="6BC89DC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PC管理端。保障农家乐、上月农户维护、就业信息维护、上年收支维护、一户一码、结对关系维护、当月新增农户、当月退出农户，数据监测模块的统计分析new、农户就业统计、进度查询，农户需求、干部管理模块的驻村干部管理、结对干部管理，以及行政村数据维护、农户幸福清单、填报期管理、管理员账号设置等模块的日常运行，梳理帮扶业务流程图，配合业务单位开展帮扶工作，确保业务模块稳定运行。</w:t>
      </w:r>
    </w:p>
    <w:p w14:paraId="53B5EC5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浙里办端。纵向贯通省市县三级，保障服务统一接入与多级协同，为全省农民、村级组织以及新型农业经营主体提供优质便捷的促富服务。基于产业、就业、活权、强村、赋能、帮扶六个促富“一件事”功能模块，农民可通过统一入口进入各场景模块，使用帮农促富功能。热门服务、我要致富、我要查询、我有需求、我的帮扶等应用场景，方便低收入农户及时提需求，保障与业务系统的数据联动，及时解决农户诉求。</w:t>
      </w:r>
    </w:p>
    <w:p w14:paraId="0465DD2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浙政钉端。通过浙政钉进行各层级的应用监管工作，包括应用发布、审核、上架、监控、下架等环节，对进度管理实现精准帮促，通过应用来获取帮促需求；服务应用有我的农户、我的走访、农户需求、干部研判、代办事项，以及数据看板、综合分析业务模块维护，提供帮扶干部掌握帮扶对象动态情况，及时解决使用问题，保障帮扶工作有序进行。</w:t>
      </w:r>
    </w:p>
    <w:p w14:paraId="6131C80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系统功能调整和优化。根据系统运行、业务工作需要，对系统的业务模块进行调整，为功能点的优化迭代进行一般性技术开发。调整优化需基于对系统历史代码库和数据库结构的全面掌握，确保改动不影响原有功能的稳定性，并能提供历史优化案例及效果评估。</w:t>
      </w:r>
    </w:p>
    <w:p w14:paraId="6431EBA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系统数据维护</w:t>
      </w:r>
    </w:p>
    <w:p w14:paraId="7E8BC0C5">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浙江省一体化数字资源系统（IRS）维护浙里帮农促富基础库、主题库、专题库，整合基础信息资源和数据分析监测模型的稳定性，支持数据的统一分析和服务，维持浙江省、市、县相关浙里帮农促富应用数据运行，保障数据归集、数据治理、数据存储、数据整合协同、数据建模功能的正常使用。</w:t>
      </w:r>
    </w:p>
    <w:p w14:paraId="5812FC5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低收入农户数据同步与清洗技术支持。一是负责浙农帮扶（浙农富裕）应用的数据同步与清洗工作的技术保障，确保省级数据同步，将现有低收入农户数据同步至各县。二是保障县级将收入在3.34万元以下的农户增加录入系统。三是保障县级清洗剔除没有劳动能力的对象。</w:t>
      </w:r>
    </w:p>
    <w:p w14:paraId="6544C83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基于浙江省一体化数字资源系统（IRS）梳理低收入农户数据同步清单，开展低边户、低保户、特困户同步、上线工作，形成低收入农户数据同步方案。涉及资源目录有低保对象基本信息 、低保对象-共同生活家庭成员信息、边缘救助对象基本信息、边缘救助-共同生活家庭成员信息、特困对象基本信息、特困对象-共同生活家庭成员信息，根据业务需求每月定期交换民政认定数据，配置业务周期，保障业务工作常态化开展。</w:t>
      </w:r>
    </w:p>
    <w:p w14:paraId="0EC7DAC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幸福清单数据同步。基于浙江省一体化数字资源系统（IRS）梳理幸福清单数据同步清单，构建数据同步实施方案。通过ODPS空间交换低收入农户幸福清单数据，涉及城乡居民最低生活保障补助、特困人员供养补助、临时救助、义务教育困难生生活补助信息等数据，定期对幸福清单数据入库、上线，运维过程中保障数据安全。</w:t>
      </w:r>
    </w:p>
    <w:p w14:paraId="0637905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共享数据资源推送。按照浙江省一体化数字资源系统（IRS）、浙江乡村大脑相关规范，梳理共享数据资源推送清单及实施方案，根据业务数据频率开展数据归集，并定期推送共享数据，涉及数据资源目录有党员联户月统计信息、低收入农户通讯信息、结对干部走访信息等，数据共享后配合业务单位，支撑第三方技术单位开展数据的同步、答疑、运用，以及数据推送程序的维护等。</w:t>
      </w:r>
    </w:p>
    <w:p w14:paraId="6A35A623">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技术支持服务</w:t>
      </w:r>
    </w:p>
    <w:p w14:paraId="13355EF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巡检服务</w:t>
      </w:r>
    </w:p>
    <w:p w14:paraId="5F3B7C6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故障修复。定期巡检系统功能和相关反馈情况，以及监控软件、巡检发现的异常（例如服务器故障、数据库故障、应用BUG、应用离线等），详细记录故障并及时做好故障修复，确保系统稳定运行。</w:t>
      </w:r>
    </w:p>
    <w:p w14:paraId="45A951B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服务器补丁升级。定期检查操作系统是否存在补丁，并更新补丁。</w:t>
      </w:r>
    </w:p>
    <w:p w14:paraId="6BF7CF8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安全软件检查。检云服务器有无杀毒安全软件，确认安全软件是否正常运行，设置密码保护密码，及时更新病毒库。检查并及时升级运维工具，及时更新、清理运维工具记住的用户和密码。</w:t>
      </w:r>
    </w:p>
    <w:p w14:paraId="3F7B092C">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云资源存储空间维护。定期检查服务器桌面是否存在临时文件，并删除临时文件。</w:t>
      </w:r>
    </w:p>
    <w:p w14:paraId="6980C2E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技术框架升级。定期对底层框架升级，用于解决信息安全方面的漏洞，定期系统日志及性能维护，巡视数据管理的日志，进行日志分析和清空工作。</w:t>
      </w:r>
    </w:p>
    <w:p w14:paraId="016A012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技术咨询。通过电话、微信、浙政钉等通讯工具，支撑新老用户就系统使用问题和业务进行咨询答疑、操作指导、技术支持，以及电脑远程操作指导等。</w:t>
      </w:r>
    </w:p>
    <w:p w14:paraId="6EB9FB9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权限配置。根据人员角色调整进行相应权限新增及修改等，提供省级管理各部门及全省各市县管理部门日常咨询指导，用户账号添加、密码重置、信息删除、修改。</w:t>
      </w:r>
    </w:p>
    <w:p w14:paraId="3BCE957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重大及重点工作。配合业务单位做好重大活动、网络安全普查、渗透测试、攻防演练、漏洞扫描、应急演练等专项服务的支撑保障工作。配合省大数据和大数据发展中心部门发布的系统漏洞、系统风险通知，积极响应，组织、沟通协作各方相关人员，及时排查涉及的服务器、数据库、应用等，及时对系统漏洞、系统风险进行修复。提供历史漏洞修复记录和系统风险应对方案，体现对系统演变过程中安全策略的熟悉，并能快速定位历史版本可能引入的安全隐患。</w:t>
      </w:r>
    </w:p>
    <w:p w14:paraId="5D1F17D7">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云资源策略维护。按照业务单位管理要求及应用使用需求，按需维护资源，协助业主单位完成云资源申请相关材料，对资源进行新增、升配、降配、释放、端口变更等运维。</w:t>
      </w:r>
    </w:p>
    <w:p w14:paraId="1E18BFEA">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服务要求</w:t>
      </w:r>
    </w:p>
    <w:p w14:paraId="55A9907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服务过程要求</w:t>
      </w:r>
    </w:p>
    <w:p w14:paraId="7BCF7383">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原系统基础技术框架开展系统维护，在运维实施过程中应尽可能小的影响原系统和网络的正常运行，做好备份和应急措施,不能对当前应用系统的正常运行产生影响，包括系统性能明显下降、网络拥塞、服务中断等，如无法避免出现这些情况应先停止项目实施，并向用户方书面详细描述。</w:t>
      </w:r>
    </w:p>
    <w:p w14:paraId="0E14A405">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6741631C">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保障与“浙江乡村大脑”对接工作，实现“浙江乡村大脑”统一门户进入，统一用户接入和数据归集。</w:t>
      </w:r>
    </w:p>
    <w:p w14:paraId="735D9B1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服务人员要求</w:t>
      </w:r>
    </w:p>
    <w:p w14:paraId="1788B93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资质与能力要求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要求成立专属运维项目组，核心成员全程驻场服务。项目组成员具有农业农村系统开发或运维工作经验。服务方应有农业农村政务系统运维项目经验。</w:t>
      </w:r>
    </w:p>
    <w:p w14:paraId="4D345A3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工作规范要求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运维方需基于原系统技术框架开展系统运维，不能对当前应用系统的正常运行产生影响。为系统运行提供7x24小时电话/微信/浙政钉的响应，支持对业务系统的应用支持和系统相关的技术问题解答；用户在使用系统时如遇到问题，都可以得到相应的支持与帮助；接到服务请求后20分钟内给予响应和答复，提供故障诊断分析和解决方案；对于远程不能解决的故障会派驻具体工程人员现场解决。确保系统现有的各项业务功能正常使用。</w:t>
      </w:r>
    </w:p>
    <w:p w14:paraId="4D8E00F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稳定性要求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需设有</w:t>
      </w:r>
      <w:r>
        <w:rPr>
          <w:rFonts w:hint="eastAsia"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rPr>
        <w:t>运维团队，项目</w:t>
      </w:r>
      <w:r>
        <w:rPr>
          <w:rFonts w:hint="eastAsia" w:ascii="仿宋_GB2312" w:hAnsi="仿宋_GB2312" w:eastAsia="仿宋_GB2312" w:cs="仿宋_GB2312"/>
          <w:sz w:val="32"/>
          <w:szCs w:val="32"/>
          <w:lang w:val="en-US" w:eastAsia="zh-CN"/>
        </w:rPr>
        <w:t>驻点人员</w:t>
      </w:r>
      <w:r>
        <w:rPr>
          <w:rFonts w:hint="eastAsia" w:ascii="仿宋_GB2312" w:hAnsi="仿宋_GB2312" w:eastAsia="仿宋_GB2312" w:cs="仿宋_GB2312"/>
          <w:sz w:val="32"/>
          <w:szCs w:val="32"/>
        </w:rPr>
        <w:t>1人，且团队需具备7*24小时驻场响应能力。</w:t>
      </w:r>
    </w:p>
    <w:p w14:paraId="128D4756">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防止返贫监测和衔接推进乡村振兴信息系统维护</w:t>
      </w:r>
    </w:p>
    <w:p w14:paraId="49D88DA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主要针对浙江省防返贫监测工作，涉及财政衔接推进乡村振兴补助资金涉及的项目，如衔接资金管理、项目管理、乡村工匠、帮扶对象等业务的系统及数据维护。</w:t>
      </w:r>
    </w:p>
    <w:p w14:paraId="26DD2582">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运维服务内容</w:t>
      </w:r>
    </w:p>
    <w:p w14:paraId="0FA8A1F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定期导出系统数据</w:t>
      </w:r>
    </w:p>
    <w:p w14:paraId="2C74DA2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制定全国防贫数据归集与推送方案，罗列数据推送清单与实施方案，定期通过浙江省一体化数字资源系统，按需完成</w:t>
      </w:r>
      <w:r>
        <w:rPr>
          <w:rFonts w:hint="eastAsia" w:ascii="仿宋_GB2312" w:hAnsi="仿宋_GB2312" w:eastAsia="仿宋_GB2312" w:cs="仿宋_GB2312"/>
          <w:color w:val="000000" w:themeColor="text1"/>
          <w:sz w:val="32"/>
          <w:szCs w:val="32"/>
          <w:lang w:val="en"/>
          <w14:textFill>
            <w14:solidFill>
              <w14:schemeClr w14:val="tx1"/>
            </w14:solidFill>
          </w14:textFill>
        </w:rPr>
        <w:t>全国防止返贫监测和衔接推进乡村振兴信息系统</w:t>
      </w:r>
      <w:r>
        <w:rPr>
          <w:rFonts w:hint="eastAsia" w:ascii="仿宋_GB2312" w:hAnsi="仿宋_GB2312" w:eastAsia="仿宋_GB2312" w:cs="仿宋_GB2312"/>
          <w:color w:val="000000" w:themeColor="text1"/>
          <w:sz w:val="32"/>
          <w:szCs w:val="32"/>
          <w14:textFill>
            <w14:solidFill>
              <w14:schemeClr w14:val="tx1"/>
            </w14:solidFill>
          </w14:textFill>
        </w:rPr>
        <w:t>贫资金信息、</w:t>
      </w:r>
      <w:r>
        <w:rPr>
          <w:rFonts w:hint="eastAsia" w:ascii="仿宋_GB2312" w:hAnsi="仿宋_GB2312" w:eastAsia="仿宋_GB2312" w:cs="仿宋_GB2312"/>
          <w:color w:val="000000" w:themeColor="text1"/>
          <w:sz w:val="32"/>
          <w:szCs w:val="32"/>
          <w:lang w:val="en"/>
          <w14:textFill>
            <w14:solidFill>
              <w14:schemeClr w14:val="tx1"/>
            </w14:solidFill>
          </w14:textFill>
        </w:rPr>
        <w:t>全国防止返贫监测和衔接推进乡村振兴信息系统</w:t>
      </w:r>
      <w:r>
        <w:rPr>
          <w:rFonts w:hint="eastAsia" w:ascii="仿宋_GB2312" w:hAnsi="仿宋_GB2312" w:eastAsia="仿宋_GB2312" w:cs="仿宋_GB2312"/>
          <w:color w:val="000000" w:themeColor="text1"/>
          <w:sz w:val="32"/>
          <w:szCs w:val="32"/>
          <w14:textFill>
            <w14:solidFill>
              <w14:schemeClr w14:val="tx1"/>
            </w14:solidFill>
          </w14:textFill>
        </w:rPr>
        <w:t>贫项目资金支付信息数据归集并推送。</w:t>
      </w:r>
    </w:p>
    <w:p w14:paraId="5E5C56EC">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业务模块管理</w:t>
      </w:r>
    </w:p>
    <w:p w14:paraId="18CE900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协助财政衔接推进乡村振兴补助资金涉及的项目，做好衔接资金管理、项目管理、乡村工匠、帮扶对象等业务管理。</w:t>
      </w:r>
    </w:p>
    <w:p w14:paraId="2115DF7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业务数据维护。</w:t>
      </w:r>
    </w:p>
    <w:p w14:paraId="4CC00DBA">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对业务模块中县级录入数据做好数据维护。</w:t>
      </w:r>
    </w:p>
    <w:p w14:paraId="26B1287A">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对县级账号突发的数据导入不匹配、数据规则校验失败等问题，做好数据问题沟通。</w:t>
      </w:r>
    </w:p>
    <w:p w14:paraId="6C6F9C95">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系统模块维护，结合科室业务情况，绘制系统功能模块维护流程图，对“衔接资金管理”“项目管理”等功能模块定期进行维护，运维过程中不影响系统功能模块正常使用。</w:t>
      </w:r>
    </w:p>
    <w:p w14:paraId="0DC7D28D">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技术支持服务</w:t>
      </w:r>
    </w:p>
    <w:p w14:paraId="67C6476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对系统导出数据存在模块后台生成数据有误或规则校验失败等问题，及时做好问题反馈；</w:t>
      </w:r>
    </w:p>
    <w:p w14:paraId="1461144A">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系统信息数据维护，根据各地的业务需求，对业务管理子系统进行机构设置，人员角色维护操作；</w:t>
      </w:r>
    </w:p>
    <w:p w14:paraId="59AD208A">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制定数据对接实施方案明确数据资源清单，实现全国防返贫监测系统和浙农帮扶应用数据打通，并做好对接和保障。</w:t>
      </w:r>
    </w:p>
    <w:p w14:paraId="34202A5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巡检服务</w:t>
      </w:r>
    </w:p>
    <w:p w14:paraId="380DE03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定期巡检系统功能和相关反馈情况，以及监控软件、巡检发现的异常，详细记录故障并及时做好故障修复，确保系统稳定运行。</w:t>
      </w:r>
    </w:p>
    <w:p w14:paraId="4A04A5F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技术培训服务</w:t>
      </w:r>
    </w:p>
    <w:p w14:paraId="3B5695B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系统操作指导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按需更新业务模块操作指南，对各模块业务进行指导。对业务模块中系统录入操作进行具体指导，对人员信息填报进行指导。</w:t>
      </w:r>
    </w:p>
    <w:p w14:paraId="5A2BA8F5">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人员培训指导服务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根据业务需要，配合省级业务处室召开业务人员培训会，对县级人员调整系统操作运用不熟悉等情况，通过包括远程协助、电话等方式进行指导。</w:t>
      </w:r>
    </w:p>
    <w:p w14:paraId="497833A1">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服务要求</w:t>
      </w:r>
    </w:p>
    <w:p w14:paraId="4B86BD3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服务过程要求</w:t>
      </w:r>
    </w:p>
    <w:p w14:paraId="07D1C18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原系统基础技术框架开展系统维护，在运维实施过程中应尽可能小的影响原系统和网络的正常运行，做好备份和应急措施,不能对当前应用系统的正常运行产生影响，包括系统性能明显下降、网络拥塞、服务中断等，如无法避免出现这些情况应先停止项目实施，并向用户方书面详细描述。</w:t>
      </w:r>
    </w:p>
    <w:p w14:paraId="5CE33B25">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05C69D0C">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服务人员要求</w:t>
      </w:r>
    </w:p>
    <w:p w14:paraId="3631829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资质与能力要求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要求成立专属运维项目组。项目组成员具有农业农村系统开发或运维工作经验。服务方应有农业农村政务系统运维项目经验。</w:t>
      </w:r>
    </w:p>
    <w:p w14:paraId="264253F3">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工作规范要求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运维方需基于原系统技术框架开展系统运维，不能对当前应用系统的正常运行产生影响。为系统运行提供7x24小时电话/微信/浙政钉的响应，支持对业务系统的应用支持和系统相关的技术问题解答；用户在使用系统时如遇到问题，都可以得到相应的支持与帮助；接到服务请求后20分钟内给予响应和答复，提供故障诊断分析和解决方案；对于远程不能解决的故障会派驻具体工程人员现场解决。确保系统现有的各项业务功能正常使用。</w:t>
      </w:r>
    </w:p>
    <w:p w14:paraId="7BBACE58">
      <w:pPr>
        <w:spacing w:after="0"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稳定性要求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需设有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稳定</w:t>
      </w:r>
      <w:r>
        <w:rPr>
          <w:rFonts w:hint="eastAsia" w:ascii="仿宋_GB2312" w:hAnsi="仿宋_GB2312" w:eastAsia="仿宋_GB2312" w:cs="仿宋_GB2312"/>
          <w:color w:val="000000" w:themeColor="text1"/>
          <w:sz w:val="32"/>
          <w:szCs w:val="32"/>
          <w14:textFill>
            <w14:solidFill>
              <w14:schemeClr w14:val="tx1"/>
            </w14:solidFill>
          </w14:textFill>
        </w:rPr>
        <w:t>运维团队，团队需具备7*24小时驻场响应能力。</w:t>
      </w:r>
    </w:p>
    <w:p w14:paraId="29ED9077">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浙农粮维护</w:t>
      </w:r>
    </w:p>
    <w:p w14:paraId="5C17E52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围绕浙农种业、浙农粮相关系统开展，涵盖系统功能新增、整合、维护与调整、数据维护，日常运维服务、云资源实施及数据推送、归集、接口开发工作，全方位保障相关业务有序高效开展。</w:t>
      </w:r>
    </w:p>
    <w:p w14:paraId="3A8150D5">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运维服务内容</w:t>
      </w:r>
    </w:p>
    <w:p w14:paraId="2998F29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功能新增。开发种植调度业务模块的任务进度、播种进度、收获进度首页统计功能，同时支持报表导出；根据种植补贴应用场景，开发补贴预申报、流转合同管理、申报作物设置业务功能。新增功能需梳理业务流程图，并基于现有系统进行开发，全面掌握现有种植调度、补贴申报模块的历史数据结构和业务规则，确保新增模块数据与历史数据无缝衔接。 </w:t>
      </w:r>
    </w:p>
    <w:p w14:paraId="3A76937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贯彻落实省现代种业发展规划（2026-2030年）行动要求，强化良种繁育基地建设管理，梳理相关业务流程图，新增良种繁育基地建设储备项目填报模块，助力部门业务开展。</w:t>
      </w:r>
    </w:p>
    <w:p w14:paraId="3B0A2D8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用整合。按照“指尖上的形式主义”要求完成浙农种业与浙农粮应用的整合。输出应用整合方案，整合过程中需保证两个系统历史数据的完整迁移和关联，确保整合后用户仍可查询历史业务记录，且历史报表统计口径不发生变化。</w:t>
      </w:r>
    </w:p>
    <w:p w14:paraId="14E6DC3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功能维护。管理端经销点管理、信息发布、专题分析驾驶舱；同时，根据各使用部门要求对已有的报表报送规则、内容、表单等进行适度修改；浙里办端主导品种、经销点分布、品种查询、良种供应。</w:t>
      </w:r>
    </w:p>
    <w:p w14:paraId="128B687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功能调整。根据系统运行情况，对系统相关功能进行纠正、调整，以及配合业务单位开展报表配置。</w:t>
      </w:r>
    </w:p>
    <w:p w14:paraId="0FE68A1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数据维护。包括常规数据增，删，改，导出等，以及数据更新、数据逻辑一致性等方面的维护。协助业主对各个地区的数据授权修改和维护。</w:t>
      </w:r>
    </w:p>
    <w:p w14:paraId="36705C77">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数据推送程序维护。维护浙江乡村大脑的农业企业（种子生产企业）、浙农种业-主导品种信息、试种实施主体、浙江省种业直报系统-种植面积类_品种面积信息、浙江省种业直报系统-种子供需_综合_农作物种子市场观测备供种信息和浙江省一体化数字资源系统的浙江省种业直报系统-种子供需_综合_农作物种子市场观测备供种信息等数据资源目录推送程序。</w:t>
      </w:r>
    </w:p>
    <w:p w14:paraId="63717F4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数据归集需求实施。配合业务单位根据需求单位开展数据结构梳理，梳理数据归集需求清单，同时基于浙江省乡村大脑和浙江省一体化数字资源系统就增量需求开发数据推送程序，完成数据归集。</w:t>
      </w:r>
    </w:p>
    <w:p w14:paraId="6E330B41">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数据资源接口开发。基于浙江乡村大脑数据规范，新增粮油规模补贴申报代理人信息、粮油规模种植补贴预申报信息、土地流转合同信息数据接口，供浙农应用调用，配合技术单位完成数据对接。新增接口开发需基于现有接口标准和历史接口调用经验，并提供接口文档和历史接口变更记录供调用方参考。</w:t>
      </w:r>
    </w:p>
    <w:p w14:paraId="5EFFDF9E">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技术支持服务</w:t>
      </w:r>
    </w:p>
    <w:p w14:paraId="23F42DB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巡检服务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在维护期内，投标人需提供的巡检服务内容。巡检内容如下：</w:t>
      </w:r>
    </w:p>
    <w:p w14:paraId="24F35E2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故障修复。定期巡检系统功能和相关反馈情况，以及监控软件、巡检发现的异常（例如服务器故障、数据库故障、应用BUG、应用离线等），详细记录故障并及时做好故障修复，确保系统稳定运行。</w:t>
      </w:r>
    </w:p>
    <w:p w14:paraId="5896D6C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服务器补丁升级。定期检查操作系统是否存在补丁，并更新补丁。</w:t>
      </w:r>
    </w:p>
    <w:p w14:paraId="5BA679D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服务器安全软件检查。检查云服务器有无杀毒安全软件，确认安全软件是否正常运行，设置密码保护密码，及时更新病毒库。检查并及时升级运维工具，及时更新、清理运维工具记住的用户和密码。</w:t>
      </w:r>
    </w:p>
    <w:p w14:paraId="456119B7">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云资源维护。按照业务单位云资源管理要求及应用使用需求，按需维护资源，协助业主单位完成云资源申请相关材料，对资源进行新增、升配、降配、释放、端口变更等工作。</w:t>
      </w:r>
    </w:p>
    <w:p w14:paraId="143A762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技术咨询。通过电话、微信、浙政钉等通讯工具，支撑新老用户就系统使用问题和业务进行咨询答疑、操作指导、技术支持，以及电脑远程操作指导等。</w:t>
      </w:r>
    </w:p>
    <w:p w14:paraId="28D7DFF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权限配置。根据人员角色调整进行相应权限新增及修改等，提供省级管理各部门及全省各市县管理部门日常咨询指导，用户账号添加、密码重置、信息删除、修改。</w:t>
      </w:r>
    </w:p>
    <w:p w14:paraId="2C2ACF1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重大及重点工作。配合业务单位做好重大活动、网络安全普查、渗透测试、攻防演练、漏洞扫描、应急演练等专项服务的支撑保障工作。配合省大数据和大数据发展中心部门发布的系统漏洞、系统风险通知，积极响应，组织、沟通协作各方相关人员，及时排查涉及的服务器、数据库、应用等，及时对系统漏洞、系统风险进行修复。提供历史漏洞修复记录和系统风险应对方案，体现对系统演变过程中安全策略的熟悉，并能快速定位历史版本可能引入的安全隐患。</w:t>
      </w:r>
    </w:p>
    <w:p w14:paraId="0390E6F0">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云资源策略维护。按照业务单位管理要求及应用使用需求，按需维护资源，协助业主单位完成云资源申请相关材料，对资源进行新增、升配、降配、释放、端口变更等运维。</w:t>
      </w:r>
    </w:p>
    <w:p w14:paraId="2FDFECB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技术培训服务。因地方人员调整对系统操作不熟，提供培训指导服务，包括远程协助、电话等方式指导操作。</w:t>
      </w:r>
    </w:p>
    <w:p w14:paraId="56082B66">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服务要求</w:t>
      </w:r>
    </w:p>
    <w:p w14:paraId="04B26451">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服务过程要求</w:t>
      </w:r>
    </w:p>
    <w:p w14:paraId="6430600C">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原系统基础技术框架开展系统维护，在运维实施过程中应尽可能小的影响原系统和网络的正常运行，做好备份和应急措施,不能对当前应用系统的正常运行产生影响，包括系统性能明显下降、网络拥塞、服务中断等，如无法避免出现这些情况应先停止项目实施，并向用户方书面详细描述。</w:t>
      </w:r>
    </w:p>
    <w:p w14:paraId="01A6990C">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1817AF63">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保障与“浙江乡村大脑”对接工作，实现“浙江乡村大脑”统一门户进入，统一用户接入和数据归集。</w:t>
      </w:r>
    </w:p>
    <w:p w14:paraId="72DCED65">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服务人员要求</w:t>
      </w:r>
    </w:p>
    <w:p w14:paraId="64418765">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资质与能力要求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要求成立专属运维项目组，核心成员全程驻场服务。项目组成员具有省级农业农村政务系统开发或运维工作经验。服务方近3年有3个以上省级农业农村政务系统运维项目经验。</w:t>
      </w:r>
    </w:p>
    <w:p w14:paraId="78FCECF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工作规范要求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系统运行提供7x24小时电话/微信/浙政钉的响应，支持对业务系统的应用支持和系统相关的技术问题解答；用户在使用系统时如遇到问题，都可以得到相应的支持与帮助；接到服务请求后20分钟内给予响应和答复，提供故障诊断分析和解决方案；对于远程不能解决的故障会派驻具体工程人员现场解决。确保系统现有的各项业务功能正常使用。</w:t>
      </w:r>
    </w:p>
    <w:p w14:paraId="5AA35A4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稳定性要求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需设有</w:t>
      </w:r>
      <w:r>
        <w:rPr>
          <w:rFonts w:hint="eastAsia"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rPr>
        <w:t>运维团队，项目</w:t>
      </w:r>
      <w:r>
        <w:rPr>
          <w:rFonts w:hint="eastAsia" w:ascii="仿宋_GB2312" w:hAnsi="仿宋_GB2312" w:eastAsia="仿宋_GB2312" w:cs="仿宋_GB2312"/>
          <w:sz w:val="32"/>
          <w:szCs w:val="32"/>
          <w:lang w:val="en-US" w:eastAsia="zh-CN"/>
        </w:rPr>
        <w:t>驻点人员2</w:t>
      </w:r>
      <w:r>
        <w:rPr>
          <w:rFonts w:hint="eastAsia" w:ascii="仿宋_GB2312" w:hAnsi="仿宋_GB2312" w:eastAsia="仿宋_GB2312" w:cs="仿宋_GB2312"/>
          <w:sz w:val="32"/>
          <w:szCs w:val="32"/>
        </w:rPr>
        <w:t>人，且团队需具备7*24小时驻场响应能力。</w:t>
      </w:r>
    </w:p>
    <w:p w14:paraId="0EA8B4C4">
      <w:pPr>
        <w:spacing w:line="64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八</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color w:val="000000" w:themeColor="text1"/>
          <w:sz w:val="32"/>
          <w:szCs w:val="32"/>
          <w14:textFill>
            <w14:solidFill>
              <w14:schemeClr w14:val="tx1"/>
            </w14:solidFill>
          </w14:textFill>
        </w:rPr>
        <w:t>浙农机维护</w:t>
      </w:r>
    </w:p>
    <w:p w14:paraId="2D8E879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运维围绕浙江省农机相关业务系统开展，涵盖农机业务与安全监理系统维护、功能迭代、数据实施与维护、日常运维服务及云资源实施，全方位保障全省农机管理、补贴办理、农事服务、安全监理等业务安全稳定高效运行。</w:t>
      </w:r>
    </w:p>
    <w:p w14:paraId="29AD2E1B">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运维服务内容</w:t>
      </w:r>
    </w:p>
    <w:p w14:paraId="166FC3B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农机业务系统维护</w:t>
      </w:r>
    </w:p>
    <w:p w14:paraId="6112D7C2">
      <w:pPr>
        <w:spacing w:line="6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Calibri" w:hAnsi="Calibri" w:eastAsia="仿宋_GB2312" w:cs="Calibri"/>
          <w:color w:val="000000" w:themeColor="text1"/>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农机业务系统维护</w:t>
      </w:r>
    </w:p>
    <w:p w14:paraId="3E689C0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各类应用服务接口运行服务保障。确保各类调用服务可正常运行，在发生数据异常，可及时响应及处置，确保应用数据及时、有效展示及统计。</w:t>
      </w:r>
    </w:p>
    <w:p w14:paraId="2AB126BA">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浙江省农机购置与应用补贴信息公开专栏官网及配套管理平台的服务保障。确保县区、地市及省等各级农机购置补贴主管部门专栏信息发布与查阅，以及支持已发布信息的可被正确共享。</w:t>
      </w:r>
    </w:p>
    <w:p w14:paraId="50377E47">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代化农事服务中心星级认定申报及管理平台的服务保障。确保星级评分认定申报、县区初评、地市审核、第三方检查评分、省级审核及最终公示公布等业务功能正常运行，实现申请到认定公布等闭环的服务全流程的信息化。掌握历年星级认定标准的变化，确保申报表单和审核流程的调整不影响历史申报数据的完整性和一致性，并能提供历史认定数据的统计分析支持。</w:t>
      </w:r>
    </w:p>
    <w:p w14:paraId="7202FC1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事服务中心农事需求对接业务的服务保障。熟练掌握需求对接业务场景，绘制需求对接业务场景流程图。确保农户侧可正常预约农事，享受预约服务；农事服务中心农事预约受理、派工及完成等订单业务正常开展。</w:t>
      </w:r>
    </w:p>
    <w:p w14:paraId="32E74B73">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生产作业应用场景的业务的服务保障。熟练掌握生产作业应用场景，绘制生产作业应用场景流程图。确保农事服务主体、农时填报及跨区调度、农机机具实时动态、服务排行以及财政投入等子功能服务正常运行。</w:t>
      </w:r>
    </w:p>
    <w:p w14:paraId="65FA8F9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Calibri" w:hAnsi="Calibri" w:eastAsia="仿宋_GB2312" w:cs="Calibri"/>
          <w:color w:val="000000" w:themeColor="text1"/>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农机安全监理系统维护</w:t>
      </w:r>
    </w:p>
    <w:p w14:paraId="40F035F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农机安全监理业务。维护拖拉机、联合收割机驾驶证的申领、补还、补领、增驾等业务，以及拖拉机</w:t>
      </w:r>
      <w:r>
        <w:rPr>
          <w:rFonts w:ascii="仿宋_GB2312" w:hAnsi="仿宋_GB2312" w:eastAsia="仿宋_GB2312" w:cs="仿宋_GB2312"/>
          <w:color w:val="000000" w:themeColor="text1"/>
          <w:sz w:val="32"/>
          <w:szCs w:val="32"/>
          <w14:textFill>
            <w14:solidFill>
              <w14:schemeClr w14:val="tx1"/>
            </w14:solidFill>
          </w14:textFill>
        </w:rPr>
        <w:t>和联合收割机</w:t>
      </w:r>
      <w:r>
        <w:rPr>
          <w:rFonts w:hint="eastAsia" w:ascii="仿宋_GB2312" w:hAnsi="仿宋_GB2312" w:eastAsia="仿宋_GB2312" w:cs="仿宋_GB2312"/>
          <w:color w:val="000000" w:themeColor="text1"/>
          <w:sz w:val="32"/>
          <w:szCs w:val="32"/>
          <w14:textFill>
            <w14:solidFill>
              <w14:schemeClr w14:val="tx1"/>
            </w14:solidFill>
          </w14:textFill>
        </w:rPr>
        <w:t>年检的业务办理。</w:t>
      </w:r>
    </w:p>
    <w:p w14:paraId="206C6B9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农业机械品牌型号库。拖拉机、拖拉机运输机组、联合收割机、生产企业信息管理功能维护，配合主管部门针对错误业务数据进行纠错，保障主体、机具业务质量。</w:t>
      </w:r>
    </w:p>
    <w:p w14:paraId="6729B12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农机管理。拖拉机、联合收割机驾驶人员的驾驶证注销、超龄注销、违规人员管理和拖拉机、联合收割机的报废注销、年检通知、注销抵押的业务维护。</w:t>
      </w:r>
    </w:p>
    <w:p w14:paraId="5A8064C5">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农机考试。配合主管部门定期更新考试题库，保障考场配置和成绩单打印功能正常运行。</w:t>
      </w:r>
    </w:p>
    <w:p w14:paraId="48B4426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农机执法。定期更新道路外违规人员相关信息。</w:t>
      </w:r>
    </w:p>
    <w:p w14:paraId="4C0B6D3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政务服务中台事项。农田拖拉机、联合收割机申领、年检、增驾、补领等22个服务事项维护，事项清单如下：</w:t>
      </w:r>
    </w:p>
    <w:p w14:paraId="4E8DF57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tbl>
      <w:tblPr>
        <w:tblStyle w:val="20"/>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7032"/>
      </w:tblGrid>
      <w:tr w14:paraId="791D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2CB482B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序号</w:t>
            </w:r>
          </w:p>
        </w:tc>
        <w:tc>
          <w:tcPr>
            <w:tcW w:w="7032" w:type="dxa"/>
            <w:vAlign w:val="center"/>
          </w:tcPr>
          <w:p w14:paraId="173F4F2A">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服务事项</w:t>
            </w:r>
          </w:p>
        </w:tc>
      </w:tr>
      <w:tr w14:paraId="4CC9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6CFC738A">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7032" w:type="dxa"/>
            <w:vAlign w:val="center"/>
          </w:tcPr>
          <w:p w14:paraId="2CA9E859">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农田拖拉机、联合收割机年检</w:t>
            </w:r>
          </w:p>
        </w:tc>
      </w:tr>
      <w:tr w14:paraId="3E5A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1DA6B8CA">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032" w:type="dxa"/>
            <w:vAlign w:val="center"/>
          </w:tcPr>
          <w:p w14:paraId="4F3B7970">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上道路行驶拖拉机年检</w:t>
            </w:r>
          </w:p>
        </w:tc>
      </w:tr>
      <w:tr w14:paraId="5D09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47DAD606">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7032" w:type="dxa"/>
            <w:vAlign w:val="center"/>
          </w:tcPr>
          <w:p w14:paraId="27459C13">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拖拉机、联合收割机操作人员操作证件核发（申领）</w:t>
            </w:r>
          </w:p>
        </w:tc>
      </w:tr>
      <w:tr w14:paraId="47F9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32B4B5E6">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7032" w:type="dxa"/>
            <w:vAlign w:val="center"/>
          </w:tcPr>
          <w:p w14:paraId="783F934D">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拖拉机、联合收割机操作人员操作证件核发（增驾）</w:t>
            </w:r>
          </w:p>
        </w:tc>
      </w:tr>
      <w:tr w14:paraId="61C6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0952845E">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7032" w:type="dxa"/>
            <w:vAlign w:val="center"/>
          </w:tcPr>
          <w:p w14:paraId="55FBFF41">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拖拉机、联合收割机操作人员操作证件核发（补领）</w:t>
            </w:r>
          </w:p>
        </w:tc>
      </w:tr>
      <w:tr w14:paraId="247A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61449DEE">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7032" w:type="dxa"/>
            <w:vAlign w:val="center"/>
          </w:tcPr>
          <w:p w14:paraId="2BB0D91B">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拖拉机、联合收割机操作人员恢复驾驶资格换证</w:t>
            </w:r>
          </w:p>
        </w:tc>
      </w:tr>
      <w:tr w14:paraId="65D7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42DFFA8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7032" w:type="dxa"/>
            <w:vAlign w:val="center"/>
          </w:tcPr>
          <w:p w14:paraId="5B69131D">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拖拉机、联合收割机操作人员驾驶证补换证</w:t>
            </w:r>
          </w:p>
        </w:tc>
      </w:tr>
      <w:tr w14:paraId="3240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6BE0EF4A">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7032" w:type="dxa"/>
            <w:vAlign w:val="center"/>
          </w:tcPr>
          <w:p w14:paraId="04B68A91">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拖拉机、联合收割机操作人员驾驶证省外转入换证</w:t>
            </w:r>
          </w:p>
        </w:tc>
      </w:tr>
      <w:tr w14:paraId="7744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376A7C19">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7032" w:type="dxa"/>
            <w:vAlign w:val="center"/>
          </w:tcPr>
          <w:p w14:paraId="4E77EF12">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拖拉机、联合收割机操作人员驾驶证转出省外换证</w:t>
            </w:r>
          </w:p>
        </w:tc>
      </w:tr>
      <w:tr w14:paraId="3350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49164F3D">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7032" w:type="dxa"/>
            <w:vAlign w:val="center"/>
          </w:tcPr>
          <w:p w14:paraId="77E13520">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申请拖拉机、联合收割机档案封存或解封</w:t>
            </w:r>
          </w:p>
        </w:tc>
      </w:tr>
      <w:tr w14:paraId="1D55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0A51302D">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w:t>
            </w:r>
          </w:p>
        </w:tc>
        <w:tc>
          <w:tcPr>
            <w:tcW w:w="7032" w:type="dxa"/>
            <w:vAlign w:val="center"/>
          </w:tcPr>
          <w:p w14:paraId="4E7449F1">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申请拖拉机、联合收割机证书及其牌照注销登记</w:t>
            </w:r>
          </w:p>
        </w:tc>
      </w:tr>
      <w:tr w14:paraId="15E4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567F34AE">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w:t>
            </w:r>
          </w:p>
        </w:tc>
        <w:tc>
          <w:tcPr>
            <w:tcW w:w="7032" w:type="dxa"/>
            <w:vAlign w:val="center"/>
          </w:tcPr>
          <w:p w14:paraId="4EFDF602">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拖拉机、联合收割机登记、证书和牌照核发（注册）</w:t>
            </w:r>
          </w:p>
        </w:tc>
      </w:tr>
      <w:tr w14:paraId="788F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1063A6E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w:t>
            </w:r>
          </w:p>
        </w:tc>
        <w:tc>
          <w:tcPr>
            <w:tcW w:w="7032" w:type="dxa"/>
            <w:vAlign w:val="center"/>
          </w:tcPr>
          <w:p w14:paraId="58580E17">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拖拉机、联合收割机登记、证书和牌照核发（转移）</w:t>
            </w:r>
          </w:p>
        </w:tc>
      </w:tr>
      <w:tr w14:paraId="3E07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173FE13B">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w:t>
            </w:r>
          </w:p>
        </w:tc>
        <w:tc>
          <w:tcPr>
            <w:tcW w:w="7032" w:type="dxa"/>
            <w:vAlign w:val="center"/>
          </w:tcPr>
          <w:p w14:paraId="754B372F">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拖拉机、联合收割机登记信息变更</w:t>
            </w:r>
          </w:p>
        </w:tc>
      </w:tr>
      <w:tr w14:paraId="3395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5F48A058">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w:t>
            </w:r>
          </w:p>
        </w:tc>
        <w:tc>
          <w:tcPr>
            <w:tcW w:w="7032" w:type="dxa"/>
            <w:vAlign w:val="center"/>
          </w:tcPr>
          <w:p w14:paraId="2306EB94">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拖拉机、联合收割机登记证书换、补领</w:t>
            </w:r>
          </w:p>
        </w:tc>
      </w:tr>
      <w:tr w14:paraId="1D8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6FC96007">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w:t>
            </w:r>
          </w:p>
        </w:tc>
        <w:tc>
          <w:tcPr>
            <w:tcW w:w="7032" w:type="dxa"/>
            <w:vAlign w:val="center"/>
          </w:tcPr>
          <w:p w14:paraId="431E8C15">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拖拉机、联合收割机行驶证换、补领</w:t>
            </w:r>
          </w:p>
        </w:tc>
      </w:tr>
      <w:tr w14:paraId="7EAD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4ACEACD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17</w:t>
            </w:r>
          </w:p>
        </w:tc>
        <w:tc>
          <w:tcPr>
            <w:tcW w:w="7032" w:type="dxa"/>
            <w:vAlign w:val="center"/>
          </w:tcPr>
          <w:p w14:paraId="69A04613">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拖拉机、联合收割机号牌换、补领</w:t>
            </w:r>
          </w:p>
        </w:tc>
      </w:tr>
      <w:tr w14:paraId="1AA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54CE6CF7">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w:t>
            </w:r>
          </w:p>
        </w:tc>
        <w:tc>
          <w:tcPr>
            <w:tcW w:w="7032" w:type="dxa"/>
            <w:vAlign w:val="center"/>
          </w:tcPr>
          <w:p w14:paraId="2A0E30D4">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拖拉机、联合收割机迁出变更</w:t>
            </w:r>
          </w:p>
        </w:tc>
      </w:tr>
      <w:tr w14:paraId="242A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14371DB4">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w:t>
            </w:r>
          </w:p>
        </w:tc>
        <w:tc>
          <w:tcPr>
            <w:tcW w:w="7032" w:type="dxa"/>
            <w:vAlign w:val="center"/>
          </w:tcPr>
          <w:p w14:paraId="7348693F">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拖拉机、联合收割机申请抵押</w:t>
            </w:r>
          </w:p>
        </w:tc>
      </w:tr>
      <w:tr w14:paraId="42E1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4F49D275">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w:t>
            </w:r>
          </w:p>
        </w:tc>
        <w:tc>
          <w:tcPr>
            <w:tcW w:w="7032" w:type="dxa"/>
            <w:vAlign w:val="center"/>
          </w:tcPr>
          <w:p w14:paraId="0EF34643">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拖拉机、联合收割机申请注销抵押</w:t>
            </w:r>
          </w:p>
        </w:tc>
      </w:tr>
      <w:tr w14:paraId="279D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019AF2EB">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w:t>
            </w:r>
          </w:p>
        </w:tc>
        <w:tc>
          <w:tcPr>
            <w:tcW w:w="7032" w:type="dxa"/>
            <w:vAlign w:val="center"/>
          </w:tcPr>
          <w:p w14:paraId="358762FF">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拖拉机、联合收割机整机或主要部件变更</w:t>
            </w:r>
          </w:p>
        </w:tc>
      </w:tr>
      <w:tr w14:paraId="5DEA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75" w:type="dxa"/>
            <w:vAlign w:val="center"/>
          </w:tcPr>
          <w:p w14:paraId="38DEC2E5">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w:t>
            </w:r>
          </w:p>
        </w:tc>
        <w:tc>
          <w:tcPr>
            <w:tcW w:w="7032" w:type="dxa"/>
            <w:vAlign w:val="center"/>
          </w:tcPr>
          <w:p w14:paraId="6ED62228">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拖拉机、联合收割机转入变更</w:t>
            </w:r>
          </w:p>
        </w:tc>
      </w:tr>
    </w:tbl>
    <w:p w14:paraId="6A0BFD83">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Calibri" w:hAnsi="Calibri" w:eastAsia="仿宋_GB2312" w:cs="Calibri"/>
          <w:color w:val="000000" w:themeColor="text1"/>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系统功能迭代服务</w:t>
      </w:r>
    </w:p>
    <w:p w14:paraId="1661964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浙农机应用浙政钉端机具核验模块增加核验工作流，以及设置不同的核验标准，实现可依据不同的机具动态设置不同的核验参数。核验提交后，支持PC端查询和导出，以及支持数据回流到购置补贴系统。</w:t>
      </w:r>
    </w:p>
    <w:p w14:paraId="1AD004E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农机企业摸排功能开发。完成农机装备产业摸排报表开发，涉及主体基本信息、农机服务占比、年产值、进出口等，实现主体自主提交。</w:t>
      </w:r>
    </w:p>
    <w:p w14:paraId="238F4C2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数据实施与维护</w:t>
      </w:r>
    </w:p>
    <w:p w14:paraId="511439E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浙江省一体化数字资源系统（IRS），维护上道路行驶拖拉机年检信息(新)、农田拖拉机、联合收割机年检信息、拖拉机、联合收割机登记证书版、拖拉机、联合收割机登记证书，浙江省农田拖拉机、联合收割机处罚信息资源目录，形成数据资源清单，保障数据定期归集，配合建设单位完成异常数据答疑、处置等。</w:t>
      </w:r>
    </w:p>
    <w:p w14:paraId="6AE9616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浙江乡村大脑数据推送程序维护。梳理数据推送清单明确数据推送程序维护方案。保障驾驶证补换领信息、行驶证信息、行驶证变更记录、行驶证年检记录、驾驶证信息、驾驶证增驾记录、驾驶证申领记录、驾驶证补领记录数据目录按照业务频率通过数据归集接口，归集至浙江乡村大脑，配合业务单位按需开展数据共享服务工作。需掌握推送程序的历史版本兼容性，确保新推送逻辑不影响历史数据的再次推送或修正，并能提供推送历史日志备查。</w:t>
      </w:r>
    </w:p>
    <w:p w14:paraId="1DFE667D">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机购置补贴和农业机械实验鉴定接口维护。定期维护补贴产品、购机补贴申请记录、购机补贴受理记录、封闭产品、补贴资金情况、生产企业档案、经销商档案、分类分档接口、农户数据接口、申请办理时长信息、鉴定证书数据等程序接口，输出接口维护清单及维护实施方案，防止接口调用超时，保障系统数据贯通。</w:t>
      </w:r>
    </w:p>
    <w:p w14:paraId="4F67C3AD">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技术支持服务</w:t>
      </w:r>
    </w:p>
    <w:p w14:paraId="7802F1B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技术咨询。通过电话、微信、浙政钉等通讯工具，支撑新老用户就系统使用问题和业务进行咨询答疑、操作指导、技术支持，以及电脑远程操作指导等。</w:t>
      </w:r>
    </w:p>
    <w:p w14:paraId="276BD58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权限配置。根据人员角色调整进行相应权限新增及修改等，提供省级管理各部门及全省各市县管理部门日常咨询指导，用户账号添加、密码重置、信息删除、修改。</w:t>
      </w:r>
    </w:p>
    <w:p w14:paraId="553583B6">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重大及重点工作。配合业务单位做好重大活动、网络安全普查、渗透测试、攻防演练、漏洞扫描、应急演练等专项服务的支撑保障工作。配合省大数据和大数据发展中心部门发布的系统漏洞、系统风险通知，积极响应，组织、沟通协作各方相关人员，及时排查涉及的服务器、数据库、应用等，及时对系统漏洞、系统风险进行修复。提供历史漏洞修复记录和系统风险应对方案，体现对系统演变过程中安全策略的熟悉，并能快速定位历史版本可能引入的安全隐患。</w:t>
      </w:r>
    </w:p>
    <w:p w14:paraId="4841322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云资源策略维护。按照业务单位管理要求及应用使用需求，按需维护资源，协助业主单位完成云资源申请相关材料，对资源进行新增、升配、降配、释放、端口变更等运维。</w:t>
      </w:r>
    </w:p>
    <w:p w14:paraId="2176D2CD">
      <w:pPr>
        <w:spacing w:line="640" w:lineRule="exact"/>
        <w:ind w:firstLine="643" w:firstLineChars="200"/>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巡检服务</w:t>
      </w:r>
    </w:p>
    <w:p w14:paraId="4260956B">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在维护期内，投标人需提供的巡检服务内容。巡检内容如下：</w:t>
      </w:r>
    </w:p>
    <w:p w14:paraId="3D638A88">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故障修复。定期巡检系统功能和相关反馈情况，以及监控软件、巡检发现的异常（例如服务器故障、数据库故障、应用BUG、应用离线等），详细记录故障并及时做好故障修复，确保系统稳定运行。</w:t>
      </w:r>
    </w:p>
    <w:p w14:paraId="0F21CB47">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服务器补丁升级。定期检查操作系统是否存在补丁，并更新补丁。</w:t>
      </w:r>
    </w:p>
    <w:p w14:paraId="003D18C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服务器安全软件检查。检查云服务器有无杀毒安全软件，确认安全软件是否正常运行，设置密码保护密码，及时更新病毒库。检查并及时升级运维工具，及时更新、清理运维工具记住的用户和密码。</w:t>
      </w:r>
    </w:p>
    <w:p w14:paraId="2CA937DE">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技术框架升级。定期对底层框架升级，用于解决信息安全方面的漏洞，定期系统日志及性能维护，巡视数据管理的日志，进行日志分析和清空工作。</w:t>
      </w:r>
    </w:p>
    <w:p w14:paraId="5AC25745">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4.</w:t>
      </w:r>
      <w:r>
        <w:rPr>
          <w:rFonts w:hint="default" w:ascii="仿宋_GB2312" w:hAnsi="仿宋_GB2312" w:eastAsia="仿宋_GB2312" w:cs="仿宋_GB2312"/>
          <w:b/>
          <w:bCs/>
          <w:color w:val="000000" w:themeColor="text1"/>
          <w:sz w:val="32"/>
          <w:szCs w:val="32"/>
          <w14:textFill>
            <w14:solidFill>
              <w14:schemeClr w14:val="tx1"/>
            </w14:solidFill>
          </w14:textFill>
        </w:rPr>
        <w:t>服务要求</w:t>
      </w:r>
    </w:p>
    <w:p w14:paraId="03E600C2">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服务过程要求</w:t>
      </w:r>
    </w:p>
    <w:p w14:paraId="0BBE6999">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原系统基础技术框架开展系统维护，在运维实施过程中应尽可能小的影响原系统和网络的正常运行，做好备份和应急措施,不能对当前应用系统的正常运行产生影响，包括系统性能明显下降、网络拥塞、服务中断等，如无法避免出现这些情况应先停止项目实施，并向用户方书面详细描述。</w:t>
      </w:r>
    </w:p>
    <w:p w14:paraId="215EAC9C">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214A940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保障与“浙江乡村大脑”对接工作，实现“浙江乡村大脑”统一门户进入，统一用户接入和数据归集。</w:t>
      </w:r>
    </w:p>
    <w:p w14:paraId="0A8CFF14">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服务人员要求</w:t>
      </w:r>
    </w:p>
    <w:p w14:paraId="353C8287">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资质与能力要求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要求成立专属运维项目组。项目组成员具有省级农业农村政务系统开发或运维工作经验。</w:t>
      </w:r>
    </w:p>
    <w:p w14:paraId="13CE7B5F">
      <w:pPr>
        <w:spacing w:line="6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工作规范要求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运维方需基于原系统技术框架开展系统运维，不能对当前应用系统的正常运行产生影响。为系统运行提供7 x 24小时电话/微信/浙政钉的响应，支持对业务系统的应用支持和系统相关的技术问题解答；用户在使用系统时如遇到问题，都可以得到相应的支持与帮助；接到服务请求后20分钟内给予响应和答复，提供故障诊断分析和解决方案；对于远程不能解决的故障会派驻具体工程人员现场解决。确保系统现有的各项业务功能正常使用。</w:t>
      </w:r>
    </w:p>
    <w:p w14:paraId="000A054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稳定性要求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需设有</w:t>
      </w:r>
      <w:r>
        <w:rPr>
          <w:rFonts w:hint="eastAsia"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rPr>
        <w:t>运维团队，项目</w:t>
      </w:r>
      <w:r>
        <w:rPr>
          <w:rFonts w:hint="eastAsia" w:ascii="仿宋_GB2312" w:hAnsi="仿宋_GB2312" w:eastAsia="仿宋_GB2312" w:cs="仿宋_GB2312"/>
          <w:sz w:val="32"/>
          <w:szCs w:val="32"/>
          <w:lang w:val="en-US" w:eastAsia="zh-CN"/>
        </w:rPr>
        <w:t>驻点人员</w:t>
      </w:r>
      <w:r>
        <w:rPr>
          <w:rFonts w:hint="eastAsia" w:ascii="仿宋_GB2312" w:hAnsi="仿宋_GB2312" w:eastAsia="仿宋_GB2312" w:cs="仿宋_GB2312"/>
          <w:sz w:val="32"/>
          <w:szCs w:val="32"/>
        </w:rPr>
        <w:t>1人，且团队需具备7*24小时驻场响应能力。</w:t>
      </w:r>
    </w:p>
    <w:p w14:paraId="3CAE459C">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rPr>
        <w:t>浙农田维护</w:t>
      </w:r>
    </w:p>
    <w:p w14:paraId="51DB387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农田”应用是浙江省数字化改革“152”体系数字政府系统中的重要应用场景。系统将高标准农田建设管护和粮食生产纳入统一平台进行数字化管理，旨在实现“以图管地、以地保粮”，通过集成整合各类农田空间与属性数据，构建全省农田“一张图”，全面掌握农田空间分布、质量等级、建设潜力与粮食生产情况，支撑日常调度、监测评价、用途管制等核心业务。</w:t>
      </w:r>
    </w:p>
    <w:p w14:paraId="07ED1C8D">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1.</w:t>
      </w:r>
      <w:r>
        <w:rPr>
          <w:rFonts w:hint="default" w:ascii="仿宋_GB2312" w:hAnsi="仿宋_GB2312" w:eastAsia="仿宋_GB2312" w:cs="仿宋_GB2312"/>
          <w:b/>
          <w:bCs/>
          <w:color w:val="000000" w:themeColor="text1"/>
          <w:sz w:val="32"/>
          <w:szCs w:val="32"/>
          <w14:textFill>
            <w14:solidFill>
              <w14:schemeClr w14:val="tx1"/>
            </w14:solidFill>
          </w14:textFill>
        </w:rPr>
        <w:t>运维服务内容</w:t>
      </w:r>
    </w:p>
    <w:p w14:paraId="5DFFFEA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数据更新</w:t>
      </w:r>
    </w:p>
    <w:p w14:paraId="50F3D0C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农田时空数据库更新。对外部系统的高标准农田、耕地撂荒等部分数据，按标准规范进行清洗、加工、整理及入库，运维更新浙农田时空数据库。</w:t>
      </w:r>
    </w:p>
    <w:p w14:paraId="1CF63E9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数据接口服务更新运维. 已有对外其他业务系统服务调用的接口的更新。</w:t>
      </w:r>
    </w:p>
    <w:p w14:paraId="31C67F7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应用系统运维</w:t>
      </w:r>
    </w:p>
    <w:p w14:paraId="55A932EC">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①</w:t>
      </w:r>
      <w:r>
        <w:rPr>
          <w:rFonts w:hint="eastAsia" w:ascii="仿宋_GB2312" w:hAnsi="仿宋_GB2312" w:eastAsia="仿宋_GB2312" w:cs="仿宋_GB2312"/>
          <w:sz w:val="32"/>
          <w:szCs w:val="32"/>
        </w:rPr>
        <w:t>驾驶舱维护和优化</w:t>
      </w:r>
    </w:p>
    <w:p w14:paraId="6288719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总舱：驾驶舱内高标准农田、耕地质量、粮食生产功能区等各模块页面及功能运维更新，保障对应业务稳定运行；</w:t>
      </w:r>
    </w:p>
    <w:p w14:paraId="5641F00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粮食生产功能区子舱：粮功区优化调整和粮功区储备区页面更新功能的维护，保障对应业务稳定运行；</w:t>
      </w:r>
    </w:p>
    <w:p w14:paraId="38A28CC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高标准农田子舱。做好年度建设任务、项目实施、验收管理、监督评价、预警及评价指数等模块维护更新，保障对应业务稳定运行。</w:t>
      </w:r>
    </w:p>
    <w:p w14:paraId="5C35081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耕地质量子舱：根据系统运行情况，对该模块相关显示布局进行微调，为功能点的优化的运维，保障对应业务稳定运行；</w:t>
      </w:r>
    </w:p>
    <w:p w14:paraId="411FA7B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农田服务子舱：根据系统运行情况，对农田服务相关显示布局进行微调，保障对应业务稳定运行。</w:t>
      </w:r>
    </w:p>
    <w:p w14:paraId="00046B7F">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②</w:t>
      </w:r>
      <w:r>
        <w:rPr>
          <w:rFonts w:hint="eastAsia" w:ascii="仿宋_GB2312" w:hAnsi="仿宋_GB2312" w:eastAsia="仿宋_GB2312" w:cs="仿宋_GB2312"/>
          <w:sz w:val="32"/>
          <w:szCs w:val="32"/>
        </w:rPr>
        <w:t>农田信息“一张图”应用维护及优化</w:t>
      </w:r>
    </w:p>
    <w:p w14:paraId="1824233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根据该模块运行情况，根据需要对系统中农田空间浏览查询、农田数据综合监测和农田质量建设与产能提升关联挖掘分析相关功能进行调整，为功能点的优化迭代而进行的一般性技术开发。</w:t>
      </w:r>
    </w:p>
    <w:p w14:paraId="18B9B97E">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③</w:t>
      </w:r>
      <w:r>
        <w:rPr>
          <w:rFonts w:hint="eastAsia" w:ascii="仿宋_GB2312" w:hAnsi="仿宋_GB2312" w:eastAsia="仿宋_GB2312" w:cs="仿宋_GB2312"/>
          <w:sz w:val="32"/>
          <w:szCs w:val="32"/>
        </w:rPr>
        <w:t>粮食生产功能区管护应用维护及优化</w:t>
      </w:r>
    </w:p>
    <w:p w14:paraId="59862A4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该模块运行情况，根据需要对农田用途管控的举报受理、处置、反馈以及农田实地监管服务业务功能进行优化维护；优化粮食生产功能区补审核管理应用中的业务流程和报表生成等，为功能点的优化而进行的一般性技术开发。</w:t>
      </w:r>
    </w:p>
    <w:p w14:paraId="28A0C105">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④农田建设管理应用维护及优化</w:t>
      </w:r>
    </w:p>
    <w:p w14:paraId="36390CDC">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农田建设项目储备库管理。根据该模块运行情况，根据需要</w:t>
      </w:r>
      <w:r>
        <w:rPr>
          <w:rFonts w:hint="eastAsia" w:ascii="仿宋_GB2312" w:hAnsi="仿宋_GB2312" w:eastAsia="仿宋_GB2312" w:cs="仿宋_GB2312"/>
          <w:sz w:val="32"/>
          <w:szCs w:val="32"/>
        </w:rPr>
        <w:t>对建设项目储备库中出入库流程优化、填报内容优化等内容进行更新维护，为功能点的优化而进行的一般性技术开发，保障业务正常运行。</w:t>
      </w:r>
    </w:p>
    <w:p w14:paraId="0F83F4D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高标准农田新建项目管理优化及维护。根据该模块运行情况，根据需要对建设项目填报流程优化、填报内容优化、统计分析等内容进行更新维护，保障业务正常运行。</w:t>
      </w:r>
    </w:p>
    <w:p w14:paraId="033CB8F3">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⑤农田服务维护及优化</w:t>
      </w:r>
    </w:p>
    <w:p w14:paraId="3476EE5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根据该模块运行情况，对查地服务、报修服务、施肥服务、举报服务、政策服务和信息服务等内容进行更新维护，为功能点的优化而进行的一般性技术开发，保障业务正常运行。</w:t>
      </w:r>
    </w:p>
    <w:p w14:paraId="16BD3ABD">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2.</w:t>
      </w:r>
      <w:r>
        <w:rPr>
          <w:rFonts w:hint="default" w:ascii="仿宋_GB2312" w:hAnsi="仿宋_GB2312" w:eastAsia="仿宋_GB2312" w:cs="仿宋_GB2312"/>
          <w:b/>
          <w:bCs/>
          <w:color w:val="000000" w:themeColor="text1"/>
          <w:sz w:val="32"/>
          <w:szCs w:val="32"/>
          <w14:textFill>
            <w14:solidFill>
              <w14:schemeClr w14:val="tx1"/>
            </w14:solidFill>
          </w14:textFill>
        </w:rPr>
        <w:t>技术支持服务</w:t>
      </w:r>
    </w:p>
    <w:p w14:paraId="691F152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系统日常维护</w:t>
      </w:r>
    </w:p>
    <w:p w14:paraId="3BF0072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技术咨询。通过电话、微信、浙政钉等通讯工具，支撑新老用户就系统使用问题和业务进行咨询答疑、操作指导、技术支持，以及电脑远程操作指导等。</w:t>
      </w:r>
    </w:p>
    <w:p w14:paraId="349CFA8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故障修复。定期巡检系统功能和相关反馈情况，以及监控软件、巡检发现的异常，详细记录故障并及时做好故障修复，确保系统稳定运行。</w:t>
      </w:r>
    </w:p>
    <w:p w14:paraId="1F7A33C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权限配置。根据人员角色调整进行相应权限新增及修改等，提供省级管理各部门及全省各市县管理部门日常咨询指导，用户账号添加、密码重置、信息删除、修改。</w:t>
      </w:r>
    </w:p>
    <w:p w14:paraId="694AAC4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及重点工作配合。配合业务单位做好重大活动、网络安全检查、渗透测试、攻防演练、漏洞扫描、应急演练等专项服务的支撑保障工作。配合省大数据和大数据发展中心部门发布的系统漏洞、系统风险通知，积极响应，组织、沟通协作各方相关人员，及时排查涉及的服务器、数据库、应用等，及时对系统漏洞、系统风险进行修复。</w:t>
      </w:r>
    </w:p>
    <w:p w14:paraId="780DB87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技术框架升级。定期对底层框架升级、进行系统日志及性能维护，巡视数据管理的日志。</w:t>
      </w:r>
    </w:p>
    <w:p w14:paraId="212C215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云资源维护</w:t>
      </w:r>
    </w:p>
    <w:p w14:paraId="475FB9B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服务器补丁升级。定期检查操作系统是否存在补丁，并更新补丁。检查服务器桌面是否存在临时文件，并删除临时文件。</w:t>
      </w:r>
    </w:p>
    <w:p w14:paraId="4236B80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安全软件检查。检查云服务器有无杀毒安全软件，确认安全软件是否正常运行，设置密码保护密码，及时更新病毒库。检查并及时升级运维工具，及时更新、清理运维工具记住的用户和密码。</w:t>
      </w:r>
    </w:p>
    <w:p w14:paraId="429383C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云资源维护。按照业务单位云资源管理要求及应用使用需求，按需维护资源，协助业主单位完成云资源申请相关材料，对资源进行新增、升配、降配、释放、端口变更等运维工作。</w:t>
      </w:r>
    </w:p>
    <w:p w14:paraId="3B93E1BA">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3.</w:t>
      </w:r>
      <w:r>
        <w:rPr>
          <w:rFonts w:hint="default" w:ascii="仿宋_GB2312" w:hAnsi="仿宋_GB2312" w:eastAsia="仿宋_GB2312" w:cs="仿宋_GB2312"/>
          <w:b/>
          <w:bCs/>
          <w:color w:val="000000" w:themeColor="text1"/>
          <w:sz w:val="32"/>
          <w:szCs w:val="32"/>
          <w14:textFill>
            <w14:solidFill>
              <w14:schemeClr w14:val="tx1"/>
            </w14:solidFill>
          </w14:textFill>
        </w:rPr>
        <w:t>服务要求</w:t>
      </w:r>
    </w:p>
    <w:p w14:paraId="2F2E940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服务过程要求</w:t>
      </w:r>
    </w:p>
    <w:p w14:paraId="1219BBD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制定详尽、可行的年度运维实施方案、应急预案及月度计划。所有运维操作必须遵循“最小影响”原则，提前做好备份与回滚方案，严禁因运维操作导致系统性能显著下降或服务中断。服务期初须与上期运维团队无缝衔接，确保系统平稳过渡。</w:t>
      </w:r>
    </w:p>
    <w:p w14:paraId="3F76E7CF">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023411D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服务人员要求</w:t>
      </w:r>
    </w:p>
    <w:p w14:paraId="66D2BAE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组建经验丰富、人员稳定的专职运维团队，明确项目负责人与技术负责人。团队成员需具备相应的技术资质与项目经验，熟悉政务系统运维规范。所有人员应服从采购人的工作安排与管理。如出现人员无法胜任工作的情况，采购人有权要求中标人及时更换，中标人须予配合且不影响服务进度与质量。</w:t>
      </w:r>
    </w:p>
    <w:p w14:paraId="6F663CF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数据归集与安全管理要求</w:t>
      </w:r>
    </w:p>
    <w:p w14:paraId="098E4EF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维工作中涉及的数据处理须符合国家及浙江省数据管理相关规定。协助采购人将相关数据归集至浙江乡村大脑数据平台。对运维过程中接触的所有系统数据、业务资料、技术信息负有严格保密责任，需与相关人员签订保密协议，严禁数据外泄。因中标人责任导致的数据安全事件，其损失由中标人承担。</w:t>
      </w:r>
    </w:p>
    <w:p w14:paraId="209D6C00">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浙农牧维护</w:t>
      </w:r>
    </w:p>
    <w:p w14:paraId="39E50FA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江省数字畜牧应用系统打通养殖、防疫、检疫、调运、屠宰、无害化处理等主要环节业务流数据流，构建管理服务闭环；建立健全跨部门、跨层级、跨地域的业务协同和数据共享机制，实现行业整体智治；通过动物全周期流程服务管理场景打造，实现应用服务多场景；打通治理孤岛，突出风险预警，构建产业数据链，实现动物卫生公共安全和畜产品有效供给。</w:t>
      </w:r>
    </w:p>
    <w:p w14:paraId="1DD024B9">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1.</w:t>
      </w:r>
      <w:r>
        <w:rPr>
          <w:rFonts w:hint="default" w:ascii="仿宋_GB2312" w:hAnsi="仿宋_GB2312" w:eastAsia="仿宋_GB2312" w:cs="仿宋_GB2312"/>
          <w:b/>
          <w:bCs/>
          <w:color w:val="000000" w:themeColor="text1"/>
          <w:sz w:val="32"/>
          <w:szCs w:val="32"/>
          <w14:textFill>
            <w14:solidFill>
              <w14:schemeClr w14:val="tx1"/>
            </w14:solidFill>
          </w14:textFill>
        </w:rPr>
        <w:t>运维服务内容</w:t>
      </w:r>
    </w:p>
    <w:p w14:paraId="4DDE5DD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系统各核心业务模块的日常监控与维护，每日一次核查系统服务运行状态；每日一次监测服务器CPU、内存、磁盘占用情况，确保CPU、内存、磁盘使用率处于合理区间，及时发现并处理模块运行中的异常（如卡顿、报错、功能无法正常使用等）。</w:t>
      </w:r>
    </w:p>
    <w:p w14:paraId="11721B4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每周多次开展服务器人工巡检，分析服务器负载、响应时间、网络带宽等指标，及时修复潜在故障隐患并做性能调优，确保各模块衔接顺畅，满足日常业务需求。</w:t>
      </w:r>
    </w:p>
    <w:p w14:paraId="7563CAE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日常运维：负责系统各类数据的日常管理，包括数据录入校验、数据更新、数据备份及数据清理等。在阿里云控制台设置每日定时完成数据库全量备份，每日核查数据库主从一致性；每日通过日志清理脚本自动清理系统日志，避免磁盘空间占用过高；协助用户处理数据录入错误、重复数据等问题，开展养殖、检疫、屠宰等数据的追溯与统计查询，确保数据的准确性、完整性、安全性和时效性，支撑数据统计分析及监管决策。</w:t>
      </w:r>
    </w:p>
    <w:p w14:paraId="0F67857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功能完善与优化：根据业务发展需求、用户反馈及部级/省级相关文件要求，对系统现有功能进行小幅优化调整，修复系统运行中发现的 BUG，配合业务主管部门完成功能升级的测试、调试。重点围绕养殖防疫、检疫开证、调运屠宰等核心模块优化，如完善报表功能、推进无纸化开证等，提升系统使用体验和业务适配性；同时根据业务管理架构变化，及时更新调整系统内部门、角色配置，确保权限管理规范。</w:t>
      </w:r>
    </w:p>
    <w:p w14:paraId="41B83EC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软件系统运维：对系统软件本身进行全流程维护，包括应用监控、BUG 修复、测试调试、系统恢复、网络安全防护等工作。建立每周常态化漏洞扫描机制，对系统出口地址开展端口扫描和应用漏洞扫描；对扫描及第三方检测发现的漏洞（如Redis远程代码执行漏洞、Spring Cloud Gateway代码执行漏洞、信息泄露漏洞等）及时修复，对相关组件按需升级至最新安全版本，保障软件系统稳定运行，防范软件层面的安全风险。</w:t>
      </w:r>
    </w:p>
    <w:p w14:paraId="50C66FDA">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2.</w:t>
      </w:r>
      <w:r>
        <w:rPr>
          <w:rFonts w:hint="default" w:ascii="仿宋_GB2312" w:hAnsi="仿宋_GB2312" w:eastAsia="仿宋_GB2312" w:cs="仿宋_GB2312"/>
          <w:b/>
          <w:bCs/>
          <w:color w:val="000000" w:themeColor="text1"/>
          <w:sz w:val="32"/>
          <w:szCs w:val="32"/>
          <w14:textFill>
            <w14:solidFill>
              <w14:schemeClr w14:val="tx1"/>
            </w14:solidFill>
          </w14:textFill>
        </w:rPr>
        <w:t>技术支持服务</w:t>
      </w:r>
    </w:p>
    <w:p w14:paraId="587D8F5B">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电话及通讯软件支持：设有技术支持热线、微信工作群和浙政钉工作群，实现7*24小时响应，工作日和节假日都及时响应各级畜牧中心、各类主体用户的咨询，解答系统操作疑问、排查简单问题。</w:t>
      </w:r>
    </w:p>
    <w:p w14:paraId="6FF8E09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远程技术支持：针对电话和通讯软件无法解决的复杂问题、系统异常或特殊需求，技术人员提供电脑远程支持，包括故障排查、数据修改、操作指导等，确保问题快速解决。</w:t>
      </w:r>
    </w:p>
    <w:p w14:paraId="4B7BD88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支持点：机构用户（省市县各级监管单位用户）、主体用户（养殖场、屠宰场、调运主体、兽药经营企业、公路检查站、承运人、第三方服务机构、兽医实验室等）</w:t>
      </w:r>
    </w:p>
    <w:p w14:paraId="749D62D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支持内容：针对系统操作使用中遇到的问题提供全方位技术支持</w:t>
      </w:r>
    </w:p>
    <w:p w14:paraId="521B480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支持方式：11个微信工作群、15个浙政钉工作群以及运维电话</w:t>
      </w:r>
    </w:p>
    <w:p w14:paraId="4C61E3E6">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支持时间：7*24小时</w:t>
      </w:r>
    </w:p>
    <w:p w14:paraId="120E31BD">
      <w:pPr>
        <w:spacing w:line="64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目前，已贯通农业农村部及市、县（市、区）、开发区 135个，注册用户</w:t>
      </w:r>
      <w:r>
        <w:rPr>
          <w:rFonts w:hint="eastAsia" w:ascii="仿宋_GB2312" w:hAnsi="仿宋_GB2312" w:eastAsia="仿宋_GB2312" w:cs="仿宋_GB2312"/>
          <w:sz w:val="32"/>
          <w:szCs w:val="32"/>
        </w:rPr>
        <w:t>83701</w:t>
      </w:r>
      <w:r>
        <w:rPr>
          <w:rFonts w:ascii="仿宋_GB2312" w:hAnsi="仿宋_GB2312" w:eastAsia="仿宋_GB2312" w:cs="仿宋_GB2312"/>
          <w:sz w:val="32"/>
          <w:szCs w:val="32"/>
        </w:rPr>
        <w:t>个</w:t>
      </w:r>
      <w:r>
        <w:rPr>
          <w:rFonts w:hint="eastAsia" w:ascii="仿宋_GB2312" w:hAnsi="仿宋_GB2312" w:eastAsia="仿宋_GB2312" w:cs="仿宋_GB2312"/>
          <w:sz w:val="32"/>
          <w:szCs w:val="32"/>
        </w:rPr>
        <w:t>（机构用户5695个，主体用户78006个）</w:t>
      </w:r>
      <w:r>
        <w:rPr>
          <w:rFonts w:ascii="仿宋_GB2312" w:hAnsi="仿宋_GB2312" w:eastAsia="仿宋_GB2312" w:cs="仿宋_GB2312"/>
          <w:sz w:val="32"/>
          <w:szCs w:val="32"/>
        </w:rPr>
        <w:t>，畜牧主体实现全覆盖，日访问量20万次以上，形成数据2.2亿条。推进《浙江省动物防疫条例》等制度重塑27项，率先在全国推行检疫检验双无纸化出证，打通“浙食链”，实现从养殖到市场全过程闭环追溯，已累计检疫签证1000多万单。</w:t>
      </w:r>
    </w:p>
    <w:p w14:paraId="1A00512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巡检服务</w:t>
      </w:r>
    </w:p>
    <w:p w14:paraId="7F2C40F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性能巡检：针对部署于政务云的系统服务器、数据库进行定期巡检，明确掌握云服务器运行的基本情况和性能状态，监测服务器CPU、内存、磁盘使用率，数据库运行稳定性等，预防性能瓶颈及系统故障。</w:t>
      </w:r>
    </w:p>
    <w:p w14:paraId="704B472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系统巡检：对系统的各业务模块功能、运行状态、数据传输情况进行检查，排查系统潜安全隐患。</w:t>
      </w:r>
    </w:p>
    <w:p w14:paraId="215F7F9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技术培训服务</w:t>
      </w:r>
    </w:p>
    <w:p w14:paraId="2CB5AE8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系统新功能上线后，编制操作手册，供用户随时查阅学习。有需要的情况下，开展线上或线下培训，覆盖各级用户，确保用户熟练掌握系统操作方法。</w:t>
      </w:r>
    </w:p>
    <w:p w14:paraId="770D24B1">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运维对象（设备和软件系统）清单</w:t>
      </w:r>
    </w:p>
    <w:tbl>
      <w:tblPr>
        <w:tblStyle w:val="19"/>
        <w:tblW w:w="10708" w:type="dxa"/>
        <w:jc w:val="center"/>
        <w:tblLayout w:type="fixed"/>
        <w:tblCellMar>
          <w:top w:w="0" w:type="dxa"/>
          <w:left w:w="108" w:type="dxa"/>
          <w:bottom w:w="0" w:type="dxa"/>
          <w:right w:w="108" w:type="dxa"/>
        </w:tblCellMar>
      </w:tblPr>
      <w:tblGrid>
        <w:gridCol w:w="1219"/>
        <w:gridCol w:w="2242"/>
        <w:gridCol w:w="2070"/>
        <w:gridCol w:w="1219"/>
        <w:gridCol w:w="1646"/>
        <w:gridCol w:w="1316"/>
        <w:gridCol w:w="996"/>
      </w:tblGrid>
      <w:tr w14:paraId="736DE245">
        <w:tblPrEx>
          <w:tblCellMar>
            <w:top w:w="0" w:type="dxa"/>
            <w:left w:w="108" w:type="dxa"/>
            <w:bottom w:w="0" w:type="dxa"/>
            <w:right w:w="108" w:type="dxa"/>
          </w:tblCellMar>
        </w:tblPrEx>
        <w:trPr>
          <w:trHeight w:val="460" w:hRule="atLeast"/>
          <w:tblHeade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66B6074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产品名称</w:t>
            </w:r>
          </w:p>
        </w:tc>
        <w:tc>
          <w:tcPr>
            <w:tcW w:w="2242" w:type="dxa"/>
            <w:tcBorders>
              <w:top w:val="single" w:color="000000" w:sz="4" w:space="0"/>
              <w:left w:val="nil"/>
              <w:bottom w:val="single" w:color="000000" w:sz="4" w:space="0"/>
              <w:right w:val="single" w:color="000000" w:sz="4" w:space="0"/>
            </w:tcBorders>
            <w:vAlign w:val="center"/>
          </w:tcPr>
          <w:p w14:paraId="5DDF517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实例名称</w:t>
            </w:r>
          </w:p>
        </w:tc>
        <w:tc>
          <w:tcPr>
            <w:tcW w:w="2070" w:type="dxa"/>
            <w:tcBorders>
              <w:top w:val="single" w:color="000000" w:sz="4" w:space="0"/>
              <w:left w:val="single" w:color="000000" w:sz="4" w:space="0"/>
              <w:bottom w:val="single" w:color="000000" w:sz="4" w:space="0"/>
              <w:right w:val="single" w:color="000000" w:sz="4" w:space="0"/>
            </w:tcBorders>
            <w:vAlign w:val="center"/>
          </w:tcPr>
          <w:p w14:paraId="4075BBE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实例规格</w:t>
            </w:r>
          </w:p>
        </w:tc>
        <w:tc>
          <w:tcPr>
            <w:tcW w:w="1219" w:type="dxa"/>
            <w:tcBorders>
              <w:top w:val="single" w:color="000000" w:sz="4" w:space="0"/>
              <w:left w:val="single" w:color="000000" w:sz="4" w:space="0"/>
              <w:bottom w:val="single" w:color="000000" w:sz="4" w:space="0"/>
              <w:right w:val="single" w:color="000000" w:sz="4" w:space="0"/>
            </w:tcBorders>
            <w:vAlign w:val="center"/>
          </w:tcPr>
          <w:p w14:paraId="57E92CD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操作系统</w:t>
            </w:r>
          </w:p>
        </w:tc>
        <w:tc>
          <w:tcPr>
            <w:tcW w:w="1646" w:type="dxa"/>
            <w:tcBorders>
              <w:top w:val="single" w:color="000000" w:sz="4" w:space="0"/>
              <w:left w:val="single" w:color="000000" w:sz="4" w:space="0"/>
              <w:bottom w:val="single" w:color="000000" w:sz="4" w:space="0"/>
              <w:right w:val="single" w:color="000000" w:sz="4" w:space="0"/>
            </w:tcBorders>
            <w:vAlign w:val="center"/>
          </w:tcPr>
          <w:p w14:paraId="4321B68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实例IP</w:t>
            </w:r>
          </w:p>
        </w:tc>
        <w:tc>
          <w:tcPr>
            <w:tcW w:w="1316" w:type="dxa"/>
            <w:tcBorders>
              <w:top w:val="single" w:color="000000" w:sz="4" w:space="0"/>
              <w:left w:val="single" w:color="000000" w:sz="4" w:space="0"/>
              <w:bottom w:val="single" w:color="000000" w:sz="4" w:space="0"/>
              <w:right w:val="single" w:color="000000" w:sz="4" w:space="0"/>
            </w:tcBorders>
            <w:vAlign w:val="center"/>
          </w:tcPr>
          <w:p w14:paraId="63F69CD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云区名称</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F5F36D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lang w:bidi="ar"/>
              </w:rPr>
              <w:t>备注</w:t>
            </w:r>
          </w:p>
        </w:tc>
      </w:tr>
      <w:tr w14:paraId="37844C1E">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4A38A24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7DBB8DE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畜牧农机中心-浙农牧-数据归集</w:t>
            </w:r>
          </w:p>
        </w:tc>
        <w:tc>
          <w:tcPr>
            <w:tcW w:w="2070" w:type="dxa"/>
            <w:tcBorders>
              <w:top w:val="single" w:color="000000" w:sz="4" w:space="0"/>
              <w:left w:val="single" w:color="000000" w:sz="4" w:space="0"/>
              <w:bottom w:val="single" w:color="000000" w:sz="4" w:space="0"/>
              <w:right w:val="single" w:color="000000" w:sz="4" w:space="0"/>
            </w:tcBorders>
            <w:vAlign w:val="center"/>
          </w:tcPr>
          <w:p w14:paraId="198C260A">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磁盘：300G</w:t>
            </w:r>
          </w:p>
        </w:tc>
        <w:tc>
          <w:tcPr>
            <w:tcW w:w="1219" w:type="dxa"/>
            <w:tcBorders>
              <w:top w:val="single" w:color="000000" w:sz="4" w:space="0"/>
              <w:left w:val="single" w:color="000000" w:sz="4" w:space="0"/>
              <w:bottom w:val="single" w:color="000000" w:sz="4" w:space="0"/>
              <w:right w:val="single" w:color="000000" w:sz="4" w:space="0"/>
            </w:tcBorders>
            <w:vAlign w:val="center"/>
          </w:tcPr>
          <w:p w14:paraId="7F76126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Windows</w:t>
            </w:r>
          </w:p>
        </w:tc>
        <w:tc>
          <w:tcPr>
            <w:tcW w:w="1646" w:type="dxa"/>
            <w:tcBorders>
              <w:top w:val="single" w:color="000000" w:sz="4" w:space="0"/>
              <w:left w:val="single" w:color="000000" w:sz="4" w:space="0"/>
              <w:bottom w:val="single" w:color="000000" w:sz="4" w:space="0"/>
              <w:right w:val="single" w:color="000000" w:sz="4" w:space="0"/>
            </w:tcBorders>
            <w:vAlign w:val="center"/>
          </w:tcPr>
          <w:p w14:paraId="177AEAA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10.146.76.81</w:t>
            </w:r>
          </w:p>
        </w:tc>
        <w:tc>
          <w:tcPr>
            <w:tcW w:w="1316" w:type="dxa"/>
            <w:tcBorders>
              <w:top w:val="single" w:color="000000" w:sz="4" w:space="0"/>
              <w:left w:val="single" w:color="000000" w:sz="4" w:space="0"/>
              <w:bottom w:val="single" w:color="000000" w:sz="4" w:space="0"/>
              <w:right w:val="single" w:color="000000" w:sz="4" w:space="0"/>
            </w:tcBorders>
            <w:vAlign w:val="center"/>
          </w:tcPr>
          <w:p w14:paraId="3AAA3ED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E87C94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待释放</w:t>
            </w:r>
          </w:p>
        </w:tc>
      </w:tr>
      <w:tr w14:paraId="06823D4A">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507F68C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74440A0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畜牧农机中心-浙农牧-驾驶舱</w:t>
            </w:r>
          </w:p>
        </w:tc>
        <w:tc>
          <w:tcPr>
            <w:tcW w:w="2070" w:type="dxa"/>
            <w:tcBorders>
              <w:top w:val="single" w:color="000000" w:sz="4" w:space="0"/>
              <w:left w:val="single" w:color="000000" w:sz="4" w:space="0"/>
              <w:bottom w:val="single" w:color="000000" w:sz="4" w:space="0"/>
              <w:right w:val="single" w:color="000000" w:sz="4" w:space="0"/>
            </w:tcBorders>
            <w:vAlign w:val="center"/>
          </w:tcPr>
          <w:p w14:paraId="7A28322A">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磁盘：300G</w:t>
            </w:r>
          </w:p>
        </w:tc>
        <w:tc>
          <w:tcPr>
            <w:tcW w:w="1219" w:type="dxa"/>
            <w:tcBorders>
              <w:top w:val="single" w:color="000000" w:sz="4" w:space="0"/>
              <w:left w:val="single" w:color="000000" w:sz="4" w:space="0"/>
              <w:bottom w:val="single" w:color="000000" w:sz="4" w:space="0"/>
              <w:right w:val="single" w:color="000000" w:sz="4" w:space="0"/>
            </w:tcBorders>
            <w:vAlign w:val="center"/>
          </w:tcPr>
          <w:p w14:paraId="7D8172E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Windows</w:t>
            </w:r>
          </w:p>
        </w:tc>
        <w:tc>
          <w:tcPr>
            <w:tcW w:w="1646" w:type="dxa"/>
            <w:tcBorders>
              <w:top w:val="single" w:color="000000" w:sz="4" w:space="0"/>
              <w:left w:val="single" w:color="000000" w:sz="4" w:space="0"/>
              <w:bottom w:val="single" w:color="000000" w:sz="4" w:space="0"/>
              <w:right w:val="single" w:color="000000" w:sz="4" w:space="0"/>
            </w:tcBorders>
            <w:vAlign w:val="center"/>
          </w:tcPr>
          <w:p w14:paraId="75C7DBB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10.146.76.82</w:t>
            </w:r>
          </w:p>
        </w:tc>
        <w:tc>
          <w:tcPr>
            <w:tcW w:w="1316" w:type="dxa"/>
            <w:tcBorders>
              <w:top w:val="single" w:color="000000" w:sz="4" w:space="0"/>
              <w:left w:val="single" w:color="000000" w:sz="4" w:space="0"/>
              <w:bottom w:val="single" w:color="000000" w:sz="4" w:space="0"/>
              <w:right w:val="single" w:color="000000" w:sz="4" w:space="0"/>
            </w:tcBorders>
            <w:vAlign w:val="center"/>
          </w:tcPr>
          <w:p w14:paraId="14720B4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83B62B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待释放</w:t>
            </w:r>
          </w:p>
        </w:tc>
      </w:tr>
      <w:tr w14:paraId="6BB0488F">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0F167FD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58B1E2D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畜牧农机中心-浙农牧-数字政府前置机</w:t>
            </w:r>
          </w:p>
        </w:tc>
        <w:tc>
          <w:tcPr>
            <w:tcW w:w="2070" w:type="dxa"/>
            <w:tcBorders>
              <w:top w:val="single" w:color="000000" w:sz="4" w:space="0"/>
              <w:left w:val="single" w:color="000000" w:sz="4" w:space="0"/>
              <w:bottom w:val="single" w:color="000000" w:sz="4" w:space="0"/>
              <w:right w:val="single" w:color="000000" w:sz="4" w:space="0"/>
            </w:tcBorders>
            <w:vAlign w:val="center"/>
          </w:tcPr>
          <w:p w14:paraId="41CCE0D4">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磁盘：20G</w:t>
            </w:r>
          </w:p>
        </w:tc>
        <w:tc>
          <w:tcPr>
            <w:tcW w:w="1219" w:type="dxa"/>
            <w:tcBorders>
              <w:top w:val="single" w:color="000000" w:sz="4" w:space="0"/>
              <w:left w:val="single" w:color="000000" w:sz="4" w:space="0"/>
              <w:bottom w:val="single" w:color="000000" w:sz="4" w:space="0"/>
              <w:right w:val="single" w:color="000000" w:sz="4" w:space="0"/>
            </w:tcBorders>
            <w:vAlign w:val="center"/>
          </w:tcPr>
          <w:p w14:paraId="6AADFC5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0D5B105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10.146.76.88</w:t>
            </w:r>
          </w:p>
        </w:tc>
        <w:tc>
          <w:tcPr>
            <w:tcW w:w="1316" w:type="dxa"/>
            <w:tcBorders>
              <w:top w:val="single" w:color="000000" w:sz="4" w:space="0"/>
              <w:left w:val="single" w:color="000000" w:sz="4" w:space="0"/>
              <w:bottom w:val="single" w:color="000000" w:sz="4" w:space="0"/>
              <w:right w:val="single" w:color="000000" w:sz="4" w:space="0"/>
            </w:tcBorders>
            <w:vAlign w:val="center"/>
          </w:tcPr>
          <w:p w14:paraId="3A1B1C6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A08E7A2">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6A17B864">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5FB47DF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78E35A5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畜牧农机中心-浙农牧-政策服务免疫报表</w:t>
            </w:r>
          </w:p>
        </w:tc>
        <w:tc>
          <w:tcPr>
            <w:tcW w:w="2070" w:type="dxa"/>
            <w:tcBorders>
              <w:top w:val="single" w:color="000000" w:sz="4" w:space="0"/>
              <w:left w:val="single" w:color="000000" w:sz="4" w:space="0"/>
              <w:bottom w:val="single" w:color="000000" w:sz="4" w:space="0"/>
              <w:right w:val="single" w:color="000000" w:sz="4" w:space="0"/>
            </w:tcBorders>
            <w:vAlign w:val="center"/>
          </w:tcPr>
          <w:p w14:paraId="6C342DC1">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CPU:2核 内存:16G 磁盘：50G</w:t>
            </w:r>
          </w:p>
        </w:tc>
        <w:tc>
          <w:tcPr>
            <w:tcW w:w="1219" w:type="dxa"/>
            <w:tcBorders>
              <w:top w:val="single" w:color="000000" w:sz="4" w:space="0"/>
              <w:left w:val="single" w:color="000000" w:sz="4" w:space="0"/>
              <w:bottom w:val="single" w:color="000000" w:sz="4" w:space="0"/>
              <w:right w:val="single" w:color="000000" w:sz="4" w:space="0"/>
            </w:tcBorders>
            <w:vAlign w:val="center"/>
          </w:tcPr>
          <w:p w14:paraId="1F51C73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5441C0E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10.146.76.92</w:t>
            </w:r>
          </w:p>
        </w:tc>
        <w:tc>
          <w:tcPr>
            <w:tcW w:w="1316" w:type="dxa"/>
            <w:tcBorders>
              <w:top w:val="single" w:color="000000" w:sz="4" w:space="0"/>
              <w:left w:val="single" w:color="000000" w:sz="4" w:space="0"/>
              <w:bottom w:val="single" w:color="000000" w:sz="4" w:space="0"/>
              <w:right w:val="single" w:color="000000" w:sz="4" w:space="0"/>
            </w:tcBorders>
            <w:vAlign w:val="center"/>
          </w:tcPr>
          <w:p w14:paraId="435435C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673F43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14FB97F2">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0E01AE7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58CCCC9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畜牧农机中心-浙农牧-前端Nginx</w:t>
            </w:r>
          </w:p>
        </w:tc>
        <w:tc>
          <w:tcPr>
            <w:tcW w:w="2070" w:type="dxa"/>
            <w:tcBorders>
              <w:top w:val="single" w:color="000000" w:sz="4" w:space="0"/>
              <w:left w:val="single" w:color="000000" w:sz="4" w:space="0"/>
              <w:bottom w:val="single" w:color="000000" w:sz="4" w:space="0"/>
              <w:right w:val="single" w:color="000000" w:sz="4" w:space="0"/>
            </w:tcBorders>
            <w:vAlign w:val="center"/>
          </w:tcPr>
          <w:p w14:paraId="01B9A27F">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磁盘：500G</w:t>
            </w:r>
          </w:p>
        </w:tc>
        <w:tc>
          <w:tcPr>
            <w:tcW w:w="1219" w:type="dxa"/>
            <w:tcBorders>
              <w:top w:val="single" w:color="000000" w:sz="4" w:space="0"/>
              <w:left w:val="single" w:color="000000" w:sz="4" w:space="0"/>
              <w:bottom w:val="single" w:color="000000" w:sz="4" w:space="0"/>
              <w:right w:val="single" w:color="000000" w:sz="4" w:space="0"/>
            </w:tcBorders>
            <w:vAlign w:val="center"/>
          </w:tcPr>
          <w:p w14:paraId="67D111C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Windows</w:t>
            </w:r>
          </w:p>
        </w:tc>
        <w:tc>
          <w:tcPr>
            <w:tcW w:w="1646" w:type="dxa"/>
            <w:tcBorders>
              <w:top w:val="single" w:color="000000" w:sz="4" w:space="0"/>
              <w:left w:val="single" w:color="000000" w:sz="4" w:space="0"/>
              <w:bottom w:val="single" w:color="000000" w:sz="4" w:space="0"/>
              <w:right w:val="single" w:color="000000" w:sz="4" w:space="0"/>
            </w:tcBorders>
            <w:vAlign w:val="center"/>
          </w:tcPr>
          <w:p w14:paraId="1DEC191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10.146.76.99</w:t>
            </w:r>
          </w:p>
        </w:tc>
        <w:tc>
          <w:tcPr>
            <w:tcW w:w="1316" w:type="dxa"/>
            <w:tcBorders>
              <w:top w:val="single" w:color="000000" w:sz="4" w:space="0"/>
              <w:left w:val="single" w:color="000000" w:sz="4" w:space="0"/>
              <w:bottom w:val="single" w:color="000000" w:sz="4" w:space="0"/>
              <w:right w:val="single" w:color="000000" w:sz="4" w:space="0"/>
            </w:tcBorders>
            <w:vAlign w:val="center"/>
          </w:tcPr>
          <w:p w14:paraId="60F80ED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FA4FDD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待释放</w:t>
            </w:r>
          </w:p>
        </w:tc>
      </w:tr>
      <w:tr w14:paraId="4FC9F28F">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0E186AE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4E647E4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畜牧农机中心-浙农牧-农业部检疫证对接</w:t>
            </w:r>
          </w:p>
        </w:tc>
        <w:tc>
          <w:tcPr>
            <w:tcW w:w="2070" w:type="dxa"/>
            <w:tcBorders>
              <w:top w:val="single" w:color="000000" w:sz="4" w:space="0"/>
              <w:left w:val="single" w:color="000000" w:sz="4" w:space="0"/>
              <w:bottom w:val="single" w:color="000000" w:sz="4" w:space="0"/>
              <w:right w:val="single" w:color="000000" w:sz="4" w:space="0"/>
            </w:tcBorders>
            <w:vAlign w:val="center"/>
          </w:tcPr>
          <w:p w14:paraId="79825DB3">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内存:16G 磁盘：100G</w:t>
            </w:r>
          </w:p>
        </w:tc>
        <w:tc>
          <w:tcPr>
            <w:tcW w:w="1219" w:type="dxa"/>
            <w:tcBorders>
              <w:top w:val="single" w:color="000000" w:sz="4" w:space="0"/>
              <w:left w:val="single" w:color="000000" w:sz="4" w:space="0"/>
              <w:bottom w:val="single" w:color="000000" w:sz="4" w:space="0"/>
              <w:right w:val="single" w:color="000000" w:sz="4" w:space="0"/>
            </w:tcBorders>
            <w:vAlign w:val="center"/>
          </w:tcPr>
          <w:p w14:paraId="073C2A2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01C375B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10.146.76.100</w:t>
            </w:r>
          </w:p>
        </w:tc>
        <w:tc>
          <w:tcPr>
            <w:tcW w:w="1316" w:type="dxa"/>
            <w:tcBorders>
              <w:top w:val="single" w:color="000000" w:sz="4" w:space="0"/>
              <w:left w:val="single" w:color="000000" w:sz="4" w:space="0"/>
              <w:bottom w:val="single" w:color="000000" w:sz="4" w:space="0"/>
              <w:right w:val="single" w:color="000000" w:sz="4" w:space="0"/>
            </w:tcBorders>
            <w:vAlign w:val="center"/>
          </w:tcPr>
          <w:p w14:paraId="2F0E107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C62FFB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492791CE">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450E6C4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707C84E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畜牧农机中心-浙农牧-对外接口两化</w:t>
            </w:r>
          </w:p>
        </w:tc>
        <w:tc>
          <w:tcPr>
            <w:tcW w:w="2070" w:type="dxa"/>
            <w:tcBorders>
              <w:top w:val="single" w:color="000000" w:sz="4" w:space="0"/>
              <w:left w:val="single" w:color="000000" w:sz="4" w:space="0"/>
              <w:bottom w:val="single" w:color="000000" w:sz="4" w:space="0"/>
              <w:right w:val="single" w:color="000000" w:sz="4" w:space="0"/>
            </w:tcBorders>
            <w:vAlign w:val="center"/>
          </w:tcPr>
          <w:p w14:paraId="34644537">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内存:16G 磁盘：57G</w:t>
            </w:r>
          </w:p>
        </w:tc>
        <w:tc>
          <w:tcPr>
            <w:tcW w:w="1219" w:type="dxa"/>
            <w:tcBorders>
              <w:top w:val="single" w:color="000000" w:sz="4" w:space="0"/>
              <w:left w:val="single" w:color="000000" w:sz="4" w:space="0"/>
              <w:bottom w:val="single" w:color="000000" w:sz="4" w:space="0"/>
              <w:right w:val="single" w:color="000000" w:sz="4" w:space="0"/>
            </w:tcBorders>
            <w:vAlign w:val="center"/>
          </w:tcPr>
          <w:p w14:paraId="6615192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670229C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10.146.76.101</w:t>
            </w:r>
          </w:p>
        </w:tc>
        <w:tc>
          <w:tcPr>
            <w:tcW w:w="1316" w:type="dxa"/>
            <w:tcBorders>
              <w:top w:val="single" w:color="000000" w:sz="4" w:space="0"/>
              <w:left w:val="single" w:color="000000" w:sz="4" w:space="0"/>
              <w:bottom w:val="single" w:color="000000" w:sz="4" w:space="0"/>
              <w:right w:val="single" w:color="000000" w:sz="4" w:space="0"/>
            </w:tcBorders>
            <w:vAlign w:val="center"/>
          </w:tcPr>
          <w:p w14:paraId="2D5B86A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70C699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197D2675">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5713A2E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58C84E4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畜牧农机中心-浙农牧-nginx负载均衡</w:t>
            </w:r>
          </w:p>
        </w:tc>
        <w:tc>
          <w:tcPr>
            <w:tcW w:w="2070" w:type="dxa"/>
            <w:tcBorders>
              <w:top w:val="single" w:color="000000" w:sz="4" w:space="0"/>
              <w:left w:val="single" w:color="000000" w:sz="4" w:space="0"/>
              <w:bottom w:val="single" w:color="000000" w:sz="4" w:space="0"/>
              <w:right w:val="single" w:color="000000" w:sz="4" w:space="0"/>
            </w:tcBorders>
            <w:vAlign w:val="center"/>
          </w:tcPr>
          <w:p w14:paraId="5ED465ED">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磁盘：160G</w:t>
            </w:r>
          </w:p>
        </w:tc>
        <w:tc>
          <w:tcPr>
            <w:tcW w:w="1219" w:type="dxa"/>
            <w:tcBorders>
              <w:top w:val="single" w:color="000000" w:sz="4" w:space="0"/>
              <w:left w:val="single" w:color="000000" w:sz="4" w:space="0"/>
              <w:bottom w:val="single" w:color="000000" w:sz="4" w:space="0"/>
              <w:right w:val="single" w:color="000000" w:sz="4" w:space="0"/>
            </w:tcBorders>
            <w:vAlign w:val="center"/>
          </w:tcPr>
          <w:p w14:paraId="78DA1C9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6407E75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10.146.78.96</w:t>
            </w:r>
          </w:p>
        </w:tc>
        <w:tc>
          <w:tcPr>
            <w:tcW w:w="1316" w:type="dxa"/>
            <w:tcBorders>
              <w:top w:val="single" w:color="000000" w:sz="4" w:space="0"/>
              <w:left w:val="single" w:color="000000" w:sz="4" w:space="0"/>
              <w:bottom w:val="single" w:color="000000" w:sz="4" w:space="0"/>
              <w:right w:val="single" w:color="000000" w:sz="4" w:space="0"/>
            </w:tcBorders>
            <w:vAlign w:val="center"/>
          </w:tcPr>
          <w:p w14:paraId="4191780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EE65A2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2CC74319">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5880606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nil"/>
              <w:right w:val="single" w:color="000000" w:sz="4" w:space="0"/>
            </w:tcBorders>
            <w:noWrap/>
            <w:vAlign w:val="center"/>
          </w:tcPr>
          <w:p w14:paraId="0B71A35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畜牧农机中心-浙农牧-新建万头猪场</w:t>
            </w:r>
          </w:p>
        </w:tc>
        <w:tc>
          <w:tcPr>
            <w:tcW w:w="2070" w:type="dxa"/>
            <w:tcBorders>
              <w:top w:val="single" w:color="000000" w:sz="4" w:space="0"/>
              <w:left w:val="single" w:color="000000" w:sz="4" w:space="0"/>
              <w:bottom w:val="nil"/>
              <w:right w:val="single" w:color="000000" w:sz="4" w:space="0"/>
            </w:tcBorders>
            <w:vAlign w:val="center"/>
          </w:tcPr>
          <w:p w14:paraId="1CF5DC96">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CPU:2核 内存:8G 磁盘：20GB</w:t>
            </w:r>
          </w:p>
        </w:tc>
        <w:tc>
          <w:tcPr>
            <w:tcW w:w="1219" w:type="dxa"/>
            <w:tcBorders>
              <w:top w:val="single" w:color="000000" w:sz="4" w:space="0"/>
              <w:left w:val="single" w:color="000000" w:sz="4" w:space="0"/>
              <w:bottom w:val="nil"/>
              <w:right w:val="single" w:color="000000" w:sz="4" w:space="0"/>
            </w:tcBorders>
            <w:noWrap/>
            <w:vAlign w:val="center"/>
          </w:tcPr>
          <w:p w14:paraId="1215BD1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nil"/>
              <w:right w:val="single" w:color="000000" w:sz="4" w:space="0"/>
            </w:tcBorders>
            <w:noWrap/>
            <w:vAlign w:val="center"/>
          </w:tcPr>
          <w:p w14:paraId="7F6F330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10.146.78.121</w:t>
            </w:r>
          </w:p>
        </w:tc>
        <w:tc>
          <w:tcPr>
            <w:tcW w:w="1316" w:type="dxa"/>
            <w:tcBorders>
              <w:top w:val="single" w:color="000000" w:sz="4" w:space="0"/>
              <w:left w:val="single" w:color="000000" w:sz="4" w:space="0"/>
              <w:bottom w:val="nil"/>
              <w:right w:val="single" w:color="000000" w:sz="4" w:space="0"/>
            </w:tcBorders>
            <w:noWrap/>
            <w:vAlign w:val="center"/>
          </w:tcPr>
          <w:p w14:paraId="1BE7EE8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38EF47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31CE9C7D">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477EE6B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214DC46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畜牧农机中心-浙农牧-定时任务</w:t>
            </w:r>
          </w:p>
        </w:tc>
        <w:tc>
          <w:tcPr>
            <w:tcW w:w="2070" w:type="dxa"/>
            <w:tcBorders>
              <w:top w:val="single" w:color="000000" w:sz="4" w:space="0"/>
              <w:left w:val="single" w:color="000000" w:sz="4" w:space="0"/>
              <w:bottom w:val="single" w:color="000000" w:sz="4" w:space="0"/>
              <w:right w:val="single" w:color="000000" w:sz="4" w:space="0"/>
            </w:tcBorders>
            <w:vAlign w:val="center"/>
          </w:tcPr>
          <w:p w14:paraId="4A2752C3">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CPU:8核 内存:32G 磁盘：100GB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6F12235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01E69AF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10.146.78.126</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759F5AF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9A8E96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4160DCB9">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230F8A0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0A753E2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畜牧农机中心-浙农牧-前端Nginx</w:t>
            </w:r>
          </w:p>
        </w:tc>
        <w:tc>
          <w:tcPr>
            <w:tcW w:w="2070" w:type="dxa"/>
            <w:tcBorders>
              <w:top w:val="single" w:color="000000" w:sz="4" w:space="0"/>
              <w:left w:val="single" w:color="000000" w:sz="4" w:space="0"/>
              <w:bottom w:val="single" w:color="000000" w:sz="4" w:space="0"/>
              <w:right w:val="single" w:color="000000" w:sz="4" w:space="0"/>
            </w:tcBorders>
            <w:vAlign w:val="center"/>
          </w:tcPr>
          <w:p w14:paraId="6694DF8E">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磁盘：100GB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23F5477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5F13E56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10.146.78.132</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6CA8F9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EFE3DA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4C74F2A4">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6C7BA52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0CE9231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畜牧农机中心-浙农牧-驾驶舱</w:t>
            </w:r>
          </w:p>
        </w:tc>
        <w:tc>
          <w:tcPr>
            <w:tcW w:w="2070" w:type="dxa"/>
            <w:tcBorders>
              <w:top w:val="single" w:color="000000" w:sz="4" w:space="0"/>
              <w:left w:val="single" w:color="000000" w:sz="4" w:space="0"/>
              <w:bottom w:val="single" w:color="000000" w:sz="4" w:space="0"/>
              <w:right w:val="single" w:color="000000" w:sz="4" w:space="0"/>
            </w:tcBorders>
            <w:vAlign w:val="center"/>
          </w:tcPr>
          <w:p w14:paraId="75FF59EF">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磁盘：50GB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4528970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792E579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10.146.78.131</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5DB16E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公众服务区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7F0EC3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5229A160">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5066CE7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2A6493A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省畜牧农机中心-浙农牧-调运屠宰养殖检疫</w:t>
            </w:r>
          </w:p>
        </w:tc>
        <w:tc>
          <w:tcPr>
            <w:tcW w:w="2070" w:type="dxa"/>
            <w:tcBorders>
              <w:top w:val="single" w:color="000000" w:sz="4" w:space="0"/>
              <w:left w:val="single" w:color="000000" w:sz="4" w:space="0"/>
              <w:bottom w:val="single" w:color="000000" w:sz="4" w:space="0"/>
              <w:right w:val="single" w:color="000000" w:sz="4" w:space="0"/>
            </w:tcBorders>
            <w:vAlign w:val="center"/>
          </w:tcPr>
          <w:p w14:paraId="3921CEA3">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内存:16G 磁盘:100GB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7534017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3430791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172.31.62.132</w:t>
            </w:r>
          </w:p>
        </w:tc>
        <w:tc>
          <w:tcPr>
            <w:tcW w:w="1316" w:type="dxa"/>
            <w:tcBorders>
              <w:top w:val="single" w:color="000000" w:sz="4" w:space="0"/>
              <w:left w:val="single" w:color="000000" w:sz="4" w:space="0"/>
              <w:bottom w:val="single" w:color="000000" w:sz="4" w:space="0"/>
              <w:right w:val="single" w:color="000000" w:sz="4" w:space="0"/>
            </w:tcBorders>
            <w:vAlign w:val="center"/>
          </w:tcPr>
          <w:p w14:paraId="5F28857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70A2F7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094991F8">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636C6CE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451B4D5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省畜牧农机中心-浙农牧-定时任务</w:t>
            </w:r>
          </w:p>
        </w:tc>
        <w:tc>
          <w:tcPr>
            <w:tcW w:w="2070" w:type="dxa"/>
            <w:tcBorders>
              <w:top w:val="single" w:color="000000" w:sz="4" w:space="0"/>
              <w:left w:val="single" w:color="000000" w:sz="4" w:space="0"/>
              <w:bottom w:val="single" w:color="000000" w:sz="4" w:space="0"/>
              <w:right w:val="single" w:color="000000" w:sz="4" w:space="0"/>
            </w:tcBorders>
            <w:vAlign w:val="center"/>
          </w:tcPr>
          <w:p w14:paraId="07C7FFF8">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CPU:2核 内存:16G 磁盘:100GB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3FBA6A7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6DD528B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172.31.62.134</w:t>
            </w:r>
          </w:p>
        </w:tc>
        <w:tc>
          <w:tcPr>
            <w:tcW w:w="1316" w:type="dxa"/>
            <w:tcBorders>
              <w:top w:val="single" w:color="000000" w:sz="4" w:space="0"/>
              <w:left w:val="single" w:color="000000" w:sz="4" w:space="0"/>
              <w:bottom w:val="single" w:color="000000" w:sz="4" w:space="0"/>
              <w:right w:val="single" w:color="000000" w:sz="4" w:space="0"/>
            </w:tcBorders>
            <w:vAlign w:val="center"/>
          </w:tcPr>
          <w:p w14:paraId="6A2CC9E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8E6594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4E2DA150">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11968A3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49C5201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省畜牧农机中心-浙农牧-数据缓存</w:t>
            </w:r>
          </w:p>
        </w:tc>
        <w:tc>
          <w:tcPr>
            <w:tcW w:w="2070" w:type="dxa"/>
            <w:tcBorders>
              <w:top w:val="single" w:color="000000" w:sz="4" w:space="0"/>
              <w:left w:val="single" w:color="000000" w:sz="4" w:space="0"/>
              <w:bottom w:val="single" w:color="000000" w:sz="4" w:space="0"/>
              <w:right w:val="single" w:color="000000" w:sz="4" w:space="0"/>
            </w:tcBorders>
            <w:vAlign w:val="center"/>
          </w:tcPr>
          <w:p w14:paraId="01BDE22B">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CPU:2核 内存:16G 磁盘:100GB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11321BE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732D488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172.31.62.210</w:t>
            </w:r>
          </w:p>
        </w:tc>
        <w:tc>
          <w:tcPr>
            <w:tcW w:w="1316" w:type="dxa"/>
            <w:tcBorders>
              <w:top w:val="single" w:color="000000" w:sz="4" w:space="0"/>
              <w:left w:val="single" w:color="000000" w:sz="4" w:space="0"/>
              <w:bottom w:val="single" w:color="000000" w:sz="4" w:space="0"/>
              <w:right w:val="single" w:color="000000" w:sz="4" w:space="0"/>
            </w:tcBorders>
            <w:vAlign w:val="center"/>
          </w:tcPr>
          <w:p w14:paraId="7B6DCED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B88CC9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6E9CC61E">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16BD870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000000" w:sz="4" w:space="0"/>
              <w:right w:val="single" w:color="000000" w:sz="4" w:space="0"/>
            </w:tcBorders>
            <w:vAlign w:val="center"/>
          </w:tcPr>
          <w:p w14:paraId="175DCB6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省畜牧农机中心-浙农牧-Clickhouse</w:t>
            </w:r>
          </w:p>
        </w:tc>
        <w:tc>
          <w:tcPr>
            <w:tcW w:w="2070" w:type="dxa"/>
            <w:tcBorders>
              <w:top w:val="single" w:color="000000" w:sz="4" w:space="0"/>
              <w:left w:val="single" w:color="000000" w:sz="4" w:space="0"/>
              <w:bottom w:val="single" w:color="000000" w:sz="4" w:space="0"/>
              <w:right w:val="single" w:color="000000" w:sz="4" w:space="0"/>
            </w:tcBorders>
            <w:vAlign w:val="center"/>
          </w:tcPr>
          <w:p w14:paraId="719014BD">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CPU:8核 内存:16G 磁盘:300GB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0E79F18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693A885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172.31.62.211</w:t>
            </w:r>
          </w:p>
        </w:tc>
        <w:tc>
          <w:tcPr>
            <w:tcW w:w="1316" w:type="dxa"/>
            <w:tcBorders>
              <w:top w:val="single" w:color="000000" w:sz="4" w:space="0"/>
              <w:left w:val="single" w:color="000000" w:sz="4" w:space="0"/>
              <w:bottom w:val="single" w:color="000000" w:sz="4" w:space="0"/>
              <w:right w:val="single" w:color="000000" w:sz="4" w:space="0"/>
            </w:tcBorders>
            <w:vAlign w:val="center"/>
          </w:tcPr>
          <w:p w14:paraId="1B93C03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7476EF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5ECC1463">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1591FEC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000000" w:sz="4" w:space="0"/>
              <w:left w:val="nil"/>
              <w:bottom w:val="single" w:color="auto" w:sz="4" w:space="0"/>
              <w:right w:val="single" w:color="000000" w:sz="4" w:space="0"/>
            </w:tcBorders>
            <w:vAlign w:val="center"/>
          </w:tcPr>
          <w:p w14:paraId="361872E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省畜牧农机中心-浙农牧-数智资源中心</w:t>
            </w:r>
          </w:p>
        </w:tc>
        <w:tc>
          <w:tcPr>
            <w:tcW w:w="2070" w:type="dxa"/>
            <w:tcBorders>
              <w:top w:val="single" w:color="000000" w:sz="4" w:space="0"/>
              <w:left w:val="single" w:color="000000" w:sz="4" w:space="0"/>
              <w:bottom w:val="single" w:color="auto" w:sz="4" w:space="0"/>
              <w:right w:val="nil"/>
            </w:tcBorders>
            <w:vAlign w:val="center"/>
          </w:tcPr>
          <w:p w14:paraId="5A7D9D0E">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CPU:2核 内存:16G 磁盘：100GB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59A1DD7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2C0BF81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172.31.61.10</w:t>
            </w:r>
          </w:p>
        </w:tc>
        <w:tc>
          <w:tcPr>
            <w:tcW w:w="1316" w:type="dxa"/>
            <w:tcBorders>
              <w:top w:val="single" w:color="000000" w:sz="4" w:space="0"/>
              <w:left w:val="single" w:color="000000" w:sz="4" w:space="0"/>
              <w:bottom w:val="single" w:color="000000" w:sz="4" w:space="0"/>
              <w:right w:val="single" w:color="000000" w:sz="4" w:space="0"/>
            </w:tcBorders>
            <w:vAlign w:val="center"/>
          </w:tcPr>
          <w:p w14:paraId="68A6C79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984E1B2">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3D1BA25C">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auto" w:sz="4" w:space="0"/>
            </w:tcBorders>
            <w:noWrap/>
            <w:vAlign w:val="center"/>
          </w:tcPr>
          <w:p w14:paraId="1B84D47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auto" w:sz="4" w:space="0"/>
              <w:left w:val="single" w:color="auto" w:sz="4" w:space="0"/>
              <w:bottom w:val="single" w:color="auto" w:sz="4" w:space="0"/>
              <w:right w:val="single" w:color="auto" w:sz="4" w:space="0"/>
            </w:tcBorders>
            <w:vAlign w:val="center"/>
          </w:tcPr>
          <w:p w14:paraId="62FEC92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省畜牧农机中心-浙农牧-动物疫病监测</w:t>
            </w:r>
          </w:p>
        </w:tc>
        <w:tc>
          <w:tcPr>
            <w:tcW w:w="2070" w:type="dxa"/>
            <w:tcBorders>
              <w:top w:val="single" w:color="auto" w:sz="4" w:space="0"/>
              <w:left w:val="single" w:color="auto" w:sz="4" w:space="0"/>
              <w:bottom w:val="single" w:color="auto" w:sz="4" w:space="0"/>
              <w:right w:val="single" w:color="auto" w:sz="4" w:space="0"/>
            </w:tcBorders>
            <w:vAlign w:val="center"/>
          </w:tcPr>
          <w:p w14:paraId="137BDAE6">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内存:16G 磁盘：100GB</w:t>
            </w:r>
          </w:p>
        </w:tc>
        <w:tc>
          <w:tcPr>
            <w:tcW w:w="1219" w:type="dxa"/>
            <w:tcBorders>
              <w:top w:val="single" w:color="000000" w:sz="4" w:space="0"/>
              <w:left w:val="single" w:color="auto" w:sz="4" w:space="0"/>
              <w:bottom w:val="single" w:color="000000" w:sz="4" w:space="0"/>
              <w:right w:val="single" w:color="000000" w:sz="4" w:space="0"/>
            </w:tcBorders>
            <w:noWrap/>
            <w:vAlign w:val="center"/>
          </w:tcPr>
          <w:p w14:paraId="3841E85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nil"/>
              <w:right w:val="single" w:color="000000" w:sz="4" w:space="0"/>
            </w:tcBorders>
            <w:vAlign w:val="center"/>
          </w:tcPr>
          <w:p w14:paraId="7488C22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172.31.61.7</w:t>
            </w:r>
          </w:p>
        </w:tc>
        <w:tc>
          <w:tcPr>
            <w:tcW w:w="1316" w:type="dxa"/>
            <w:tcBorders>
              <w:top w:val="single" w:color="000000" w:sz="4" w:space="0"/>
              <w:left w:val="single" w:color="000000" w:sz="4" w:space="0"/>
              <w:bottom w:val="nil"/>
              <w:right w:val="single" w:color="000000" w:sz="4" w:space="0"/>
            </w:tcBorders>
            <w:vAlign w:val="center"/>
          </w:tcPr>
          <w:p w14:paraId="3822733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3F1FE72">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04B063EE">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auto" w:sz="4" w:space="0"/>
            </w:tcBorders>
            <w:noWrap/>
            <w:vAlign w:val="center"/>
          </w:tcPr>
          <w:p w14:paraId="4B5A94B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auto" w:sz="4" w:space="0"/>
              <w:left w:val="single" w:color="auto" w:sz="4" w:space="0"/>
              <w:bottom w:val="single" w:color="auto" w:sz="4" w:space="0"/>
              <w:right w:val="single" w:color="auto" w:sz="4" w:space="0"/>
            </w:tcBorders>
            <w:vAlign w:val="center"/>
          </w:tcPr>
          <w:p w14:paraId="021D765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畜牧农机中心-浙农牧-实验室管理2</w:t>
            </w:r>
          </w:p>
        </w:tc>
        <w:tc>
          <w:tcPr>
            <w:tcW w:w="2070" w:type="dxa"/>
            <w:tcBorders>
              <w:top w:val="single" w:color="auto" w:sz="4" w:space="0"/>
              <w:left w:val="single" w:color="auto" w:sz="4" w:space="0"/>
              <w:bottom w:val="single" w:color="auto" w:sz="4" w:space="0"/>
              <w:right w:val="single" w:color="auto" w:sz="4" w:space="0"/>
            </w:tcBorders>
            <w:vAlign w:val="center"/>
          </w:tcPr>
          <w:p w14:paraId="3F8DE19B">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CPU:8核 内存:32G 磁盘：100GB</w:t>
            </w:r>
          </w:p>
        </w:tc>
        <w:tc>
          <w:tcPr>
            <w:tcW w:w="1219" w:type="dxa"/>
            <w:tcBorders>
              <w:top w:val="single" w:color="000000" w:sz="4" w:space="0"/>
              <w:left w:val="single" w:color="auto" w:sz="4" w:space="0"/>
              <w:bottom w:val="single" w:color="000000" w:sz="4" w:space="0"/>
              <w:right w:val="single" w:color="000000" w:sz="4" w:space="0"/>
            </w:tcBorders>
            <w:noWrap/>
            <w:vAlign w:val="center"/>
          </w:tcPr>
          <w:p w14:paraId="496465A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08F2C5D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172.31.61.4</w:t>
            </w:r>
          </w:p>
        </w:tc>
        <w:tc>
          <w:tcPr>
            <w:tcW w:w="1316" w:type="dxa"/>
            <w:tcBorders>
              <w:top w:val="single" w:color="000000" w:sz="4" w:space="0"/>
              <w:left w:val="single" w:color="000000" w:sz="4" w:space="0"/>
              <w:bottom w:val="nil"/>
              <w:right w:val="single" w:color="000000" w:sz="4" w:space="0"/>
            </w:tcBorders>
            <w:vAlign w:val="center"/>
          </w:tcPr>
          <w:p w14:paraId="7741E62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9DBEB7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677666F0">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auto" w:sz="4" w:space="0"/>
            </w:tcBorders>
            <w:noWrap/>
            <w:vAlign w:val="center"/>
          </w:tcPr>
          <w:p w14:paraId="658D0FC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auto" w:sz="4" w:space="0"/>
              <w:left w:val="single" w:color="auto" w:sz="4" w:space="0"/>
              <w:bottom w:val="single" w:color="auto" w:sz="4" w:space="0"/>
              <w:right w:val="single" w:color="auto" w:sz="4" w:space="0"/>
            </w:tcBorders>
            <w:vAlign w:val="center"/>
          </w:tcPr>
          <w:p w14:paraId="1C2D35E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畜牧农机中心-浙农牧-实验室管理1</w:t>
            </w:r>
          </w:p>
        </w:tc>
        <w:tc>
          <w:tcPr>
            <w:tcW w:w="2070" w:type="dxa"/>
            <w:tcBorders>
              <w:top w:val="single" w:color="auto" w:sz="4" w:space="0"/>
              <w:left w:val="single" w:color="auto" w:sz="4" w:space="0"/>
              <w:bottom w:val="single" w:color="auto" w:sz="4" w:space="0"/>
              <w:right w:val="single" w:color="auto" w:sz="4" w:space="0"/>
            </w:tcBorders>
            <w:vAlign w:val="center"/>
          </w:tcPr>
          <w:p w14:paraId="300A57B2">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CPU:8核 内存:32G 磁盘：100GB</w:t>
            </w:r>
          </w:p>
        </w:tc>
        <w:tc>
          <w:tcPr>
            <w:tcW w:w="1219" w:type="dxa"/>
            <w:tcBorders>
              <w:top w:val="single" w:color="000000" w:sz="4" w:space="0"/>
              <w:left w:val="single" w:color="auto" w:sz="4" w:space="0"/>
              <w:bottom w:val="single" w:color="000000" w:sz="4" w:space="0"/>
              <w:right w:val="single" w:color="000000" w:sz="4" w:space="0"/>
            </w:tcBorders>
            <w:noWrap/>
            <w:vAlign w:val="center"/>
          </w:tcPr>
          <w:p w14:paraId="4A0F2DD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30B680C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172.31.61.3</w:t>
            </w:r>
          </w:p>
        </w:tc>
        <w:tc>
          <w:tcPr>
            <w:tcW w:w="1316" w:type="dxa"/>
            <w:tcBorders>
              <w:top w:val="single" w:color="000000" w:sz="4" w:space="0"/>
              <w:left w:val="single" w:color="000000" w:sz="4" w:space="0"/>
              <w:bottom w:val="single" w:color="000000" w:sz="4" w:space="0"/>
              <w:right w:val="single" w:color="000000" w:sz="4" w:space="0"/>
            </w:tcBorders>
            <w:vAlign w:val="center"/>
          </w:tcPr>
          <w:p w14:paraId="5C2A6D2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068CE6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07E38661">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1EF3701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服务器</w:t>
            </w:r>
          </w:p>
        </w:tc>
        <w:tc>
          <w:tcPr>
            <w:tcW w:w="2242" w:type="dxa"/>
            <w:tcBorders>
              <w:top w:val="single" w:color="auto" w:sz="4" w:space="0"/>
              <w:left w:val="nil"/>
              <w:bottom w:val="single" w:color="000000" w:sz="4" w:space="0"/>
              <w:right w:val="single" w:color="000000" w:sz="4" w:space="0"/>
            </w:tcBorders>
            <w:vAlign w:val="center"/>
          </w:tcPr>
          <w:p w14:paraId="4E18778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畜牧农机中心-浙农牧-数据归集</w:t>
            </w:r>
          </w:p>
        </w:tc>
        <w:tc>
          <w:tcPr>
            <w:tcW w:w="2070" w:type="dxa"/>
            <w:tcBorders>
              <w:top w:val="single" w:color="auto" w:sz="4" w:space="0"/>
              <w:left w:val="single" w:color="000000" w:sz="4" w:space="0"/>
              <w:bottom w:val="single" w:color="000000" w:sz="4" w:space="0"/>
              <w:right w:val="single" w:color="000000" w:sz="4" w:space="0"/>
            </w:tcBorders>
            <w:vAlign w:val="center"/>
          </w:tcPr>
          <w:p w14:paraId="59AF520B">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内存:8G 磁盘：50GB</w:t>
            </w:r>
          </w:p>
        </w:tc>
        <w:tc>
          <w:tcPr>
            <w:tcW w:w="1219" w:type="dxa"/>
            <w:tcBorders>
              <w:top w:val="single" w:color="000000" w:sz="4" w:space="0"/>
              <w:left w:val="single" w:color="000000" w:sz="4" w:space="0"/>
              <w:bottom w:val="single" w:color="000000" w:sz="4" w:space="0"/>
              <w:right w:val="single" w:color="000000" w:sz="4" w:space="0"/>
            </w:tcBorders>
            <w:noWrap/>
            <w:vAlign w:val="center"/>
          </w:tcPr>
          <w:p w14:paraId="56725AB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kylin</w:t>
            </w:r>
          </w:p>
        </w:tc>
        <w:tc>
          <w:tcPr>
            <w:tcW w:w="1646" w:type="dxa"/>
            <w:tcBorders>
              <w:top w:val="single" w:color="000000" w:sz="4" w:space="0"/>
              <w:left w:val="single" w:color="000000" w:sz="4" w:space="0"/>
              <w:bottom w:val="single" w:color="000000" w:sz="4" w:space="0"/>
              <w:right w:val="single" w:color="000000" w:sz="4" w:space="0"/>
            </w:tcBorders>
            <w:vAlign w:val="center"/>
          </w:tcPr>
          <w:p w14:paraId="11E3ADB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172.31.61.23</w:t>
            </w:r>
          </w:p>
        </w:tc>
        <w:tc>
          <w:tcPr>
            <w:tcW w:w="1316" w:type="dxa"/>
            <w:tcBorders>
              <w:top w:val="single" w:color="000000" w:sz="4" w:space="0"/>
              <w:left w:val="single" w:color="000000" w:sz="4" w:space="0"/>
              <w:bottom w:val="single" w:color="000000" w:sz="4" w:space="0"/>
              <w:right w:val="single" w:color="000000" w:sz="4" w:space="0"/>
            </w:tcBorders>
            <w:vAlign w:val="center"/>
          </w:tcPr>
          <w:p w14:paraId="28662B7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21FB4E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bl>
    <w:p w14:paraId="4289716B">
      <w:pPr>
        <w:pStyle w:val="9"/>
        <w:rPr>
          <w:rFonts w:hint="eastAsia" w:ascii="仿宋_GB2312" w:hAnsi="仿宋_GB2312" w:eastAsia="仿宋_GB2312" w:cs="仿宋_GB2312"/>
          <w:szCs w:val="28"/>
        </w:rPr>
      </w:pPr>
    </w:p>
    <w:tbl>
      <w:tblPr>
        <w:tblStyle w:val="19"/>
        <w:tblW w:w="10589" w:type="dxa"/>
        <w:jc w:val="center"/>
        <w:tblLayout w:type="fixed"/>
        <w:tblCellMar>
          <w:top w:w="0" w:type="dxa"/>
          <w:left w:w="108" w:type="dxa"/>
          <w:bottom w:w="0" w:type="dxa"/>
          <w:right w:w="108" w:type="dxa"/>
        </w:tblCellMar>
      </w:tblPr>
      <w:tblGrid>
        <w:gridCol w:w="1219"/>
        <w:gridCol w:w="2196"/>
        <w:gridCol w:w="2053"/>
        <w:gridCol w:w="1223"/>
        <w:gridCol w:w="1650"/>
        <w:gridCol w:w="1315"/>
        <w:gridCol w:w="933"/>
      </w:tblGrid>
      <w:tr w14:paraId="0183092F">
        <w:tblPrEx>
          <w:tblCellMar>
            <w:top w:w="0" w:type="dxa"/>
            <w:left w:w="108" w:type="dxa"/>
            <w:bottom w:w="0" w:type="dxa"/>
            <w:right w:w="108" w:type="dxa"/>
          </w:tblCellMar>
        </w:tblPrEx>
        <w:trPr>
          <w:tblHeader/>
          <w:jc w:val="center"/>
        </w:trPr>
        <w:tc>
          <w:tcPr>
            <w:tcW w:w="1219" w:type="dxa"/>
            <w:tcBorders>
              <w:top w:val="single" w:color="000000" w:sz="4" w:space="0"/>
              <w:left w:val="single" w:color="000000" w:sz="4" w:space="0"/>
              <w:bottom w:val="single" w:color="000000" w:sz="4" w:space="0"/>
              <w:right w:val="single" w:color="000000" w:sz="4" w:space="0"/>
            </w:tcBorders>
            <w:vAlign w:val="center"/>
          </w:tcPr>
          <w:p w14:paraId="75E849B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产品名称</w:t>
            </w:r>
          </w:p>
        </w:tc>
        <w:tc>
          <w:tcPr>
            <w:tcW w:w="2196" w:type="dxa"/>
            <w:tcBorders>
              <w:top w:val="single" w:color="000000" w:sz="4" w:space="0"/>
              <w:left w:val="single" w:color="000000" w:sz="4" w:space="0"/>
              <w:bottom w:val="single" w:color="000000" w:sz="4" w:space="0"/>
              <w:right w:val="single" w:color="000000" w:sz="4" w:space="0"/>
            </w:tcBorders>
            <w:vAlign w:val="center"/>
          </w:tcPr>
          <w:p w14:paraId="28E90B5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实例名称</w:t>
            </w:r>
          </w:p>
        </w:tc>
        <w:tc>
          <w:tcPr>
            <w:tcW w:w="2053" w:type="dxa"/>
            <w:tcBorders>
              <w:top w:val="single" w:color="000000" w:sz="4" w:space="0"/>
              <w:left w:val="single" w:color="000000" w:sz="4" w:space="0"/>
              <w:bottom w:val="single" w:color="000000" w:sz="4" w:space="0"/>
              <w:right w:val="single" w:color="000000" w:sz="4" w:space="0"/>
            </w:tcBorders>
            <w:vAlign w:val="center"/>
          </w:tcPr>
          <w:p w14:paraId="59567CE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实例规格</w:t>
            </w:r>
          </w:p>
        </w:tc>
        <w:tc>
          <w:tcPr>
            <w:tcW w:w="1223" w:type="dxa"/>
            <w:tcBorders>
              <w:top w:val="single" w:color="000000" w:sz="4" w:space="0"/>
              <w:left w:val="single" w:color="000000" w:sz="4" w:space="0"/>
              <w:bottom w:val="single" w:color="000000" w:sz="4" w:space="0"/>
              <w:right w:val="single" w:color="000000" w:sz="4" w:space="0"/>
            </w:tcBorders>
            <w:vAlign w:val="center"/>
          </w:tcPr>
          <w:p w14:paraId="3A4FBD8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数据库类型</w:t>
            </w:r>
          </w:p>
        </w:tc>
        <w:tc>
          <w:tcPr>
            <w:tcW w:w="1650" w:type="dxa"/>
            <w:tcBorders>
              <w:top w:val="single" w:color="000000" w:sz="4" w:space="0"/>
              <w:left w:val="single" w:color="000000" w:sz="4" w:space="0"/>
              <w:bottom w:val="single" w:color="000000" w:sz="4" w:space="0"/>
              <w:right w:val="single" w:color="000000" w:sz="4" w:space="0"/>
            </w:tcBorders>
            <w:vAlign w:val="center"/>
          </w:tcPr>
          <w:p w14:paraId="3037CD7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实例IP</w:t>
            </w:r>
          </w:p>
        </w:tc>
        <w:tc>
          <w:tcPr>
            <w:tcW w:w="1315" w:type="dxa"/>
            <w:tcBorders>
              <w:top w:val="single" w:color="000000" w:sz="4" w:space="0"/>
              <w:left w:val="single" w:color="000000" w:sz="4" w:space="0"/>
              <w:bottom w:val="single" w:color="000000" w:sz="4" w:space="0"/>
              <w:right w:val="single" w:color="000000" w:sz="4" w:space="0"/>
            </w:tcBorders>
            <w:vAlign w:val="center"/>
          </w:tcPr>
          <w:p w14:paraId="22CBF22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云区名称</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2B46E1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备注</w:t>
            </w:r>
          </w:p>
        </w:tc>
      </w:tr>
      <w:tr w14:paraId="0DDF2383">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03DF5E4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数据库</w:t>
            </w:r>
          </w:p>
        </w:tc>
        <w:tc>
          <w:tcPr>
            <w:tcW w:w="2196" w:type="dxa"/>
            <w:tcBorders>
              <w:top w:val="single" w:color="000000" w:sz="4" w:space="0"/>
              <w:left w:val="single" w:color="000000" w:sz="4" w:space="0"/>
              <w:bottom w:val="single" w:color="000000" w:sz="4" w:space="0"/>
              <w:right w:val="single" w:color="000000" w:sz="4" w:space="0"/>
            </w:tcBorders>
            <w:vAlign w:val="center"/>
          </w:tcPr>
          <w:p w14:paraId="7BCFAF0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数字畜牧-RDS-3</w:t>
            </w:r>
          </w:p>
        </w:tc>
        <w:tc>
          <w:tcPr>
            <w:tcW w:w="2053" w:type="dxa"/>
            <w:tcBorders>
              <w:top w:val="single" w:color="000000" w:sz="4" w:space="0"/>
              <w:left w:val="single" w:color="000000" w:sz="4" w:space="0"/>
              <w:bottom w:val="single" w:color="000000" w:sz="4" w:space="0"/>
              <w:right w:val="single" w:color="000000" w:sz="4" w:space="0"/>
            </w:tcBorders>
            <w:vAlign w:val="center"/>
          </w:tcPr>
          <w:p w14:paraId="227E3B43">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内存：16G 磁盘：50GB</w:t>
            </w:r>
          </w:p>
        </w:tc>
        <w:tc>
          <w:tcPr>
            <w:tcW w:w="1223" w:type="dxa"/>
            <w:tcBorders>
              <w:top w:val="nil"/>
              <w:left w:val="nil"/>
              <w:bottom w:val="nil"/>
              <w:right w:val="nil"/>
            </w:tcBorders>
            <w:noWrap/>
            <w:vAlign w:val="center"/>
          </w:tcPr>
          <w:p w14:paraId="07C7DD3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MySQL</w:t>
            </w:r>
          </w:p>
        </w:tc>
        <w:tc>
          <w:tcPr>
            <w:tcW w:w="1650" w:type="dxa"/>
            <w:tcBorders>
              <w:top w:val="single" w:color="000000" w:sz="4" w:space="0"/>
              <w:left w:val="single" w:color="000000" w:sz="4" w:space="0"/>
              <w:bottom w:val="single" w:color="000000" w:sz="4" w:space="0"/>
              <w:right w:val="single" w:color="000000" w:sz="4" w:space="0"/>
            </w:tcBorders>
            <w:vAlign w:val="center"/>
          </w:tcPr>
          <w:p w14:paraId="11D1623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10.146.76.103</w:t>
            </w:r>
          </w:p>
        </w:tc>
        <w:tc>
          <w:tcPr>
            <w:tcW w:w="1315" w:type="dxa"/>
            <w:tcBorders>
              <w:top w:val="single" w:color="000000" w:sz="4" w:space="0"/>
              <w:left w:val="single" w:color="000000" w:sz="4" w:space="0"/>
              <w:bottom w:val="single" w:color="000000" w:sz="4" w:space="0"/>
              <w:right w:val="single" w:color="000000" w:sz="4" w:space="0"/>
            </w:tcBorders>
            <w:vAlign w:val="center"/>
          </w:tcPr>
          <w:p w14:paraId="4EE47EA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F36810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待释放</w:t>
            </w:r>
          </w:p>
        </w:tc>
      </w:tr>
      <w:tr w14:paraId="22611F4F">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right w:val="single" w:color="000000" w:sz="4" w:space="0"/>
            </w:tcBorders>
            <w:noWrap/>
            <w:vAlign w:val="center"/>
          </w:tcPr>
          <w:p w14:paraId="0DB68A9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数据库</w:t>
            </w:r>
          </w:p>
        </w:tc>
        <w:tc>
          <w:tcPr>
            <w:tcW w:w="2196" w:type="dxa"/>
            <w:tcBorders>
              <w:top w:val="single" w:color="000000" w:sz="4" w:space="0"/>
              <w:left w:val="single" w:color="000000" w:sz="4" w:space="0"/>
              <w:right w:val="single" w:color="000000" w:sz="4" w:space="0"/>
            </w:tcBorders>
            <w:vAlign w:val="center"/>
          </w:tcPr>
          <w:p w14:paraId="18EBB39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数字畜牧-2</w:t>
            </w:r>
          </w:p>
        </w:tc>
        <w:tc>
          <w:tcPr>
            <w:tcW w:w="2053" w:type="dxa"/>
            <w:tcBorders>
              <w:top w:val="single" w:color="000000" w:sz="4" w:space="0"/>
              <w:left w:val="single" w:color="000000" w:sz="4" w:space="0"/>
              <w:right w:val="single" w:color="000000" w:sz="4" w:space="0"/>
            </w:tcBorders>
            <w:vAlign w:val="center"/>
          </w:tcPr>
          <w:p w14:paraId="6778BA1A">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CPU：16核 内存：64G 磁盘：500GB</w:t>
            </w:r>
          </w:p>
        </w:tc>
        <w:tc>
          <w:tcPr>
            <w:tcW w:w="1223" w:type="dxa"/>
            <w:tcBorders>
              <w:top w:val="single" w:color="000000" w:sz="4" w:space="0"/>
              <w:left w:val="single" w:color="000000" w:sz="4" w:space="0"/>
              <w:right w:val="single" w:color="000000" w:sz="4" w:space="0"/>
            </w:tcBorders>
            <w:vAlign w:val="center"/>
          </w:tcPr>
          <w:p w14:paraId="3E81571F">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PolarDB-M</w:t>
            </w:r>
          </w:p>
        </w:tc>
        <w:tc>
          <w:tcPr>
            <w:tcW w:w="1650" w:type="dxa"/>
            <w:tcBorders>
              <w:top w:val="single" w:color="000000" w:sz="4" w:space="0"/>
              <w:left w:val="single" w:color="000000" w:sz="4" w:space="0"/>
              <w:right w:val="single" w:color="000000" w:sz="4" w:space="0"/>
            </w:tcBorders>
            <w:noWrap/>
            <w:vAlign w:val="center"/>
          </w:tcPr>
          <w:p w14:paraId="1389D17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172.31.61.37</w:t>
            </w:r>
          </w:p>
        </w:tc>
        <w:tc>
          <w:tcPr>
            <w:tcW w:w="1315" w:type="dxa"/>
            <w:tcBorders>
              <w:top w:val="single" w:color="000000" w:sz="4" w:space="0"/>
              <w:left w:val="single" w:color="000000" w:sz="4" w:space="0"/>
              <w:right w:val="single" w:color="000000" w:sz="4" w:space="0"/>
            </w:tcBorders>
            <w:vAlign w:val="center"/>
          </w:tcPr>
          <w:p w14:paraId="006E6D7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33" w:type="dxa"/>
            <w:tcBorders>
              <w:top w:val="single" w:color="000000" w:sz="4" w:space="0"/>
              <w:left w:val="single" w:color="000000" w:sz="4" w:space="0"/>
              <w:right w:val="single" w:color="000000" w:sz="4" w:space="0"/>
            </w:tcBorders>
            <w:noWrap/>
            <w:vAlign w:val="center"/>
          </w:tcPr>
          <w:p w14:paraId="6C60FBC2">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1DE85495">
        <w:tblPrEx>
          <w:tblCellMar>
            <w:top w:w="0" w:type="dxa"/>
            <w:left w:w="108" w:type="dxa"/>
            <w:bottom w:w="0" w:type="dxa"/>
            <w:right w:w="108" w:type="dxa"/>
          </w:tblCellMar>
        </w:tblPrEx>
        <w:trPr>
          <w:jc w:val="center"/>
        </w:trPr>
        <w:tc>
          <w:tcPr>
            <w:tcW w:w="1219" w:type="dxa"/>
            <w:noWrap/>
            <w:vAlign w:val="center"/>
          </w:tcPr>
          <w:p w14:paraId="7ADB76A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数据库</w:t>
            </w:r>
          </w:p>
        </w:tc>
        <w:tc>
          <w:tcPr>
            <w:tcW w:w="2196" w:type="dxa"/>
            <w:vAlign w:val="center"/>
          </w:tcPr>
          <w:p w14:paraId="399E4FB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数字畜牧-1</w:t>
            </w:r>
          </w:p>
        </w:tc>
        <w:tc>
          <w:tcPr>
            <w:tcW w:w="2053" w:type="dxa"/>
            <w:vAlign w:val="center"/>
          </w:tcPr>
          <w:p w14:paraId="05ECF660">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CPU：16核 内存：32G 磁盘：350GB</w:t>
            </w:r>
          </w:p>
        </w:tc>
        <w:tc>
          <w:tcPr>
            <w:tcW w:w="1223" w:type="dxa"/>
            <w:vAlign w:val="center"/>
          </w:tcPr>
          <w:p w14:paraId="76257A8D">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PolarDB-M</w:t>
            </w:r>
          </w:p>
        </w:tc>
        <w:tc>
          <w:tcPr>
            <w:tcW w:w="1650" w:type="dxa"/>
            <w:noWrap/>
            <w:vAlign w:val="center"/>
          </w:tcPr>
          <w:p w14:paraId="48BFD1D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172.31.61.34</w:t>
            </w:r>
          </w:p>
        </w:tc>
        <w:tc>
          <w:tcPr>
            <w:tcW w:w="1315" w:type="dxa"/>
            <w:vAlign w:val="center"/>
          </w:tcPr>
          <w:p w14:paraId="251D6C0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33" w:type="dxa"/>
            <w:noWrap/>
            <w:vAlign w:val="center"/>
          </w:tcPr>
          <w:p w14:paraId="5BDDC3B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6FBAF846">
        <w:tblPrEx>
          <w:tblCellMar>
            <w:top w:w="0" w:type="dxa"/>
            <w:left w:w="108" w:type="dxa"/>
            <w:bottom w:w="0" w:type="dxa"/>
            <w:right w:w="108" w:type="dxa"/>
          </w:tblCellMar>
        </w:tblPrEx>
        <w:trPr>
          <w:jc w:val="center"/>
        </w:trPr>
        <w:tc>
          <w:tcPr>
            <w:tcW w:w="1219" w:type="dxa"/>
            <w:tcBorders>
              <w:left w:val="single" w:color="000000" w:sz="4" w:space="0"/>
              <w:bottom w:val="single" w:color="000000" w:sz="4" w:space="0"/>
              <w:right w:val="single" w:color="000000" w:sz="4" w:space="0"/>
            </w:tcBorders>
            <w:noWrap/>
            <w:vAlign w:val="center"/>
          </w:tcPr>
          <w:p w14:paraId="5F8B3BA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数据库</w:t>
            </w:r>
          </w:p>
        </w:tc>
        <w:tc>
          <w:tcPr>
            <w:tcW w:w="2196" w:type="dxa"/>
            <w:tcBorders>
              <w:left w:val="single" w:color="000000" w:sz="4" w:space="0"/>
              <w:bottom w:val="single" w:color="000000" w:sz="4" w:space="0"/>
              <w:right w:val="single" w:color="000000" w:sz="4" w:space="0"/>
            </w:tcBorders>
            <w:vAlign w:val="center"/>
          </w:tcPr>
          <w:p w14:paraId="0F8B655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数字畜牧-3</w:t>
            </w:r>
          </w:p>
        </w:tc>
        <w:tc>
          <w:tcPr>
            <w:tcW w:w="2053" w:type="dxa"/>
            <w:tcBorders>
              <w:left w:val="single" w:color="000000" w:sz="4" w:space="0"/>
              <w:bottom w:val="single" w:color="000000" w:sz="4" w:space="0"/>
              <w:right w:val="single" w:color="000000" w:sz="4" w:space="0"/>
            </w:tcBorders>
            <w:vAlign w:val="center"/>
          </w:tcPr>
          <w:p w14:paraId="0F37D280">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内存：16G 磁盘：50GB</w:t>
            </w:r>
          </w:p>
        </w:tc>
        <w:tc>
          <w:tcPr>
            <w:tcW w:w="1223" w:type="dxa"/>
            <w:tcBorders>
              <w:left w:val="single" w:color="000000" w:sz="4" w:space="0"/>
              <w:bottom w:val="single" w:color="000000" w:sz="4" w:space="0"/>
              <w:right w:val="single" w:color="000000" w:sz="4" w:space="0"/>
            </w:tcBorders>
            <w:vAlign w:val="center"/>
          </w:tcPr>
          <w:p w14:paraId="1D5CD00F">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PolarDB-M</w:t>
            </w:r>
          </w:p>
        </w:tc>
        <w:tc>
          <w:tcPr>
            <w:tcW w:w="1650" w:type="dxa"/>
            <w:tcBorders>
              <w:left w:val="single" w:color="000000" w:sz="4" w:space="0"/>
              <w:bottom w:val="single" w:color="000000" w:sz="4" w:space="0"/>
              <w:right w:val="single" w:color="000000" w:sz="4" w:space="0"/>
            </w:tcBorders>
            <w:noWrap/>
            <w:vAlign w:val="center"/>
          </w:tcPr>
          <w:p w14:paraId="40DF5E4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172.31.61.22</w:t>
            </w:r>
          </w:p>
        </w:tc>
        <w:tc>
          <w:tcPr>
            <w:tcW w:w="1315" w:type="dxa"/>
            <w:tcBorders>
              <w:left w:val="single" w:color="000000" w:sz="4" w:space="0"/>
              <w:bottom w:val="single" w:color="000000" w:sz="4" w:space="0"/>
              <w:right w:val="single" w:color="000000" w:sz="4" w:space="0"/>
            </w:tcBorders>
            <w:vAlign w:val="center"/>
          </w:tcPr>
          <w:p w14:paraId="795FDAF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33" w:type="dxa"/>
            <w:tcBorders>
              <w:left w:val="single" w:color="000000" w:sz="4" w:space="0"/>
              <w:bottom w:val="single" w:color="000000" w:sz="4" w:space="0"/>
              <w:right w:val="single" w:color="000000" w:sz="4" w:space="0"/>
            </w:tcBorders>
            <w:noWrap/>
            <w:vAlign w:val="center"/>
          </w:tcPr>
          <w:p w14:paraId="61DA0AB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r w14:paraId="78BCB631">
        <w:tblPrEx>
          <w:tblCellMar>
            <w:top w:w="0" w:type="dxa"/>
            <w:left w:w="108" w:type="dxa"/>
            <w:bottom w:w="0" w:type="dxa"/>
            <w:right w:w="108" w:type="dxa"/>
          </w:tblCellMar>
        </w:tblPrEx>
        <w:trPr>
          <w:jc w:val="center"/>
        </w:trPr>
        <w:tc>
          <w:tcPr>
            <w:tcW w:w="1219" w:type="dxa"/>
            <w:tcBorders>
              <w:top w:val="single" w:color="000000" w:sz="4" w:space="0"/>
              <w:left w:val="single" w:color="000000" w:sz="4" w:space="0"/>
              <w:bottom w:val="single" w:color="000000" w:sz="4" w:space="0"/>
              <w:right w:val="single" w:color="000000" w:sz="4" w:space="0"/>
            </w:tcBorders>
            <w:noWrap/>
            <w:vAlign w:val="center"/>
          </w:tcPr>
          <w:p w14:paraId="4AA1B10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数据库</w:t>
            </w:r>
          </w:p>
        </w:tc>
        <w:tc>
          <w:tcPr>
            <w:tcW w:w="2196" w:type="dxa"/>
            <w:tcBorders>
              <w:top w:val="single" w:color="000000" w:sz="4" w:space="0"/>
              <w:left w:val="single" w:color="000000" w:sz="4" w:space="0"/>
              <w:bottom w:val="single" w:color="000000" w:sz="4" w:space="0"/>
              <w:right w:val="single" w:color="000000" w:sz="4" w:space="0"/>
            </w:tcBorders>
            <w:noWrap/>
            <w:vAlign w:val="center"/>
          </w:tcPr>
          <w:p w14:paraId="2D67621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数字畜牧-3_只读1</w:t>
            </w:r>
          </w:p>
        </w:tc>
        <w:tc>
          <w:tcPr>
            <w:tcW w:w="2053" w:type="dxa"/>
            <w:tcBorders>
              <w:top w:val="single" w:color="000000" w:sz="4" w:space="0"/>
              <w:left w:val="single" w:color="000000" w:sz="4" w:space="0"/>
              <w:bottom w:val="single" w:color="000000" w:sz="4" w:space="0"/>
              <w:right w:val="single" w:color="000000" w:sz="4" w:space="0"/>
            </w:tcBorders>
            <w:vAlign w:val="center"/>
          </w:tcPr>
          <w:p w14:paraId="537E8308">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CPU：4核 内存：16G 磁盘：50GB</w:t>
            </w:r>
          </w:p>
        </w:tc>
        <w:tc>
          <w:tcPr>
            <w:tcW w:w="1223" w:type="dxa"/>
            <w:tcBorders>
              <w:top w:val="single" w:color="000000" w:sz="4" w:space="0"/>
              <w:left w:val="single" w:color="000000" w:sz="4" w:space="0"/>
              <w:bottom w:val="single" w:color="000000" w:sz="4" w:space="0"/>
              <w:right w:val="single" w:color="000000" w:sz="4" w:space="0"/>
            </w:tcBorders>
            <w:vAlign w:val="center"/>
          </w:tcPr>
          <w:p w14:paraId="0E29B9C1">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PolarDB-M</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7AF687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172.31.61.42</w:t>
            </w:r>
          </w:p>
        </w:tc>
        <w:tc>
          <w:tcPr>
            <w:tcW w:w="1315" w:type="dxa"/>
            <w:tcBorders>
              <w:top w:val="single" w:color="000000" w:sz="4" w:space="0"/>
              <w:left w:val="single" w:color="000000" w:sz="4" w:space="0"/>
              <w:bottom w:val="single" w:color="000000" w:sz="4" w:space="0"/>
              <w:right w:val="single" w:color="000000" w:sz="4" w:space="0"/>
            </w:tcBorders>
            <w:vAlign w:val="center"/>
          </w:tcPr>
          <w:p w14:paraId="057A425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政务服务区</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A77B30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28"/>
                <w:szCs w:val="28"/>
              </w:rPr>
            </w:pPr>
          </w:p>
        </w:tc>
      </w:tr>
    </w:tbl>
    <w:p w14:paraId="13CE0061">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3.</w:t>
      </w:r>
      <w:r>
        <w:rPr>
          <w:rFonts w:hint="default" w:ascii="仿宋_GB2312" w:hAnsi="仿宋_GB2312" w:eastAsia="仿宋_GB2312" w:cs="仿宋_GB2312"/>
          <w:b/>
          <w:bCs/>
          <w:color w:val="000000" w:themeColor="text1"/>
          <w:sz w:val="32"/>
          <w:szCs w:val="32"/>
          <w14:textFill>
            <w14:solidFill>
              <w14:schemeClr w14:val="tx1"/>
            </w14:solidFill>
          </w14:textFill>
        </w:rPr>
        <w:t>服务要求</w:t>
      </w:r>
    </w:p>
    <w:p w14:paraId="3A3CDCC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服务过程要求</w:t>
      </w:r>
    </w:p>
    <w:p w14:paraId="04C33C2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响应时限：对于用户提交的运维请求，工作时间内1小时内响应，非工作时间内2小时内响应，响应率达到 100%。及时响应用户需求，提升用户体验。</w:t>
      </w:r>
    </w:p>
    <w:p w14:paraId="3EF8AF4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特殊时期保障：在重大节假日或其他重要日期，安排专人值班，加强系统监控，确保系统稳定运行，及时响应各类需求。</w:t>
      </w:r>
    </w:p>
    <w:p w14:paraId="1956EDCE">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073F1D2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服务人员要求</w:t>
      </w:r>
    </w:p>
    <w:p w14:paraId="682F879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资质与能力要求：运维团队核心成员需拥有至少3年以上系统运维经验，熟悉政务云部署环境、数据库管理、网络安全防护等相关技术，能够熟练处理系统各类运行故障及运维需求。</w:t>
      </w:r>
    </w:p>
    <w:p w14:paraId="3C0F87A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规范要求：运维人员严格遵守采购方的各项规章制度，服从采购方的工作安排，秉持专业、严谨、高效的工作态度开展运维服务；严格保护系统数据及用户信息，严禁泄露、篡改系统数据及相关敏感信息，遵守网络安全相关法律法规及行业规范。</w:t>
      </w:r>
    </w:p>
    <w:p w14:paraId="6325D01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定性要求：运维团队人员配置稳定，需提供2人驻场服务，核心运维人员不随意更换，若确需更换，将提前15个工作日进行工作交接，且更换后的人员资质、能力不低于原人员标准；运维人员确保有充足的工作时间，确保能够及时响应运维需求。</w:t>
      </w:r>
    </w:p>
    <w:p w14:paraId="38418A07">
      <w:p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浙农优品维护</w:t>
      </w:r>
    </w:p>
    <w:p w14:paraId="3556BC37">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正在运行的绿色优质农产品生产服务（浙农优品）应用提供系统应用运维、数据维护工作，包括综合管理系统WEB端、驾驶舱、浙里办端、浙政钉端的现有功能维护与日常数据更新；同时为本应用省主管部门提供技术支持服务。</w:t>
      </w:r>
    </w:p>
    <w:p w14:paraId="2EB031FE">
      <w:pPr>
        <w:spacing w:line="640" w:lineRule="exact"/>
        <w:ind w:firstLine="643" w:firstLineChars="200"/>
        <w:outlineLvl w:val="9"/>
        <w:rPr>
          <w:rFonts w:hint="default" w:ascii="仿宋_GB2312" w:hAnsi="仿宋_GB2312" w:eastAsia="仿宋_GB2312" w:cs="仿宋_GB2312"/>
          <w:b/>
          <w:bCs/>
          <w:color w:val="000000" w:themeColor="text1"/>
          <w:sz w:val="32"/>
          <w:szCs w:val="32"/>
          <w14:textFill>
            <w14:solidFill>
              <w14:schemeClr w14:val="tx1"/>
            </w14:solidFill>
          </w14:textFill>
        </w:rPr>
      </w:pPr>
      <w:r>
        <w:rPr>
          <w:rFonts w:hint="default" w:ascii="仿宋_GB2312" w:hAnsi="仿宋_GB2312" w:eastAsia="仿宋_GB2312" w:cs="仿宋_GB2312"/>
          <w:b/>
          <w:bCs/>
          <w:color w:val="000000" w:themeColor="text1"/>
          <w:sz w:val="32"/>
          <w:szCs w:val="32"/>
          <w:lang w:val="en-US"/>
          <w14:textFill>
            <w14:solidFill>
              <w14:schemeClr w14:val="tx1"/>
            </w14:solidFill>
          </w14:textFill>
        </w:rPr>
        <w:t>1.</w:t>
      </w:r>
      <w:r>
        <w:rPr>
          <w:rFonts w:hint="default" w:ascii="仿宋_GB2312" w:hAnsi="仿宋_GB2312" w:eastAsia="仿宋_GB2312" w:cs="仿宋_GB2312"/>
          <w:b/>
          <w:bCs/>
          <w:color w:val="000000" w:themeColor="text1"/>
          <w:sz w:val="32"/>
          <w:szCs w:val="32"/>
          <w14:textFill>
            <w14:solidFill>
              <w14:schemeClr w14:val="tx1"/>
            </w14:solidFill>
          </w14:textFill>
        </w:rPr>
        <w:t>运维服务内容</w:t>
      </w:r>
    </w:p>
    <w:p w14:paraId="53B4522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模块日常运维</w:t>
      </w:r>
    </w:p>
    <w:p w14:paraId="57AEA0C7">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①</w:t>
      </w:r>
      <w:r>
        <w:rPr>
          <w:rFonts w:hint="eastAsia" w:ascii="仿宋_GB2312" w:hAnsi="仿宋_GB2312" w:eastAsia="仿宋_GB2312" w:cs="仿宋_GB2312"/>
          <w:sz w:val="32"/>
          <w:szCs w:val="32"/>
        </w:rPr>
        <w:t>综合业务管理模块维护</w:t>
      </w:r>
    </w:p>
    <w:p w14:paraId="663ED60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投入品源头管理服务：对驾驶舱内投入品源头管理服务模块中的农资经营、批零直供、监测评价页面及数据运维更新，保障对应业务稳定运行；</w:t>
      </w:r>
    </w:p>
    <w:p w14:paraId="13763BD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肥药减量管理服务：驾驶舱内肥药减量管理服务模块中的土肥专家、植物医生等子应用页面及数据运维更新，保障对应业务稳定运行；</w:t>
      </w:r>
    </w:p>
    <w:p w14:paraId="2B9294E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质量安全管理服务模块：驾驶舱内质量安全管理模块中的生产主体、产品检测、质量追溯、预警处置、走访服务、信用评级页面及数据运维更新，保障对应业务稳定运行；</w:t>
      </w:r>
    </w:p>
    <w:p w14:paraId="7CB1502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品质认证管理服务模块：驾驶舱内品质认证管理服务模块中的认定申报、技术服务、过程监测、预警处置、优品推荐页面及数据运维更新，保障对应业务稳定运行；</w:t>
      </w:r>
    </w:p>
    <w:p w14:paraId="7E04026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农废回收管理服务模块：驾驶舱内农废回收管理服务模块中的回收调运、收贮周转、库容预警、资金补贴页面及数据运维更新，保障对应业务稳定运行；</w:t>
      </w:r>
    </w:p>
    <w:p w14:paraId="1882097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双碳账户管理服务模块：驾驶舱内双碳账户管理服务模块中生态低碳农场、创建进度、低碳技术应用页面及数据运维更新，保障对应业务稳定运行。</w:t>
      </w:r>
    </w:p>
    <w:p w14:paraId="72755DB3">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②</w:t>
      </w:r>
      <w:r>
        <w:rPr>
          <w:rFonts w:hint="eastAsia" w:ascii="仿宋_GB2312" w:hAnsi="仿宋_GB2312" w:eastAsia="仿宋_GB2312" w:cs="仿宋_GB2312"/>
          <w:sz w:val="32"/>
          <w:szCs w:val="32"/>
        </w:rPr>
        <w:t>浙里办浙农优品模块维护</w:t>
      </w:r>
    </w:p>
    <w:p w14:paraId="179F4C2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根据需要对浙里办浙农优品模块中面向农业主体、农资经营主体、抽检机构、农废归集点、服务组织等业务主体对应的子应用模块的浏览、查询、数据更新等功能进行跟踪维护，保障对应业务稳定运行。</w:t>
      </w:r>
    </w:p>
    <w:p w14:paraId="116F6841">
      <w:pPr>
        <w:spacing w:line="640" w:lineRule="exact"/>
        <w:ind w:firstLine="640" w:firstLineChars="200"/>
        <w:rPr>
          <w:rFonts w:hint="eastAsia" w:ascii="仿宋_GB2312" w:hAnsi="仿宋_GB2312" w:eastAsia="仿宋_GB2312" w:cs="仿宋_GB2312"/>
          <w:sz w:val="32"/>
          <w:szCs w:val="32"/>
        </w:rPr>
      </w:pPr>
      <w:r>
        <w:rPr>
          <w:rFonts w:hint="default" w:ascii="Calibri" w:hAnsi="Calibri" w:eastAsia="仿宋_GB2312" w:cs="Calibri"/>
          <w:sz w:val="32"/>
          <w:szCs w:val="32"/>
        </w:rPr>
        <w:t>③</w:t>
      </w:r>
      <w:r>
        <w:rPr>
          <w:rFonts w:hint="eastAsia" w:ascii="仿宋_GB2312" w:hAnsi="仿宋_GB2312" w:eastAsia="仿宋_GB2312" w:cs="仿宋_GB2312"/>
          <w:sz w:val="32"/>
          <w:szCs w:val="32"/>
        </w:rPr>
        <w:t>浙政钉浙农优品模块维护</w:t>
      </w:r>
    </w:p>
    <w:p w14:paraId="6D7D0EC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根据需要对浙政钉浙农优品模块中主体管理、预警处置、统计分析（画像）、在线办理等子应用模块的业务功能进行跟踪维护，保障对应业务稳定运行。</w:t>
      </w:r>
    </w:p>
    <w:p w14:paraId="7D8D0008">
      <w:pPr>
        <w:spacing w:line="640" w:lineRule="exact"/>
        <w:ind w:firstLine="640" w:firstLineChars="200"/>
        <w:rPr>
          <w:rFonts w:hint="default" w:ascii="Calibri" w:hAnsi="Calibri" w:eastAsia="仿宋_GB2312" w:cs="Calibri"/>
          <w:sz w:val="32"/>
          <w:szCs w:val="32"/>
        </w:rPr>
      </w:pPr>
      <w:r>
        <w:rPr>
          <w:rFonts w:hint="default" w:ascii="Calibri" w:hAnsi="Calibri" w:eastAsia="仿宋_GB2312" w:cs="Calibri"/>
          <w:sz w:val="32"/>
          <w:szCs w:val="32"/>
        </w:rPr>
        <w:t>④其他模块维护</w:t>
      </w:r>
    </w:p>
    <w:p w14:paraId="289AE29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根据需要对驾驶舱首页、能力中心以及主体名片等子模块应用的浏览、查询、数据更新等功能进行跟踪维护，保障对应业务稳定运行。</w:t>
      </w:r>
    </w:p>
    <w:p w14:paraId="69061D0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数据贯通维护</w:t>
      </w:r>
    </w:p>
    <w:p w14:paraId="3811953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绿色优质农产品生产服务（浙农优品）应用数据库维护。利用数据接口实现外部业务系统的农业主体、农产品承诺达标合格证等数据可对接入库，提供标准规范以便于对接数据的自主清洗、整理及推送入库。</w:t>
      </w:r>
    </w:p>
    <w:p w14:paraId="056A831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配合业务运转和数据更新，根据实际情况实施现有功能范围内的维护；对系统使用产生的业务数据进行维护，做好数据资源保障，定期完成向IRS平台做数据归集。</w:t>
      </w:r>
    </w:p>
    <w:p w14:paraId="2E7CE1E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数据归集</w:t>
      </w:r>
    </w:p>
    <w:p w14:paraId="033ACB5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前置库方式，数据统一归集到浙江乡村大脑和省公共数据管理平台。数据脱敏按照《浙江省公共数据安全脱敏技术规范（试行）》中规定的要求实施。协助浙江省农业农村大数据发展中心及相关业务部门做好数据归集工作，满足业主单位的要求。</w:t>
      </w:r>
    </w:p>
    <w:p w14:paraId="2A5C2285">
      <w:pPr>
        <w:spacing w:line="640" w:lineRule="exact"/>
        <w:ind w:firstLine="643" w:firstLineChars="200"/>
        <w:outlineLvl w:val="9"/>
        <w:rPr>
          <w:rFonts w:hint="eastAsia" w:ascii="仿宋_GB2312" w:hAnsi="仿宋_GB2312" w:eastAsia="仿宋_GB2312" w:cs="仿宋_GB2312"/>
          <w:b/>
          <w:bCs/>
          <w:sz w:val="32"/>
          <w:szCs w:val="32"/>
        </w:rPr>
      </w:pPr>
      <w:r>
        <w:rPr>
          <w:rFonts w:hint="default" w:ascii="仿宋_GB2312" w:hAnsi="仿宋_GB2312" w:eastAsia="仿宋_GB2312" w:cs="仿宋_GB2312"/>
          <w:b/>
          <w:bCs/>
          <w:sz w:val="32"/>
          <w:szCs w:val="32"/>
          <w:lang w:val="en-US"/>
        </w:rPr>
        <w:t>2.</w:t>
      </w:r>
      <w:r>
        <w:rPr>
          <w:rFonts w:hint="eastAsia" w:ascii="仿宋_GB2312" w:hAnsi="仿宋_GB2312" w:eastAsia="仿宋_GB2312" w:cs="仿宋_GB2312"/>
          <w:b/>
          <w:bCs/>
          <w:sz w:val="32"/>
          <w:szCs w:val="32"/>
        </w:rPr>
        <w:t>技术支持服务</w:t>
      </w:r>
    </w:p>
    <w:p w14:paraId="6513CA9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系统支持维护</w:t>
      </w:r>
    </w:p>
    <w:p w14:paraId="2F4B3E0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运行保障。提供7×24全时段稳定性运行保障和5×8现场恢复服务。开发技术人员提供工作时间内快速响应服务。</w:t>
      </w:r>
    </w:p>
    <w:p w14:paraId="51C6AB3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技术咨询。通过电话、微信、浙政钉等通讯工具，支撑省主管部门用户就系统使用问题和业务进行咨询答疑、操作指导、技术支持，以及电脑远程操作指导等。</w:t>
      </w:r>
    </w:p>
    <w:p w14:paraId="7E6FCD5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故障修复。定期巡检系统功能和相关反馈情况，以及监控软件、巡检发现的异常，及时做好故障修复，确保系统稳定运行。</w:t>
      </w:r>
    </w:p>
    <w:p w14:paraId="6406E89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配合业务单位做好重大活动、网络安全检查、渗透测试、攻防演练、漏洞扫描、应急演练等专项服务的支撑保障工作。配合省数据局和省农业农村大数据发展中心发布的系统漏洞、系统风险通知，积极响应，组织、沟通协作各方相关人员，及时排查涉及的服务器、数据库、应用等，及时对系统漏洞、系统风险进行修复。</w:t>
      </w:r>
    </w:p>
    <w:p w14:paraId="5D0E5750">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云资源维护</w:t>
      </w:r>
    </w:p>
    <w:p w14:paraId="76C5F02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服务器补丁升级。定期检查操作系统是否存在补丁，并更新补丁。检查服务器桌面是否存在临时文件，并删除临时文件。</w:t>
      </w:r>
    </w:p>
    <w:p w14:paraId="1F30455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安全软件检查。检查云服务器有无杀毒安全软件，确认安全软件是否正常运行，设置密码保护密码，及时更新病毒库。检查并及时升级运维工具。</w:t>
      </w:r>
    </w:p>
    <w:p w14:paraId="1546396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云资源维护。按照业务单位云资源管理要求及应用使用需求，按需维护资源，协助业主单位完成云资源申请相关材料，对资源进行新增、升配、降配、释放、端口变更等运维工作。</w:t>
      </w:r>
    </w:p>
    <w:p w14:paraId="658F084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巡检服务</w:t>
      </w:r>
    </w:p>
    <w:p w14:paraId="690BA30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要求运维单位提供确保绿色优质农产品生产服务（浙农优品）应用运行正常、稳定、可靠的技术支持和技术服务。</w:t>
      </w:r>
    </w:p>
    <w:p w14:paraId="5715AC5A">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运维单位严格把控系统安全风险，定期开展系统巡检，提供至少每月1次的系统巡检工作，内容包括不限于系统运行状况、系统资源占用情况、系统漏洞排查情况、数据接口贯通情况、业务数据更新情况等，并出具巡检报告。要求在政府重要活动、会议召开期间对系统进行7*24小时严密监控。</w:t>
      </w:r>
    </w:p>
    <w:p w14:paraId="0A33E9A8">
      <w:pPr>
        <w:spacing w:line="640" w:lineRule="exact"/>
        <w:ind w:firstLine="643" w:firstLineChars="200"/>
        <w:outlineLvl w:val="9"/>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lang w:val="en-US"/>
        </w:rPr>
        <w:t>3.</w:t>
      </w:r>
      <w:r>
        <w:rPr>
          <w:rFonts w:hint="default" w:ascii="仿宋_GB2312" w:hAnsi="仿宋_GB2312" w:eastAsia="仿宋_GB2312" w:cs="仿宋_GB2312"/>
          <w:b/>
          <w:bCs/>
          <w:sz w:val="32"/>
          <w:szCs w:val="32"/>
        </w:rPr>
        <w:t>服务要求</w:t>
      </w:r>
    </w:p>
    <w:p w14:paraId="2B57FB8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服务过程要求</w:t>
      </w:r>
    </w:p>
    <w:p w14:paraId="2CA02DEE">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维单位需签订《信息技术供应链企业网络和数据安全责任书》、《浙江省信息技术供应链安全标准补充协议》，《信息技术服务人员网络安全和保密责任书》。运维单位负责所运维服务的安全责任，如出现系统故障、系统漏洞、安全事故等安全问题，造成的损失由运维单位承担。运维单位对本项目所有数据不得带离业主单位指定的工作现场，所产生的业务资料、技术信息等负有保密责任，未经业主单位同意不得提供给任何第三方。运维单位应对有关人员进行有效管理，包括制定规章制度，以确保满足本项目要求。运维单位和人员严格遵守业主单位的规章制度和保密制度。</w:t>
      </w:r>
    </w:p>
    <w:p w14:paraId="3EA9E71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要求运维单位在实施过程中应尽可能小的影响系统和网络的正常运行，做好备份和应急措施,不能对业主单位应用系统的正常运行产生影响，包括系统性能明显下降、网络拥塞、服务中断等，如无法避免出现这些情况应先停止项目实施，并向业主单位书面详细描述。 </w:t>
      </w:r>
    </w:p>
    <w:p w14:paraId="4BFEAC6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要求运维单位具有应急响应机制，提供完整的应急处理流程和预防措施，根据不同故障类型、不同紧急程度说明突发事件的应急策略。</w:t>
      </w:r>
    </w:p>
    <w:p w14:paraId="76EA73E9">
      <w:pPr>
        <w:spacing w:line="640" w:lineRule="exact"/>
        <w:ind w:firstLine="616" w:firstLineChars="200"/>
        <w:rPr>
          <w:rFonts w:hint="eastAsia"/>
        </w:rPr>
      </w:pPr>
      <w:r>
        <w:rPr>
          <w:rFonts w:hint="eastAsia" w:ascii="仿宋_GB2312" w:hAnsi="Times New Roman" w:eastAsia="仿宋_GB2312"/>
          <w:spacing w:val="-6"/>
          <w:sz w:val="32"/>
          <w:szCs w:val="32"/>
        </w:rPr>
        <w:t>根据《浙江省政务应用系统集约运维改革工作方案》，配合采购人完成应用纳入数字化运维系统（DMS）统一管理，实现应用全量监测、实时预警、快速处置，开展统一运维工作。系统部署在本地或者非政务云的，应充分评估并配合应用系统应上云尽上云。</w:t>
      </w:r>
    </w:p>
    <w:p w14:paraId="73327F5C">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服务人员要求</w:t>
      </w:r>
    </w:p>
    <w:p w14:paraId="55F105F3">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资质与能力要求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负责人、项目组成员要求具有本项目相关信息系统开发或运维经验。所有进场运维服务人员服从业主单位的领导和管理。要求提供1名驻场运维人员，负责软件系统的日常运行监控、定期巡检和性能检查，及时发现潜在问题并预防故障发生；快速响应系统异常，进行问题定位、排查与修复，确保业务连续性。</w:t>
      </w:r>
    </w:p>
    <w:p w14:paraId="4CFE7AB2">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工作规范要求</w:t>
      </w:r>
    </w:p>
    <w:p w14:paraId="1A55DB15">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运维单位需对工作任务进行分解，制订详尽的运维计划和时间安排，包括项目实施人员组织和管理、质量保障和风险分析、对项目运维服务过程的管理与控制，保证系统运维得以有效实施。</w:t>
      </w:r>
    </w:p>
    <w:p w14:paraId="182EBDD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运维单位在项目实施过程中出现资源、进度、质量协调控制不力的情况，业主单位有权要求更换相关项目人员，运维单位必须予以配合，并确保不影响项目建设的进度和质量。</w:t>
      </w:r>
    </w:p>
    <w:p w14:paraId="541D744F">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稳定性要求</w:t>
      </w:r>
    </w:p>
    <w:p w14:paraId="6270424D">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要求运维单位在实施过程中，项目负责人、项目组成员不得随意更换，如更换需向业主单位提供书面申请，等到业主单位确认后方可更换。</w:t>
      </w:r>
    </w:p>
    <w:p w14:paraId="55FF1826">
      <w:pPr>
        <w:spacing w:line="640" w:lineRule="exact"/>
        <w:ind w:left="0" w:leftChars="0" w:firstLine="640" w:firstLineChars="200"/>
        <w:outlineLvl w:val="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lang w:val="en-US" w:eastAsia="zh-CN" w:bidi="ar-SA"/>
        </w:rPr>
        <w:t>三、统一服务要求</w:t>
      </w:r>
    </w:p>
    <w:p w14:paraId="5D78BAD4">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（一）维护期</w:t>
      </w:r>
    </w:p>
    <w:p w14:paraId="140EEC19">
      <w:pPr>
        <w:numPr>
          <w:ilvl w:val="0"/>
          <w:numId w:val="0"/>
        </w:numPr>
        <w:spacing w:line="64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浙江乡村大脑维护，维护期2026年10月10日至2027年4月30日；</w:t>
      </w:r>
    </w:p>
    <w:p w14:paraId="1F8BDC1F">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2.</w:t>
      </w:r>
      <w:r>
        <w:rPr>
          <w:rFonts w:hint="eastAsia" w:ascii="仿宋_GB2312" w:hAnsi="仿宋_GB2312" w:eastAsia="仿宋_GB2312" w:cs="仿宋_GB2312"/>
          <w:sz w:val="32"/>
          <w:szCs w:val="32"/>
          <w:lang w:val="en-US" w:eastAsia="zh-CN"/>
        </w:rPr>
        <w:t>浙农码维护，维护期2026年10月10日至2027年4月30日；</w:t>
      </w:r>
    </w:p>
    <w:p w14:paraId="235F9E8D">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3.</w:t>
      </w:r>
      <w:r>
        <w:rPr>
          <w:rFonts w:hint="eastAsia" w:ascii="仿宋_GB2312" w:hAnsi="仿宋_GB2312" w:eastAsia="仿宋_GB2312" w:cs="仿宋_GB2312"/>
          <w:sz w:val="32"/>
          <w:szCs w:val="32"/>
          <w:lang w:val="en-US" w:eastAsia="zh-CN"/>
        </w:rPr>
        <w:t>浙农牧维护，维护期自合同签订之日起至2027年4月30日；</w:t>
      </w:r>
    </w:p>
    <w:p w14:paraId="1F40549D">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4.</w:t>
      </w:r>
      <w:r>
        <w:rPr>
          <w:rFonts w:hint="eastAsia" w:ascii="仿宋_GB2312" w:hAnsi="仿宋_GB2312" w:eastAsia="仿宋_GB2312" w:cs="仿宋_GB2312"/>
          <w:sz w:val="32"/>
          <w:szCs w:val="32"/>
          <w:lang w:val="en-US" w:eastAsia="zh-CN"/>
        </w:rPr>
        <w:t>浙农优品维护，维护期2026年10月10日至2027年4月30日；</w:t>
      </w:r>
    </w:p>
    <w:p w14:paraId="6384176C">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5.</w:t>
      </w:r>
      <w:r>
        <w:rPr>
          <w:rFonts w:hint="eastAsia" w:ascii="仿宋_GB2312" w:hAnsi="仿宋_GB2312" w:eastAsia="仿宋_GB2312" w:cs="仿宋_GB2312"/>
          <w:sz w:val="32"/>
          <w:szCs w:val="32"/>
          <w:lang w:val="en-US" w:eastAsia="zh-CN"/>
        </w:rPr>
        <w:t>浙农帮扶（浙农富裕）应用维护，维护期2026年10月15日至2027年4月30日；</w:t>
      </w:r>
    </w:p>
    <w:p w14:paraId="2AF3CE38">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6.</w:t>
      </w:r>
      <w:r>
        <w:rPr>
          <w:rFonts w:hint="eastAsia" w:ascii="仿宋_GB2312" w:hAnsi="仿宋_GB2312" w:eastAsia="仿宋_GB2312" w:cs="仿宋_GB2312"/>
          <w:sz w:val="32"/>
          <w:szCs w:val="32"/>
          <w:lang w:val="en-US" w:eastAsia="zh-CN"/>
        </w:rPr>
        <w:t>浙农粮维护，维护期自合同签订之日起至2027年4月30日；</w:t>
      </w:r>
    </w:p>
    <w:p w14:paraId="4F33733C">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7.</w:t>
      </w:r>
      <w:r>
        <w:rPr>
          <w:rFonts w:hint="eastAsia" w:ascii="仿宋_GB2312" w:hAnsi="仿宋_GB2312" w:eastAsia="仿宋_GB2312" w:cs="仿宋_GB2312"/>
          <w:sz w:val="32"/>
          <w:szCs w:val="32"/>
          <w:lang w:val="en-US" w:eastAsia="zh-CN"/>
        </w:rPr>
        <w:t>浙农机维护，维护期2026年9月29日至2027年4月30日；</w:t>
      </w:r>
    </w:p>
    <w:p w14:paraId="4B8233F0">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8.</w:t>
      </w:r>
      <w:r>
        <w:rPr>
          <w:rFonts w:hint="eastAsia" w:ascii="仿宋_GB2312" w:hAnsi="仿宋_GB2312" w:eastAsia="仿宋_GB2312" w:cs="仿宋_GB2312"/>
          <w:sz w:val="32"/>
          <w:szCs w:val="32"/>
          <w:lang w:val="en-US" w:eastAsia="zh-CN"/>
        </w:rPr>
        <w:t>浙农田维护，维护期2026年10月14日至2027年4月30日；</w:t>
      </w:r>
    </w:p>
    <w:p w14:paraId="39452A53">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9.</w:t>
      </w:r>
      <w:r>
        <w:rPr>
          <w:rFonts w:hint="eastAsia" w:ascii="仿宋_GB2312" w:hAnsi="仿宋_GB2312" w:eastAsia="仿宋_GB2312" w:cs="仿宋_GB2312"/>
          <w:sz w:val="32"/>
          <w:szCs w:val="32"/>
          <w:lang w:val="en-US" w:eastAsia="zh-CN"/>
        </w:rPr>
        <w:t>浙江省农业农村行政审批系统维护，维护期2026年10月8日至2027年4月30日；</w:t>
      </w:r>
    </w:p>
    <w:p w14:paraId="2F1C531F">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10.</w:t>
      </w:r>
      <w:r>
        <w:rPr>
          <w:rFonts w:hint="eastAsia" w:ascii="仿宋_GB2312" w:hAnsi="仿宋_GB2312" w:eastAsia="仿宋_GB2312" w:cs="仿宋_GB2312"/>
          <w:sz w:val="32"/>
          <w:szCs w:val="32"/>
          <w:lang w:val="en-US" w:eastAsia="zh-CN"/>
        </w:rPr>
        <w:t>浙江农业信息网维护，维护期2026年11月27日至2027年4月30日；</w:t>
      </w:r>
    </w:p>
    <w:p w14:paraId="5F61A9E3">
      <w:pPr>
        <w:numPr>
          <w:ilvl w:val="0"/>
          <w:numId w:val="0"/>
        </w:numPr>
        <w:spacing w:line="640" w:lineRule="exact"/>
        <w:ind w:firstLine="640" w:firstLineChars="200"/>
        <w:outlineLvl w:val="1"/>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11.</w:t>
      </w:r>
      <w:r>
        <w:rPr>
          <w:rFonts w:hint="eastAsia" w:ascii="仿宋_GB2312" w:hAnsi="仿宋_GB2312" w:eastAsia="仿宋_GB2312" w:cs="仿宋_GB2312"/>
          <w:sz w:val="32"/>
          <w:szCs w:val="32"/>
          <w:lang w:val="en-US" w:eastAsia="zh-CN"/>
        </w:rPr>
        <w:t>全国防止返贫监测和衔接推进乡村振兴信息系统维护，维护期2026年11月27日至2027年4月30日。</w:t>
      </w:r>
    </w:p>
    <w:p w14:paraId="5E1218FF">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（二）服务要求</w:t>
      </w:r>
    </w:p>
    <w:p w14:paraId="316E9972">
      <w:pPr>
        <w:pStyle w:val="33"/>
        <w:keepNext w:val="0"/>
        <w:keepLines w:val="0"/>
        <w:pageBreakBefore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val="0"/>
        <w:spacing w:beforeAutospacing="0" w:after="0" w:afterAutospacing="0" w:line="560" w:lineRule="exact"/>
        <w:ind w:left="0" w:right="0" w:firstLine="640" w:firstLineChars="200"/>
        <w:jc w:val="both"/>
        <w:textAlignment w:val="auto"/>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pPr>
      <w:r>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t>1.接受网信、公安等监管单位的指导、监督及安全监管。严格按照《中华人民共和国网络安全法》、《中华人民共和国个人信息保护法》、《中华人民共和国数据安全法》、《关键信息基础设施安全保护条例》、《浙江省信息技术外包网络安全管理办法》、《浙江省政务应用系统集约运维改革实施指引（试行）》及相关实施细则相关要求，对采购人统管运维业务系统及配套基础设施进行运维管理。</w:t>
      </w:r>
    </w:p>
    <w:p w14:paraId="1FC92862">
      <w:pPr>
        <w:pStyle w:val="33"/>
        <w:keepNext w:val="0"/>
        <w:keepLines w:val="0"/>
        <w:pageBreakBefore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val="0"/>
        <w:spacing w:beforeAutospacing="0" w:after="0" w:afterAutospacing="0" w:line="560" w:lineRule="exact"/>
        <w:ind w:left="0" w:right="0" w:firstLine="640" w:firstLineChars="200"/>
        <w:jc w:val="both"/>
        <w:textAlignment w:val="auto"/>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pPr>
      <w:r>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t>2.对系统开放端口建立实时检查机制，开放端口应遵循最小必需，避免存在攻击面风险。采取有效管理和技术措施，保障采购人统管运维业务系统及配套基础设施服务安全和稳定运行，保证数据的保密性、完整性和可用性。</w:t>
      </w:r>
    </w:p>
    <w:p w14:paraId="1D536E0D">
      <w:pPr>
        <w:pStyle w:val="33"/>
        <w:keepNext w:val="0"/>
        <w:keepLines w:val="0"/>
        <w:pageBreakBefore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val="0"/>
        <w:spacing w:beforeAutospacing="0" w:after="0" w:afterAutospacing="0" w:line="560" w:lineRule="exact"/>
        <w:ind w:left="0" w:right="0" w:firstLine="640" w:firstLineChars="200"/>
        <w:jc w:val="both"/>
        <w:textAlignment w:val="auto"/>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pPr>
      <w:r>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t>3.未经采购人及业务使用方允许，不得擅自访问、操作、披露、利用系统相关数据或提供给任何第三方使用。</w:t>
      </w:r>
    </w:p>
    <w:p w14:paraId="176CAEE3">
      <w:pPr>
        <w:pStyle w:val="33"/>
        <w:keepNext w:val="0"/>
        <w:keepLines w:val="0"/>
        <w:pageBreakBefore w:val="0"/>
        <w:widowControl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val="0"/>
        <w:spacing w:beforeAutospacing="0" w:after="0" w:afterAutospacing="0" w:line="560" w:lineRule="exact"/>
        <w:ind w:left="0" w:right="0" w:firstLine="640" w:firstLineChars="200"/>
        <w:jc w:val="both"/>
        <w:textAlignment w:val="auto"/>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pPr>
      <w:r>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t>4.提供 5×8小时实时售后咨询服务和 7×24小时电话在线服务。技术支持、系统维护人员应及时接听故障处理电话（因忙音或未接听的应在15分钟之内回拨），及时回复采购人及业务使用方提出的技术咨询或问题解答。</w:t>
      </w:r>
    </w:p>
    <w:p w14:paraId="34CA8086">
      <w:pPr>
        <w:pStyle w:val="3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napToGrid w:val="0"/>
        <w:spacing w:after="0" w:line="560" w:lineRule="exact"/>
        <w:ind w:left="0" w:firstLine="640" w:firstLineChars="200"/>
        <w:rPr>
          <w:rFonts w:hint="default"/>
          <w:lang w:val="en-US" w:eastAsia="zh-CN"/>
        </w:rPr>
      </w:pPr>
      <w:r>
        <w:rPr>
          <w:rFonts w:hint="default" w:ascii="Times New Roman" w:hAnsi="Times New Roman" w:cs="Times New Roman"/>
          <w:bCs w:val="0"/>
          <w:color w:val="000000" w:themeColor="text1"/>
          <w:kern w:val="2"/>
          <w:sz w:val="32"/>
          <w:szCs w:val="32"/>
          <w:lang w:val="en-US" w:eastAsia="zh-CN"/>
          <w14:textFill>
            <w14:solidFill>
              <w14:schemeClr w14:val="tx1"/>
            </w14:solidFill>
          </w14:textFill>
        </w:rPr>
        <w:t>5.故障平均响应时间不超过30分钟、平均恢复时间不超过60分钟；现场无人值守不得超过30分钟。</w:t>
      </w:r>
    </w:p>
    <w:p w14:paraId="097A6743">
      <w:pPr>
        <w:numPr>
          <w:ilvl w:val="0"/>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（三）验收要求</w:t>
      </w:r>
    </w:p>
    <w:p w14:paraId="195FC4B9">
      <w:pPr>
        <w:numPr>
          <w:ilvl w:val="0"/>
          <w:numId w:val="0"/>
        </w:numPr>
        <w:spacing w:line="640" w:lineRule="exact"/>
        <w:ind w:firstLine="640" w:firstLineChars="200"/>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val="en-US" w:eastAsia="zh-CN"/>
        </w:rPr>
        <w:t>年1月15日前统一组织初验，</w:t>
      </w:r>
      <w:r>
        <w:rPr>
          <w:rFonts w:hint="eastAsia" w:ascii="仿宋_GB2312" w:hAnsi="仿宋_GB2312" w:eastAsia="仿宋_GB2312" w:cs="仿宋_GB2312"/>
          <w:sz w:val="32"/>
          <w:szCs w:val="32"/>
        </w:rPr>
        <w:t>成交供应商</w:t>
      </w:r>
      <w:r>
        <w:rPr>
          <w:rFonts w:hint="eastAsia" w:ascii="仿宋_GB2312" w:hAnsi="仿宋_GB2312" w:eastAsia="仿宋_GB2312" w:cs="仿宋_GB2312"/>
          <w:color w:val="auto"/>
          <w:sz w:val="32"/>
          <w:szCs w:val="32"/>
          <w:highlight w:val="none"/>
        </w:rPr>
        <w:t>提交项目阶段服务成果和初验验收申请、组织验收，完成项目初验。运维服务到期后，提交项目服务成果和终验验收申请、组织验收，完成项目终验。按采购方及业务使用方要求对成交供应商的服务内容、服务质量等进行验收。本项目验收时，成交供应商应按照规定提供项目服务实施文档、日常运维和故障处理报告、运维总结报告等相关运维验收材料。</w:t>
      </w:r>
    </w:p>
    <w:p w14:paraId="4DDC47FA">
      <w:pPr>
        <w:numPr>
          <w:ilvl w:val="-1"/>
          <w:numId w:val="0"/>
        </w:num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人员要求</w:t>
      </w:r>
    </w:p>
    <w:p w14:paraId="7AA5B187">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质要求：投标人应配备完成项目实施所需的项目组人员。项目负责人要求具有信息系统项目管理师证书等与本项目相关专业的高级技术职称（资格）证书；项目技术负责人要求具有信息系统管理工程师证书等与本项目相关专业的中级及以上技术职称（资格）证书。</w:t>
      </w:r>
    </w:p>
    <w:p w14:paraId="5C02F224">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2.能力要求：驻场技术人员须具有3年以上政府信息化系统或同类农业农村业务系统运维经验，熟悉相关技术和业务流程。</w:t>
      </w:r>
    </w:p>
    <w:p w14:paraId="0831A283">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3.工作规范要求：驻场人员须在指定地点（省农业农村厅）提供常驻现场服务，负责现场技术支持、用户沟通、需求收集、紧急故障处置等工作，遵守项管理规定。</w:t>
      </w:r>
    </w:p>
    <w:p w14:paraId="64465039">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4.稳定性要求：项目实施团队应保证驻场人员的稳定性，如确需更换，须提前与甲方沟通并征得同意，确保服务连续性。</w:t>
      </w:r>
    </w:p>
    <w:p w14:paraId="0C43AE5F">
      <w:pPr>
        <w:numPr>
          <w:ilvl w:val="-1"/>
          <w:numId w:val="0"/>
        </w:numPr>
        <w:spacing w:line="640" w:lineRule="exact"/>
        <w:ind w:firstLine="640" w:firstLineChars="200"/>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5.人数要求：</w:t>
      </w:r>
      <w:r>
        <w:rPr>
          <w:rFonts w:hint="eastAsia" w:ascii="仿宋_GB2312" w:hAnsi="仿宋_GB2312" w:eastAsia="仿宋_GB2312" w:cs="仿宋_GB2312"/>
          <w:sz w:val="32"/>
          <w:szCs w:val="32"/>
          <w:highlight w:val="none"/>
          <w:lang w:val="en-US" w:eastAsia="zh-CN"/>
        </w:rPr>
        <w:t>共需驻场服务人员11人。</w:t>
      </w:r>
    </w:p>
    <w:p w14:paraId="7E5F5D41">
      <w:pPr>
        <w:numPr>
          <w:ilvl w:val="0"/>
          <w:numId w:val="0"/>
        </w:numPr>
        <w:spacing w:line="64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知识产权要求</w:t>
      </w:r>
    </w:p>
    <w:p w14:paraId="370BF2E4">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项目过程中所产生的技术成果（包括工程实施文档、软件、技术诀窍、秘密信息、技术资料、采集或产生的数据等）的知识产权包括相关权益归采购人所有，未经同意，不得将涉及知识产权的技术秘密透露给第三方。中标供应商有不可争议的义务确保采购人依据本次采购所获得的知识产权不存在任何瑕疵并且可以不受限制地行使相关权利，包括各项延伸权利。</w:t>
      </w:r>
    </w:p>
    <w:p w14:paraId="63BD7DE3">
      <w:pPr>
        <w:widowControl/>
        <w:numPr>
          <w:ilvl w:val="0"/>
          <w:numId w:val="0"/>
        </w:numPr>
        <w:snapToGrid w:val="0"/>
        <w:spacing w:after="0" w:afterAutospacing="0" w:line="640" w:lineRule="exact"/>
        <w:ind w:left="0" w:firstLine="640" w:firstLineChars="200"/>
        <w:jc w:val="both"/>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（六）保密要求</w:t>
      </w:r>
    </w:p>
    <w:p w14:paraId="3F5D2858">
      <w:pPr>
        <w:widowControl/>
        <w:numPr>
          <w:ilvl w:val="0"/>
          <w:numId w:val="0"/>
        </w:numPr>
        <w:snapToGrid w:val="0"/>
        <w:spacing w:after="0" w:afterAutospacing="0" w:line="640" w:lineRule="exact"/>
        <w:ind w:left="0" w:firstLine="640" w:firstLineChars="200"/>
        <w:jc w:val="both"/>
        <w:outlineLvl w:val="1"/>
        <w:rPr>
          <w:rFonts w:hint="eastAsia" w:ascii="仿宋_GB2312" w:hAnsi="仿宋_GB2312" w:eastAsia="仿宋_GB2312" w:cs="仿宋_GB2312"/>
          <w:bCs w:val="0"/>
          <w:color w:val="000000"/>
          <w:sz w:val="32"/>
          <w:szCs w:val="32"/>
          <w:lang w:val="en-US"/>
        </w:rPr>
      </w:pPr>
      <w:r>
        <w:rPr>
          <w:rFonts w:hint="eastAsia" w:ascii="仿宋_GB2312" w:hAnsi="仿宋_GB2312" w:eastAsia="仿宋_GB2312" w:cs="仿宋_GB2312"/>
          <w:bCs w:val="0"/>
          <w:color w:val="000000"/>
          <w:sz w:val="32"/>
          <w:szCs w:val="32"/>
          <w:lang w:val="en-US"/>
        </w:rPr>
        <w:t>1.</w:t>
      </w:r>
      <w:r>
        <w:rPr>
          <w:rFonts w:hint="eastAsia" w:ascii="仿宋_GB2312" w:hAnsi="仿宋_GB2312" w:eastAsia="仿宋_GB2312" w:cs="仿宋_GB2312"/>
          <w:bCs w:val="0"/>
          <w:color w:val="000000"/>
          <w:sz w:val="32"/>
          <w:szCs w:val="32"/>
          <w:lang w:eastAsia="zh-CN"/>
        </w:rPr>
        <w:t>成交供应商须承诺其项目派出运维人员签订保密协议或保密承诺书，运维人员须遵循采购人的各项安全制度，所接触的技术方案、系统配置、网络结构、联系方式、线路通讯、审计信息等内容只允许本人在本项目中使用，供应商及其员工应严格保守其因身份、职务、职业或技术关系而知悉的采购人及业务使用方商业秘密和党政机关保密信息，保证不被披露或使用。</w:t>
      </w:r>
    </w:p>
    <w:p w14:paraId="09A5406D">
      <w:pPr>
        <w:widowControl/>
        <w:numPr>
          <w:ilvl w:val="0"/>
          <w:numId w:val="0"/>
        </w:numPr>
        <w:snapToGrid w:val="0"/>
        <w:spacing w:after="0" w:afterAutospacing="0" w:line="640" w:lineRule="exact"/>
        <w:ind w:left="0" w:firstLine="640" w:firstLineChars="200"/>
        <w:jc w:val="both"/>
        <w:outlineLvl w:val="1"/>
        <w:rPr>
          <w:rFonts w:hint="eastAsia" w:ascii="仿宋_GB2312" w:hAnsi="仿宋_GB2312" w:eastAsia="仿宋_GB2312" w:cs="仿宋_GB2312"/>
          <w:bCs w:val="0"/>
          <w:color w:val="000000"/>
          <w:sz w:val="32"/>
          <w:szCs w:val="32"/>
          <w:lang w:val="en-US"/>
        </w:rPr>
      </w:pPr>
      <w:r>
        <w:rPr>
          <w:rFonts w:hint="eastAsia" w:ascii="仿宋_GB2312" w:hAnsi="仿宋_GB2312" w:eastAsia="仿宋_GB2312" w:cs="仿宋_GB2312"/>
          <w:bCs w:val="0"/>
          <w:color w:val="000000"/>
          <w:sz w:val="32"/>
          <w:szCs w:val="32"/>
          <w:lang w:val="en-US"/>
        </w:rPr>
        <w:t>2.</w:t>
      </w:r>
      <w:r>
        <w:rPr>
          <w:rFonts w:hint="eastAsia" w:ascii="仿宋_GB2312" w:hAnsi="仿宋_GB2312" w:eastAsia="仿宋_GB2312" w:cs="仿宋_GB2312"/>
          <w:bCs w:val="0"/>
          <w:color w:val="000000"/>
          <w:sz w:val="32"/>
          <w:szCs w:val="32"/>
          <w:lang w:eastAsia="zh-CN"/>
        </w:rPr>
        <w:t>成交供应商不得以竞争为目的，或出于私利，或为第三人谋利，或为故意加害采购方，擅自保存、披露、使用采购人及业务使用方商业秘密和党政机关保密信息；不得直接或间接地向公司内部、外部的无关人员，以及不承担保密义务的任何第三人泄露采购人及业务使用方商业秘密和党政机关保密信息；不得擅自记录、复制、拍摄、摘抄、收藏涉及政府项目的保密信息。</w:t>
      </w:r>
    </w:p>
    <w:p w14:paraId="74D25EED">
      <w:pPr>
        <w:widowControl/>
        <w:numPr>
          <w:ilvl w:val="0"/>
          <w:numId w:val="0"/>
        </w:numPr>
        <w:snapToGrid w:val="0"/>
        <w:spacing w:after="0" w:afterAutospacing="0" w:line="640" w:lineRule="exact"/>
        <w:ind w:left="0" w:firstLine="640" w:firstLineChars="200"/>
        <w:jc w:val="both"/>
        <w:outlineLvl w:val="1"/>
        <w:rPr>
          <w:rFonts w:hint="eastAsia" w:ascii="仿宋_GB2312" w:hAnsi="仿宋_GB2312" w:eastAsia="仿宋_GB2312" w:cs="仿宋_GB2312"/>
          <w:bCs w:val="0"/>
          <w:color w:val="000000"/>
          <w:sz w:val="32"/>
          <w:szCs w:val="32"/>
          <w:lang w:val="en-US"/>
        </w:rPr>
      </w:pPr>
      <w:r>
        <w:rPr>
          <w:rFonts w:hint="eastAsia" w:ascii="仿宋_GB2312" w:hAnsi="仿宋_GB2312" w:eastAsia="仿宋_GB2312" w:cs="仿宋_GB2312"/>
          <w:bCs w:val="0"/>
          <w:color w:val="000000"/>
          <w:sz w:val="32"/>
          <w:szCs w:val="32"/>
          <w:lang w:val="en-US"/>
        </w:rPr>
        <w:t>3.</w:t>
      </w:r>
      <w:r>
        <w:rPr>
          <w:rFonts w:hint="eastAsia" w:ascii="仿宋_GB2312" w:hAnsi="仿宋_GB2312" w:eastAsia="仿宋_GB2312" w:cs="仿宋_GB2312"/>
          <w:bCs w:val="0"/>
          <w:color w:val="000000"/>
          <w:sz w:val="32"/>
          <w:szCs w:val="32"/>
          <w:lang w:eastAsia="zh-CN"/>
        </w:rPr>
        <w:t>成交供应商应严格保守在工作过程中接触到的任何政府机关文件，包括内部发文、各类通知、会议记录等；严禁将政府机关内部会议或谈话内容泄露给无关人员；不得翻阅与工作无关的政府文件和资料；严禁泄露在工作中接触到的政府机关科技研究、发明、装备器材及其技术资料和政府工作信息。</w:t>
      </w:r>
    </w:p>
    <w:p w14:paraId="5C5DECAA">
      <w:pPr>
        <w:widowControl/>
        <w:numPr>
          <w:ilvl w:val="0"/>
          <w:numId w:val="0"/>
        </w:numPr>
        <w:snapToGrid w:val="0"/>
        <w:spacing w:after="0" w:afterAutospacing="0" w:line="640" w:lineRule="exact"/>
        <w:ind w:left="0" w:firstLine="640" w:firstLineChars="200"/>
        <w:jc w:val="both"/>
        <w:outlineLvl w:val="1"/>
        <w:rPr>
          <w:rFonts w:hint="eastAsia" w:ascii="仿宋_GB2312" w:hAnsi="仿宋_GB2312" w:eastAsia="仿宋_GB2312" w:cs="仿宋_GB2312"/>
          <w:bCs w:val="0"/>
          <w:color w:val="000000"/>
          <w:sz w:val="32"/>
          <w:szCs w:val="32"/>
          <w:lang w:val="en-US"/>
        </w:rPr>
      </w:pPr>
      <w:r>
        <w:rPr>
          <w:rFonts w:hint="eastAsia" w:ascii="仿宋_GB2312" w:hAnsi="仿宋_GB2312" w:eastAsia="仿宋_GB2312" w:cs="仿宋_GB2312"/>
          <w:bCs w:val="0"/>
          <w:color w:val="000000"/>
          <w:sz w:val="32"/>
          <w:szCs w:val="32"/>
          <w:lang w:val="en-US"/>
        </w:rPr>
        <w:t>4.</w:t>
      </w:r>
      <w:r>
        <w:rPr>
          <w:rFonts w:hint="eastAsia" w:ascii="仿宋_GB2312" w:hAnsi="仿宋_GB2312" w:eastAsia="仿宋_GB2312" w:cs="仿宋_GB2312"/>
          <w:bCs w:val="0"/>
          <w:color w:val="000000"/>
          <w:sz w:val="32"/>
          <w:szCs w:val="32"/>
          <w:lang w:eastAsia="zh-CN"/>
        </w:rPr>
        <w:t>成交供应商须承诺本项目中的全部工作成果归采购人所有，本项目中包括但不仅限于所有项目资料、文字、图片、声像资料、电子数据等，均归采购人所有。供应商不得泄露和超越本项目范围使用。若违反保密义务造成损失，相关责任由供应商承担。</w:t>
      </w:r>
    </w:p>
    <w:p w14:paraId="47ECC743">
      <w:pPr>
        <w:numPr>
          <w:ilvl w:val="0"/>
          <w:numId w:val="0"/>
        </w:numPr>
        <w:spacing w:line="640" w:lineRule="exact"/>
        <w:ind w:firstLine="64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网络与数据安全要求</w:t>
      </w:r>
    </w:p>
    <w:p w14:paraId="35047FC8">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必须具备确保采购人信息系统网络和数据安全的技术能力和安全防护措施。供应商需做好项目关键数据岗位人员的背景预审，并按要求提交相关材料，进行背景审查，审查通过后签署相关保密协议或承诺，确保关键数据岗位人员的安全可靠。</w:t>
      </w:r>
    </w:p>
    <w:p w14:paraId="67DAE089">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在项目实施过程中必须按照《2025年度数安之江浙江省重要行业网络数据安全专项行动方案》（浙委网办﹝2025﹞10号）的文件精神，严格落实网络和数据安全责任，遵守网络和数据安全管理各项要求和操作规范，确保采购人网络和数据安全。</w:t>
      </w:r>
    </w:p>
    <w:p w14:paraId="0D7C63EE">
      <w:pPr>
        <w:numPr>
          <w:ilvl w:val="0"/>
          <w:numId w:val="0"/>
        </w:numPr>
        <w:spacing w:line="64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项目实施期间，如因供应商原因造成网络和数据安全事件的，采购人将追责问责，并按项目考核条款进行处罚。</w:t>
      </w:r>
    </w:p>
    <w:p w14:paraId="0CF966EE">
      <w:pPr>
        <w:numPr>
          <w:ilvl w:val="-1"/>
          <w:numId w:val="0"/>
        </w:numPr>
        <w:spacing w:line="640" w:lineRule="exact"/>
        <w:ind w:firstLine="640" w:firstLineChars="200"/>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（八）其他要求</w:t>
      </w:r>
    </w:p>
    <w:p w14:paraId="58023414">
      <w:pPr>
        <w:keepNext w:val="0"/>
        <w:keepLines w:val="0"/>
        <w:widowControl w:val="0"/>
        <w:suppressLineNumbers w:val="0"/>
        <w:tabs>
          <w:tab w:val="left" w:pos="720"/>
          <w:tab w:val="left" w:pos="900"/>
          <w:tab w:val="left" w:pos="1260"/>
          <w:tab w:val="left" w:pos="2160"/>
          <w:tab w:val="left" w:pos="2880"/>
          <w:tab w:val="left" w:pos="3600"/>
          <w:tab w:val="left" w:pos="4320"/>
          <w:tab w:val="left" w:pos="5040"/>
          <w:tab w:val="left" w:pos="5760"/>
        </w:tabs>
        <w:spacing w:before="0" w:beforeAutospacing="0" w:after="0" w:afterAutospacing="0" w:line="64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1.根据《浙江省政务应用系统集约运维改革工作方案》，</w:t>
      </w:r>
      <w:r>
        <w:rPr>
          <w:rFonts w:hint="default" w:ascii="仿宋_GB2312" w:hAnsi="Calibri" w:eastAsia="仿宋_GB2312" w:cs="仿宋_GB2312"/>
          <w:kern w:val="2"/>
          <w:sz w:val="32"/>
          <w:szCs w:val="32"/>
          <w:lang w:val="en-US" w:eastAsia="zh-CN" w:bidi="ar"/>
          <w:woUserID w:val="1"/>
        </w:rPr>
        <w:t>合同签订后，成交供应商须</w:t>
      </w:r>
      <w:r>
        <w:rPr>
          <w:rFonts w:hint="eastAsia" w:ascii="仿宋_GB2312" w:hAnsi="仿宋_GB2312" w:eastAsia="仿宋_GB2312" w:cs="仿宋_GB2312"/>
          <w:sz w:val="32"/>
          <w:szCs w:val="32"/>
        </w:rPr>
        <w:t>配合采购人</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应用纳入数字化运维系统（DMS）统一管理，实现应用全量监测、实时预警、快速处置，开展统一运维工作。应用巡检，检查系统相关功能是否正常，特别是检查主要业务功能、用户高频使用功能是否正常。</w:t>
      </w:r>
    </w:p>
    <w:p w14:paraId="6827AB2D">
      <w:pPr>
        <w:pStyle w:val="11"/>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采购人或业务系统使用方要求，因业务新增或调整，对系统需进行功能完善和优化升级。对模块在使用过程中的BUG修复、对潜在质量问题（如程序缺陷）、用户逻辑优化和兼容性问题等及时修复完善。对系统中性能不达标的功能进行优化，确保系统正常稳定运行。系统部署在本地或者非政务云的，应充分评估并配合应用系统应上云尽上云。</w:t>
      </w:r>
    </w:p>
    <w:p w14:paraId="604B00EC">
      <w:pPr>
        <w:keepNext w:val="0"/>
        <w:keepLines w:val="0"/>
        <w:widowControl w:val="0"/>
        <w:suppressLineNumbers w:val="0"/>
        <w:tabs>
          <w:tab w:val="left" w:pos="720"/>
          <w:tab w:val="left" w:pos="900"/>
          <w:tab w:val="left" w:pos="1260"/>
          <w:tab w:val="left" w:pos="2160"/>
          <w:tab w:val="left" w:pos="2880"/>
          <w:tab w:val="left" w:pos="3600"/>
          <w:tab w:val="left" w:pos="4320"/>
          <w:tab w:val="left" w:pos="5040"/>
          <w:tab w:val="left" w:pos="5760"/>
        </w:tabs>
        <w:spacing w:before="0" w:beforeAutospacing="0" w:after="0" w:afterAutospacing="0" w:line="64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3.根据《浙江省政务应用系统集约运维改革工作方案》，</w:t>
      </w:r>
      <w:r>
        <w:rPr>
          <w:rFonts w:hint="default" w:ascii="仿宋_GB2312" w:hAnsi="Calibri" w:eastAsia="仿宋_GB2312" w:cs="仿宋_GB2312"/>
          <w:kern w:val="2"/>
          <w:sz w:val="32"/>
          <w:szCs w:val="32"/>
          <w:lang w:val="en-US" w:eastAsia="zh-CN" w:bidi="ar"/>
          <w:woUserID w:val="1"/>
        </w:rPr>
        <w:t>合同签订后，成交供应商须</w:t>
      </w:r>
      <w:r>
        <w:rPr>
          <w:rFonts w:hint="eastAsia" w:ascii="仿宋_GB2312" w:hAnsi="仿宋_GB2312" w:eastAsia="仿宋_GB2312" w:cs="仿宋_GB2312"/>
          <w:sz w:val="32"/>
          <w:szCs w:val="32"/>
        </w:rPr>
        <w:t>配合采购人完成应用代码全量归集，核查源代码完整性、规范性、可读性、可维护性和可扩展性，并依托统一的代码管理工具进行管理。包括但不限于：代码托管、代码验证、代码评审、代码扫描、质量检测、代码发布等服务。</w:t>
      </w:r>
    </w:p>
    <w:p w14:paraId="41BE19D1">
      <w:pPr>
        <w:pStyle w:val="11"/>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4.根据《浙江省政务应用系统集约运维改革工作方案》，推进数据全量全要素编目、归集治理、共享开放。根据采购人或业务系统使用方要求，</w:t>
      </w:r>
      <w:r>
        <w:rPr>
          <w:rFonts w:hint="eastAsia" w:ascii="仿宋_GB2312" w:hAnsi="仿宋_GB2312" w:eastAsia="仿宋_GB2312" w:cs="仿宋_GB2312"/>
          <w:sz w:val="32"/>
          <w:szCs w:val="32"/>
          <w:lang w:val="en-US" w:eastAsia="zh-CN"/>
        </w:rPr>
        <w:t>数据统一归集到浙江乡村大脑和省公共数据管理平台。</w:t>
      </w:r>
      <w:r>
        <w:rPr>
          <w:rFonts w:hint="eastAsia" w:ascii="仿宋_GB2312" w:hAnsi="仿宋_GB2312" w:eastAsia="仿宋_GB2312" w:cs="仿宋_GB2312"/>
          <w:sz w:val="32"/>
          <w:szCs w:val="32"/>
          <w:lang w:eastAsia="zh-CN"/>
        </w:rPr>
        <w:t>数据脱敏按照《浙江省公共数据安全脱敏技术规范（试行）》中规定的要求实施。</w:t>
      </w:r>
      <w:r>
        <w:rPr>
          <w:rFonts w:hint="eastAsia" w:ascii="仿宋_GB2312" w:hAnsi="仿宋_GB2312" w:eastAsia="仿宋_GB2312" w:cs="仿宋_GB2312"/>
          <w:sz w:val="32"/>
          <w:szCs w:val="32"/>
        </w:rPr>
        <w:t>完成模块相关数据的维护、服务工作，包括但不限于：日常错误数据处理、基础数据维护、数据备份与恢复、数据统计分析等。</w:t>
      </w:r>
    </w:p>
    <w:p w14:paraId="54ED05FC">
      <w:pPr>
        <w:pStyle w:val="11"/>
        <w:tabs>
          <w:tab w:val="left" w:pos="720"/>
          <w:tab w:val="left" w:pos="900"/>
          <w:tab w:val="left" w:pos="1260"/>
          <w:tab w:val="left" w:pos="2160"/>
          <w:tab w:val="left" w:pos="2880"/>
          <w:tab w:val="left" w:pos="3600"/>
          <w:tab w:val="left" w:pos="4320"/>
          <w:tab w:val="left" w:pos="5040"/>
          <w:tab w:val="left" w:pos="5760"/>
        </w:tabs>
        <w:spacing w:line="6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5.根据《浙江省政务应用系统集约运维改革工作方案》，做好系统网络安全、数据安全相关漏洞、风险等安全防护工作，及时加固，提升系统安全能力，保障系统和数据安全。</w:t>
      </w:r>
      <w:r>
        <w:rPr>
          <w:rFonts w:hint="eastAsia" w:ascii="仿宋_GB2312" w:hAnsi="仿宋_GB2312" w:eastAsia="仿宋_GB2312" w:cs="仿宋_GB2312"/>
          <w:sz w:val="32"/>
          <w:szCs w:val="32"/>
          <w:lang w:val="en-US" w:eastAsia="zh-CN"/>
        </w:rPr>
        <w:t>配合做好网络安全等级保护测评和商用密码应用评估问题整改。</w:t>
      </w:r>
    </w:p>
    <w:p w14:paraId="5AF3537F">
      <w:pPr>
        <w:spacing w:line="640" w:lineRule="exact"/>
        <w:ind w:left="0" w:leftChars="0" w:firstLine="640" w:firstLineChars="200"/>
        <w:outlineLvl w:val="0"/>
        <w:rPr>
          <w:rFonts w:hint="eastAsia" w:ascii="黑体" w:hAnsi="黑体" w:eastAsia="黑体" w:cs="黑体"/>
          <w:b w:val="0"/>
          <w:bCs w:val="0"/>
          <w:kern w:val="2"/>
          <w:sz w:val="32"/>
          <w:szCs w:val="32"/>
        </w:rPr>
      </w:pPr>
      <w:r>
        <w:rPr>
          <w:rFonts w:hint="eastAsia" w:ascii="黑体" w:hAnsi="黑体" w:eastAsia="黑体" w:cs="黑体"/>
          <w:sz w:val="32"/>
          <w:szCs w:val="32"/>
          <w:lang w:val="en-US" w:eastAsia="zh-CN"/>
        </w:rPr>
        <w:t>四、</w:t>
      </w:r>
      <w:r>
        <w:rPr>
          <w:rFonts w:hint="eastAsia" w:ascii="黑体" w:hAnsi="黑体" w:eastAsia="黑体" w:cs="黑体"/>
          <w:b w:val="0"/>
          <w:bCs w:val="0"/>
          <w:kern w:val="2"/>
          <w:sz w:val="32"/>
          <w:szCs w:val="32"/>
        </w:rPr>
        <w:t>违约责任</w:t>
      </w:r>
    </w:p>
    <w:p w14:paraId="1E452384">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在服务期内须严格遵守服务质量承诺及相关管理规定确保服务质量，对于违反服务质量承诺和服务水平约定造成服务质量下降的，由采购人进行相应的违约扣款（在尾款支付时扣除违约金额，且违约金额不超过尾款总额）。成交供应商可参照《重大违约行为表》、《严重违约行为表》、《一般违约行为表》，在相应文件中制定违约条款，承诺的违约责任应不低于招标文件要求。成交供应商同意响应的违约条款用于成交供应商与采购人签订的合同。</w:t>
      </w:r>
    </w:p>
    <w:p w14:paraId="1AA551C8">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重大违约行为：成交供应商服务期内的违约行为造成重大安全事故的（根据其严重程度分为A级事件和B级事件）。每发生一次A级事件，应向采购人支付本项目合同金额的3%作为违约金，每发生一次B级事件，应向采购人支付本项目合同金额的2%作为违约金。</w:t>
      </w:r>
    </w:p>
    <w:p w14:paraId="6515EF6D">
      <w:pPr>
        <w:snapToGrid w:val="0"/>
        <w:spacing w:line="360" w:lineRule="auto"/>
        <w:ind w:firstLine="560" w:firstLineChars="200"/>
        <w:jc w:val="center"/>
        <w:rPr>
          <w:rFonts w:ascii="Times New Roman" w:hAnsi="Times New Roman"/>
          <w:sz w:val="28"/>
          <w:szCs w:val="28"/>
        </w:rPr>
      </w:pPr>
      <w:r>
        <w:rPr>
          <w:rFonts w:ascii="Times New Roman" w:hAnsi="Times New Roman" w:eastAsia="仿宋_GB2312"/>
          <w:sz w:val="28"/>
          <w:szCs w:val="28"/>
        </w:rPr>
        <w:t>表：重大违约行为表</w:t>
      </w:r>
    </w:p>
    <w:tbl>
      <w:tblPr>
        <w:tblStyle w:val="19"/>
        <w:tblW w:w="8946" w:type="dxa"/>
        <w:tblInd w:w="0" w:type="dxa"/>
        <w:tblLayout w:type="fixed"/>
        <w:tblCellMar>
          <w:top w:w="15" w:type="dxa"/>
          <w:left w:w="15" w:type="dxa"/>
          <w:bottom w:w="15" w:type="dxa"/>
          <w:right w:w="15" w:type="dxa"/>
        </w:tblCellMar>
      </w:tblPr>
      <w:tblGrid>
        <w:gridCol w:w="882"/>
        <w:gridCol w:w="986"/>
        <w:gridCol w:w="4535"/>
        <w:gridCol w:w="1290"/>
        <w:gridCol w:w="1253"/>
      </w:tblGrid>
      <w:tr w14:paraId="0AF1A6DF">
        <w:tblPrEx>
          <w:tblCellMar>
            <w:top w:w="15" w:type="dxa"/>
            <w:left w:w="15" w:type="dxa"/>
            <w:bottom w:w="15" w:type="dxa"/>
            <w:right w:w="15" w:type="dxa"/>
          </w:tblCellMar>
        </w:tblPrEx>
        <w:trPr>
          <w:trHeight w:val="454" w:hRule="atLeast"/>
        </w:trPr>
        <w:tc>
          <w:tcPr>
            <w:tcW w:w="186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3993AE0D">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b/>
                <w:bCs/>
                <w:color w:val="000000"/>
                <w:sz w:val="28"/>
                <w:szCs w:val="28"/>
              </w:rPr>
            </w:pPr>
            <w:r>
              <w:rPr>
                <w:rFonts w:hint="eastAsia" w:ascii="仿宋_GB2312" w:hAnsi="仿宋" w:eastAsia="仿宋_GB2312" w:cs="仿宋"/>
                <w:b/>
                <w:bCs/>
                <w:color w:val="000000"/>
                <w:sz w:val="28"/>
                <w:szCs w:val="28"/>
              </w:rPr>
              <w:t>类别</w:t>
            </w:r>
          </w:p>
        </w:tc>
        <w:tc>
          <w:tcPr>
            <w:tcW w:w="453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03D872">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b/>
                <w:bCs/>
                <w:color w:val="000000"/>
                <w:sz w:val="28"/>
                <w:szCs w:val="28"/>
              </w:rPr>
            </w:pPr>
            <w:r>
              <w:rPr>
                <w:rFonts w:hint="eastAsia" w:ascii="仿宋_GB2312" w:hAnsi="仿宋" w:eastAsia="仿宋_GB2312" w:cs="仿宋"/>
                <w:b/>
                <w:bCs/>
                <w:color w:val="000000"/>
                <w:sz w:val="28"/>
                <w:szCs w:val="28"/>
              </w:rPr>
              <w:t>影响</w:t>
            </w:r>
          </w:p>
        </w:tc>
        <w:tc>
          <w:tcPr>
            <w:tcW w:w="129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12772A6">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b/>
                <w:bCs/>
                <w:color w:val="000000"/>
                <w:sz w:val="28"/>
                <w:szCs w:val="28"/>
              </w:rPr>
            </w:pPr>
            <w:r>
              <w:rPr>
                <w:rFonts w:hint="eastAsia" w:ascii="仿宋_GB2312" w:hAnsi="仿宋" w:eastAsia="仿宋_GB2312" w:cs="仿宋"/>
                <w:b/>
                <w:bCs/>
                <w:color w:val="000000"/>
                <w:sz w:val="28"/>
                <w:szCs w:val="28"/>
              </w:rPr>
              <w:t>影响时间</w:t>
            </w:r>
          </w:p>
        </w:tc>
        <w:tc>
          <w:tcPr>
            <w:tcW w:w="125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74A674">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b/>
                <w:bCs/>
                <w:color w:val="000000"/>
                <w:sz w:val="28"/>
                <w:szCs w:val="28"/>
              </w:rPr>
            </w:pPr>
            <w:r>
              <w:rPr>
                <w:rFonts w:hint="eastAsia" w:ascii="仿宋_GB2312" w:hAnsi="仿宋" w:eastAsia="仿宋_GB2312" w:cs="仿宋"/>
                <w:b/>
                <w:bCs/>
                <w:color w:val="000000"/>
                <w:sz w:val="28"/>
                <w:szCs w:val="28"/>
              </w:rPr>
              <w:t>事件级别</w:t>
            </w:r>
          </w:p>
        </w:tc>
      </w:tr>
      <w:tr w14:paraId="022A90E6">
        <w:tblPrEx>
          <w:tblCellMar>
            <w:top w:w="15" w:type="dxa"/>
            <w:left w:w="15" w:type="dxa"/>
            <w:bottom w:w="15" w:type="dxa"/>
            <w:right w:w="15" w:type="dxa"/>
          </w:tblCellMar>
        </w:tblPrEx>
        <w:trPr>
          <w:trHeight w:val="519" w:hRule="atLeast"/>
        </w:trPr>
        <w:tc>
          <w:tcPr>
            <w:tcW w:w="882" w:type="dxa"/>
            <w:vMerge w:val="restart"/>
            <w:tcBorders>
              <w:top w:val="single" w:color="000000" w:sz="4" w:space="0"/>
              <w:left w:val="single" w:color="000000" w:sz="4" w:space="0"/>
              <w:right w:val="single" w:color="000000" w:sz="4" w:space="0"/>
            </w:tcBorders>
            <w:vAlign w:val="center"/>
          </w:tcPr>
          <w:p w14:paraId="6389780F">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重大安全事故（成交供应商主责）</w:t>
            </w:r>
          </w:p>
        </w:tc>
        <w:tc>
          <w:tcPr>
            <w:tcW w:w="986" w:type="dxa"/>
            <w:tcBorders>
              <w:top w:val="single" w:color="000000" w:sz="4" w:space="0"/>
              <w:left w:val="single" w:color="000000" w:sz="4" w:space="0"/>
              <w:bottom w:val="single" w:color="000000" w:sz="4" w:space="0"/>
              <w:right w:val="single" w:color="000000" w:sz="4" w:space="0"/>
            </w:tcBorders>
            <w:vAlign w:val="center"/>
          </w:tcPr>
          <w:p w14:paraId="7A356B6F">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重大篡改事件</w:t>
            </w:r>
          </w:p>
        </w:tc>
        <w:tc>
          <w:tcPr>
            <w:tcW w:w="4535" w:type="dxa"/>
            <w:tcBorders>
              <w:top w:val="single" w:color="000000" w:sz="4" w:space="0"/>
              <w:left w:val="single" w:color="000000" w:sz="4" w:space="0"/>
              <w:bottom w:val="single" w:color="000000" w:sz="4" w:space="0"/>
              <w:right w:val="single" w:color="000000" w:sz="4" w:space="0"/>
            </w:tcBorders>
            <w:vAlign w:val="center"/>
          </w:tcPr>
          <w:p w14:paraId="3B658311">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在重大或特别重大保障期间，因成交供应商因未及时修复高危漏洞等造成系统被恶意篡改事件。事件发生后成交供应商未按照应急预案进行处置，造成信息安全事件处置延误且该事件被国家级机构或媒体通报、</w:t>
            </w:r>
            <w:r>
              <w:rPr>
                <w:rFonts w:hint="eastAsia" w:ascii="仿宋_GB2312" w:hAnsi="仿宋" w:eastAsia="仿宋_GB2312" w:cs="仿宋"/>
                <w:color w:val="000000"/>
                <w:sz w:val="28"/>
                <w:szCs w:val="28"/>
                <w:lang w:eastAsia="zh-Hans"/>
              </w:rPr>
              <w:t>省</w:t>
            </w:r>
            <w:r>
              <w:rPr>
                <w:rFonts w:hint="eastAsia" w:ascii="仿宋_GB2312" w:hAnsi="仿宋" w:eastAsia="仿宋_GB2312" w:cs="仿宋"/>
                <w:color w:val="000000"/>
                <w:sz w:val="28"/>
                <w:szCs w:val="28"/>
              </w:rPr>
              <w:t>级领导批示的。</w:t>
            </w:r>
          </w:p>
        </w:tc>
        <w:tc>
          <w:tcPr>
            <w:tcW w:w="1290" w:type="dxa"/>
            <w:tcBorders>
              <w:top w:val="single" w:color="000000" w:sz="4" w:space="0"/>
              <w:left w:val="single" w:color="000000" w:sz="4" w:space="0"/>
              <w:bottom w:val="single" w:color="000000" w:sz="4" w:space="0"/>
              <w:right w:val="single" w:color="000000" w:sz="4" w:space="0"/>
            </w:tcBorders>
            <w:vAlign w:val="center"/>
          </w:tcPr>
          <w:p w14:paraId="1F7A21BC">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30分钟以上</w:t>
            </w:r>
          </w:p>
        </w:tc>
        <w:tc>
          <w:tcPr>
            <w:tcW w:w="1253" w:type="dxa"/>
            <w:vMerge w:val="restart"/>
            <w:tcBorders>
              <w:top w:val="single" w:color="000000" w:sz="4" w:space="0"/>
              <w:left w:val="single" w:color="000000" w:sz="4" w:space="0"/>
              <w:right w:val="single" w:color="000000" w:sz="4" w:space="0"/>
            </w:tcBorders>
            <w:vAlign w:val="center"/>
          </w:tcPr>
          <w:p w14:paraId="2B21B1C5">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A级</w:t>
            </w:r>
          </w:p>
        </w:tc>
      </w:tr>
      <w:tr w14:paraId="0ED023CF">
        <w:tblPrEx>
          <w:tblCellMar>
            <w:top w:w="15" w:type="dxa"/>
            <w:left w:w="15" w:type="dxa"/>
            <w:bottom w:w="15" w:type="dxa"/>
            <w:right w:w="15" w:type="dxa"/>
          </w:tblCellMar>
        </w:tblPrEx>
        <w:trPr>
          <w:trHeight w:val="709" w:hRule="atLeast"/>
        </w:trPr>
        <w:tc>
          <w:tcPr>
            <w:tcW w:w="882" w:type="dxa"/>
            <w:vMerge w:val="continue"/>
            <w:tcBorders>
              <w:top w:val="single" w:color="000000" w:sz="4" w:space="0"/>
              <w:left w:val="single" w:color="000000" w:sz="4" w:space="0"/>
              <w:bottom w:val="single" w:color="000000" w:sz="4" w:space="0"/>
              <w:right w:val="single" w:color="000000" w:sz="4" w:space="0"/>
            </w:tcBorders>
            <w:vAlign w:val="center"/>
          </w:tcPr>
          <w:p w14:paraId="5AC2B078">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1D6B594A">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数据丢失</w:t>
            </w:r>
          </w:p>
        </w:tc>
        <w:tc>
          <w:tcPr>
            <w:tcW w:w="4535" w:type="dxa"/>
            <w:tcBorders>
              <w:top w:val="single" w:color="000000" w:sz="4" w:space="0"/>
              <w:left w:val="single" w:color="000000" w:sz="4" w:space="0"/>
              <w:bottom w:val="single" w:color="000000" w:sz="4" w:space="0"/>
              <w:right w:val="single" w:color="000000" w:sz="4" w:space="0"/>
            </w:tcBorders>
            <w:vAlign w:val="center"/>
          </w:tcPr>
          <w:p w14:paraId="6D189DCC">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因成交供应商备份策略执行失效，导致业务系统丢失超过1个月的关键数据，且确认无法恢复。</w:t>
            </w:r>
          </w:p>
        </w:tc>
        <w:tc>
          <w:tcPr>
            <w:tcW w:w="1290" w:type="dxa"/>
            <w:tcBorders>
              <w:top w:val="single" w:color="000000" w:sz="4" w:space="0"/>
              <w:left w:val="single" w:color="000000" w:sz="4" w:space="0"/>
              <w:bottom w:val="single" w:color="000000" w:sz="4" w:space="0"/>
              <w:right w:val="single" w:color="000000" w:sz="4" w:space="0"/>
            </w:tcBorders>
            <w:vAlign w:val="center"/>
          </w:tcPr>
          <w:p w14:paraId="0D2E830B">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w:t>
            </w: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82CE69C">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p>
        </w:tc>
      </w:tr>
      <w:tr w14:paraId="55DC064F">
        <w:tblPrEx>
          <w:tblCellMar>
            <w:top w:w="15" w:type="dxa"/>
            <w:left w:w="15" w:type="dxa"/>
            <w:bottom w:w="15" w:type="dxa"/>
            <w:right w:w="15" w:type="dxa"/>
          </w:tblCellMar>
        </w:tblPrEx>
        <w:trPr>
          <w:trHeight w:val="1181" w:hRule="atLeast"/>
        </w:trPr>
        <w:tc>
          <w:tcPr>
            <w:tcW w:w="882" w:type="dxa"/>
            <w:vMerge w:val="continue"/>
            <w:tcBorders>
              <w:top w:val="single" w:color="000000" w:sz="4" w:space="0"/>
              <w:left w:val="single" w:color="000000" w:sz="4" w:space="0"/>
              <w:bottom w:val="single" w:color="000000" w:sz="4" w:space="0"/>
              <w:right w:val="single" w:color="000000" w:sz="4" w:space="0"/>
            </w:tcBorders>
            <w:vAlign w:val="center"/>
          </w:tcPr>
          <w:p w14:paraId="2023DD77">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7F60A931">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恶意入侵攻击</w:t>
            </w:r>
          </w:p>
        </w:tc>
        <w:tc>
          <w:tcPr>
            <w:tcW w:w="4535" w:type="dxa"/>
            <w:tcBorders>
              <w:top w:val="single" w:color="000000" w:sz="4" w:space="0"/>
              <w:left w:val="single" w:color="000000" w:sz="4" w:space="0"/>
              <w:bottom w:val="single" w:color="000000" w:sz="4" w:space="0"/>
              <w:right w:val="single" w:color="000000" w:sz="4" w:space="0"/>
            </w:tcBorders>
            <w:vAlign w:val="center"/>
          </w:tcPr>
          <w:p w14:paraId="00F07163">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被网络安全监管机构通报应用系统存在安全隐患，成交供应商未在24小时内做有效处置或应急防护措施，造成业务系统在重大或特别重大保障期间被恶意篡改或敏感信息泄露事件。</w:t>
            </w:r>
          </w:p>
        </w:tc>
        <w:tc>
          <w:tcPr>
            <w:tcW w:w="1290" w:type="dxa"/>
            <w:tcBorders>
              <w:top w:val="single" w:color="000000" w:sz="4" w:space="0"/>
              <w:left w:val="single" w:color="000000" w:sz="4" w:space="0"/>
              <w:bottom w:val="single" w:color="000000" w:sz="4" w:space="0"/>
              <w:right w:val="single" w:color="000000" w:sz="4" w:space="0"/>
            </w:tcBorders>
            <w:vAlign w:val="center"/>
          </w:tcPr>
          <w:p w14:paraId="1F84FDD6">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color w:val="000000"/>
                <w:sz w:val="28"/>
                <w:szCs w:val="28"/>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DBDC47A">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p>
        </w:tc>
      </w:tr>
      <w:tr w14:paraId="63A6A2A5">
        <w:tblPrEx>
          <w:tblCellMar>
            <w:top w:w="15" w:type="dxa"/>
            <w:left w:w="15" w:type="dxa"/>
            <w:bottom w:w="15" w:type="dxa"/>
            <w:right w:w="15" w:type="dxa"/>
          </w:tblCellMar>
        </w:tblPrEx>
        <w:trPr>
          <w:trHeight w:val="473" w:hRule="atLeast"/>
        </w:trPr>
        <w:tc>
          <w:tcPr>
            <w:tcW w:w="882" w:type="dxa"/>
            <w:vMerge w:val="continue"/>
            <w:tcBorders>
              <w:top w:val="single" w:color="000000" w:sz="4" w:space="0"/>
              <w:left w:val="single" w:color="000000" w:sz="4" w:space="0"/>
              <w:bottom w:val="single" w:color="000000" w:sz="4" w:space="0"/>
              <w:right w:val="single" w:color="000000" w:sz="4" w:space="0"/>
            </w:tcBorders>
            <w:vAlign w:val="center"/>
          </w:tcPr>
          <w:p w14:paraId="441E237A">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2F4CB9A6">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重大篡改事件</w:t>
            </w:r>
          </w:p>
        </w:tc>
        <w:tc>
          <w:tcPr>
            <w:tcW w:w="4535" w:type="dxa"/>
            <w:tcBorders>
              <w:top w:val="single" w:color="000000" w:sz="4" w:space="0"/>
              <w:left w:val="single" w:color="000000" w:sz="4" w:space="0"/>
              <w:bottom w:val="single" w:color="000000" w:sz="4" w:space="0"/>
              <w:right w:val="single" w:color="000000" w:sz="4" w:space="0"/>
            </w:tcBorders>
            <w:vAlign w:val="center"/>
          </w:tcPr>
          <w:p w14:paraId="26410CE9">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因成交供应商因未及时修复高危漏洞等造成系统被恶意篡改事件。事件发生后成交供应商未按照应急预案进行处置，造成信息安全事件处置延误，且该事件被</w:t>
            </w:r>
            <w:r>
              <w:rPr>
                <w:rFonts w:hint="eastAsia" w:ascii="仿宋_GB2312" w:hAnsi="仿宋" w:eastAsia="仿宋_GB2312" w:cs="仿宋"/>
                <w:color w:val="000000"/>
                <w:sz w:val="28"/>
                <w:szCs w:val="28"/>
                <w:lang w:eastAsia="zh-Hans"/>
              </w:rPr>
              <w:t>省</w:t>
            </w:r>
            <w:r>
              <w:rPr>
                <w:rFonts w:hint="eastAsia" w:ascii="仿宋_GB2312" w:hAnsi="仿宋" w:eastAsia="仿宋_GB2312" w:cs="仿宋"/>
                <w:color w:val="000000"/>
                <w:sz w:val="28"/>
                <w:szCs w:val="28"/>
              </w:rPr>
              <w:t>级机构或媒体通报、</w:t>
            </w:r>
            <w:r>
              <w:rPr>
                <w:rFonts w:hint="eastAsia" w:ascii="仿宋_GB2312" w:hAnsi="仿宋" w:eastAsia="仿宋_GB2312" w:cs="仿宋"/>
                <w:color w:val="000000"/>
                <w:sz w:val="28"/>
                <w:szCs w:val="28"/>
                <w:lang w:eastAsia="zh-Hans"/>
              </w:rPr>
              <w:t>省级领导</w:t>
            </w:r>
            <w:r>
              <w:rPr>
                <w:rFonts w:hint="eastAsia" w:ascii="仿宋_GB2312" w:hAnsi="仿宋" w:eastAsia="仿宋_GB2312" w:cs="仿宋"/>
                <w:color w:val="000000"/>
                <w:sz w:val="28"/>
                <w:szCs w:val="28"/>
              </w:rPr>
              <w:t>关注的。</w:t>
            </w:r>
          </w:p>
        </w:tc>
        <w:tc>
          <w:tcPr>
            <w:tcW w:w="1290" w:type="dxa"/>
            <w:tcBorders>
              <w:top w:val="single" w:color="000000" w:sz="4" w:space="0"/>
              <w:left w:val="single" w:color="000000" w:sz="4" w:space="0"/>
              <w:bottom w:val="single" w:color="000000" w:sz="4" w:space="0"/>
              <w:right w:val="single" w:color="000000" w:sz="4" w:space="0"/>
            </w:tcBorders>
            <w:vAlign w:val="center"/>
          </w:tcPr>
          <w:p w14:paraId="79811115">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30分钟以上</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5098CB9C">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B级</w:t>
            </w:r>
          </w:p>
        </w:tc>
      </w:tr>
      <w:tr w14:paraId="39582E2D">
        <w:tblPrEx>
          <w:tblCellMar>
            <w:top w:w="15" w:type="dxa"/>
            <w:left w:w="15" w:type="dxa"/>
            <w:bottom w:w="15" w:type="dxa"/>
            <w:right w:w="15" w:type="dxa"/>
          </w:tblCellMar>
        </w:tblPrEx>
        <w:trPr>
          <w:trHeight w:val="1181" w:hRule="atLeast"/>
        </w:trPr>
        <w:tc>
          <w:tcPr>
            <w:tcW w:w="882" w:type="dxa"/>
            <w:vMerge w:val="continue"/>
            <w:tcBorders>
              <w:top w:val="single" w:color="000000" w:sz="4" w:space="0"/>
              <w:left w:val="single" w:color="000000" w:sz="4" w:space="0"/>
              <w:bottom w:val="single" w:color="000000" w:sz="4" w:space="0"/>
              <w:right w:val="single" w:color="000000" w:sz="4" w:space="0"/>
            </w:tcBorders>
            <w:vAlign w:val="center"/>
          </w:tcPr>
          <w:p w14:paraId="1AECDC48">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0AC0F087">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数据丢失</w:t>
            </w:r>
          </w:p>
        </w:tc>
        <w:tc>
          <w:tcPr>
            <w:tcW w:w="4535" w:type="dxa"/>
            <w:tcBorders>
              <w:top w:val="single" w:color="000000" w:sz="4" w:space="0"/>
              <w:left w:val="single" w:color="000000" w:sz="4" w:space="0"/>
              <w:bottom w:val="single" w:color="000000" w:sz="4" w:space="0"/>
              <w:right w:val="single" w:color="000000" w:sz="4" w:space="0"/>
            </w:tcBorders>
            <w:vAlign w:val="center"/>
          </w:tcPr>
          <w:p w14:paraId="58D0F052">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成交供应商备份策略执行失效，导致业务系统丢失超过1个月的关键数据。</w:t>
            </w:r>
          </w:p>
        </w:tc>
        <w:tc>
          <w:tcPr>
            <w:tcW w:w="1290" w:type="dxa"/>
            <w:tcBorders>
              <w:top w:val="single" w:color="000000" w:sz="4" w:space="0"/>
              <w:left w:val="single" w:color="000000" w:sz="4" w:space="0"/>
              <w:bottom w:val="single" w:color="000000" w:sz="4" w:space="0"/>
              <w:right w:val="single" w:color="000000" w:sz="4" w:space="0"/>
            </w:tcBorders>
            <w:vAlign w:val="center"/>
          </w:tcPr>
          <w:p w14:paraId="4CFCAFC0">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w:t>
            </w: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FD53DD8">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000000"/>
                <w:sz w:val="18"/>
                <w:szCs w:val="18"/>
              </w:rPr>
            </w:pPr>
          </w:p>
        </w:tc>
      </w:tr>
      <w:tr w14:paraId="0061F17C">
        <w:tblPrEx>
          <w:tblCellMar>
            <w:top w:w="15" w:type="dxa"/>
            <w:left w:w="15" w:type="dxa"/>
            <w:bottom w:w="15" w:type="dxa"/>
            <w:right w:w="15" w:type="dxa"/>
          </w:tblCellMar>
        </w:tblPrEx>
        <w:trPr>
          <w:trHeight w:val="473" w:hRule="atLeast"/>
        </w:trPr>
        <w:tc>
          <w:tcPr>
            <w:tcW w:w="882" w:type="dxa"/>
            <w:vMerge w:val="continue"/>
            <w:tcBorders>
              <w:top w:val="single" w:color="000000" w:sz="4" w:space="0"/>
              <w:left w:val="single" w:color="000000" w:sz="4" w:space="0"/>
              <w:bottom w:val="single" w:color="000000" w:sz="4" w:space="0"/>
              <w:right w:val="single" w:color="000000" w:sz="4" w:space="0"/>
            </w:tcBorders>
            <w:vAlign w:val="center"/>
          </w:tcPr>
          <w:p w14:paraId="59D26CF8">
            <w:pPr>
              <w:keepNext w:val="0"/>
              <w:keepLines w:val="0"/>
              <w:suppressLineNumbers w:val="0"/>
              <w:adjustRightInd w:val="0"/>
              <w:snapToGrid w:val="0"/>
              <w:spacing w:before="0" w:beforeAutospacing="0" w:after="0" w:afterAutospacing="0" w:line="300" w:lineRule="exact"/>
              <w:ind w:left="0" w:right="0"/>
              <w:jc w:val="center"/>
              <w:rPr>
                <w:rFonts w:hint="eastAsia" w:ascii="仿宋_GB2312" w:hAnsi="仿宋" w:eastAsia="仿宋_GB2312" w:cs="仿宋"/>
                <w:color w:val="000000"/>
                <w:sz w:val="28"/>
                <w:szCs w:val="28"/>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2EBCE013">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恶意入侵攻击</w:t>
            </w:r>
          </w:p>
        </w:tc>
        <w:tc>
          <w:tcPr>
            <w:tcW w:w="4535" w:type="dxa"/>
            <w:tcBorders>
              <w:top w:val="single" w:color="000000" w:sz="4" w:space="0"/>
              <w:left w:val="single" w:color="000000" w:sz="4" w:space="0"/>
              <w:bottom w:val="single" w:color="000000" w:sz="4" w:space="0"/>
              <w:right w:val="single" w:color="000000" w:sz="4" w:space="0"/>
            </w:tcBorders>
            <w:vAlign w:val="center"/>
          </w:tcPr>
          <w:p w14:paraId="7EE392E7">
            <w:pPr>
              <w:keepNext w:val="0"/>
              <w:keepLines w:val="0"/>
              <w:suppressLineNumbers w:val="0"/>
              <w:adjustRightInd w:val="0"/>
              <w:snapToGrid w:val="0"/>
              <w:spacing w:before="0" w:beforeAutospacing="0" w:after="0" w:afterAutospacing="0" w:line="300" w:lineRule="exact"/>
              <w:ind w:left="0" w:right="0"/>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被网络安全监管机构通报应用系统存在安全隐患，成交供应商未在24小时内做有效处置或应急防护措施，造成业务系统被恶意篡改或敏感信息泄露事件。</w:t>
            </w:r>
          </w:p>
        </w:tc>
        <w:tc>
          <w:tcPr>
            <w:tcW w:w="1290" w:type="dxa"/>
            <w:tcBorders>
              <w:top w:val="single" w:color="000000" w:sz="4" w:space="0"/>
              <w:left w:val="single" w:color="000000" w:sz="4" w:space="0"/>
              <w:bottom w:val="single" w:color="000000" w:sz="4" w:space="0"/>
              <w:right w:val="single" w:color="000000" w:sz="4" w:space="0"/>
            </w:tcBorders>
            <w:vAlign w:val="center"/>
          </w:tcPr>
          <w:p w14:paraId="0494681D">
            <w:pPr>
              <w:keepNext w:val="0"/>
              <w:keepLines w:val="0"/>
              <w:suppressLineNumbers w:val="0"/>
              <w:adjustRightInd w:val="0"/>
              <w:snapToGrid w:val="0"/>
              <w:spacing w:before="0" w:beforeAutospacing="0" w:after="0" w:afterAutospacing="0" w:line="300" w:lineRule="exact"/>
              <w:ind w:left="0" w:right="0"/>
              <w:jc w:val="center"/>
              <w:textAlignment w:val="center"/>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w:t>
            </w: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31D57E8">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000000"/>
                <w:sz w:val="18"/>
                <w:szCs w:val="18"/>
              </w:rPr>
            </w:pPr>
          </w:p>
        </w:tc>
      </w:tr>
    </w:tbl>
    <w:p w14:paraId="15127959">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2.严重违约行为：成交供应商在服务期内的违约行为对业务系统产生一定的经济损失，但未达到重大违约行为。每发生一次，应向采购人支付本项目合同金额的1%作为违约金。</w:t>
      </w:r>
    </w:p>
    <w:p w14:paraId="5306E8F4">
      <w:pPr>
        <w:snapToGrid w:val="0"/>
        <w:ind w:firstLine="560" w:firstLineChars="200"/>
        <w:jc w:val="center"/>
        <w:rPr>
          <w:rFonts w:ascii="Times New Roman" w:hAnsi="Times New Roman" w:eastAsia="仿宋_GB2312"/>
          <w:sz w:val="28"/>
          <w:szCs w:val="28"/>
        </w:rPr>
      </w:pPr>
      <w:r>
        <w:rPr>
          <w:rFonts w:ascii="Times New Roman" w:hAnsi="Times New Roman" w:eastAsia="仿宋_GB2312"/>
          <w:sz w:val="28"/>
          <w:szCs w:val="28"/>
        </w:rPr>
        <w:t>表：严重违约行为表</w:t>
      </w:r>
    </w:p>
    <w:tbl>
      <w:tblPr>
        <w:tblStyle w:val="19"/>
        <w:tblpPr w:leftFromText="180" w:rightFromText="180" w:vertAnchor="text" w:horzAnchor="page" w:tblpX="1900" w:tblpY="332"/>
        <w:tblOverlap w:val="never"/>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968"/>
      </w:tblGrid>
      <w:tr w14:paraId="1984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shd w:val="clear" w:color="auto" w:fill="D9D9D9"/>
            <w:vAlign w:val="center"/>
          </w:tcPr>
          <w:p w14:paraId="48042E19">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b/>
                <w:bCs/>
                <w:sz w:val="28"/>
                <w:szCs w:val="28"/>
              </w:rPr>
            </w:pPr>
            <w:r>
              <w:rPr>
                <w:rFonts w:hint="eastAsia" w:ascii="仿宋_GB2312" w:hAnsi="仿宋" w:eastAsia="仿宋_GB2312" w:cs="仿宋"/>
                <w:b/>
                <w:bCs/>
                <w:sz w:val="28"/>
                <w:szCs w:val="28"/>
              </w:rPr>
              <w:t>序号</w:t>
            </w:r>
          </w:p>
        </w:tc>
        <w:tc>
          <w:tcPr>
            <w:tcW w:w="7968" w:type="dxa"/>
            <w:shd w:val="clear" w:color="auto" w:fill="D9D9D9"/>
            <w:vAlign w:val="center"/>
          </w:tcPr>
          <w:p w14:paraId="36C5D8EB">
            <w:pPr>
              <w:keepNext w:val="0"/>
              <w:keepLines w:val="0"/>
              <w:suppressLineNumbers w:val="0"/>
              <w:spacing w:before="0" w:beforeAutospacing="0" w:after="0" w:afterAutospacing="0" w:line="300" w:lineRule="exact"/>
              <w:ind w:left="0" w:right="0"/>
              <w:rPr>
                <w:rFonts w:hint="eastAsia" w:ascii="仿宋_GB2312" w:hAnsi="仿宋" w:eastAsia="仿宋_GB2312" w:cs="仿宋"/>
                <w:b/>
                <w:bCs/>
                <w:sz w:val="28"/>
                <w:szCs w:val="28"/>
              </w:rPr>
            </w:pPr>
            <w:r>
              <w:rPr>
                <w:rFonts w:hint="eastAsia" w:ascii="仿宋_GB2312" w:hAnsi="仿宋" w:eastAsia="仿宋_GB2312" w:cs="仿宋"/>
                <w:b/>
                <w:bCs/>
                <w:sz w:val="28"/>
                <w:szCs w:val="28"/>
              </w:rPr>
              <w:t>问题描述</w:t>
            </w:r>
          </w:p>
        </w:tc>
      </w:tr>
      <w:tr w14:paraId="08CD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419C458">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1</w:t>
            </w:r>
          </w:p>
        </w:tc>
        <w:tc>
          <w:tcPr>
            <w:tcW w:w="7968" w:type="dxa"/>
            <w:vAlign w:val="center"/>
          </w:tcPr>
          <w:p w14:paraId="1C3F3DDA">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因运维责任导致核心系统业务中断超过60分钟</w:t>
            </w:r>
          </w:p>
        </w:tc>
      </w:tr>
      <w:tr w14:paraId="5B9C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05C9D060">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2</w:t>
            </w:r>
          </w:p>
        </w:tc>
        <w:tc>
          <w:tcPr>
            <w:tcW w:w="7968" w:type="dxa"/>
            <w:vAlign w:val="center"/>
          </w:tcPr>
          <w:p w14:paraId="2331379F">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因运维责任导致系统数据丢失，造成超过1周以上的数据无法恢复</w:t>
            </w:r>
          </w:p>
        </w:tc>
      </w:tr>
      <w:tr w14:paraId="1BA7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Align w:val="center"/>
          </w:tcPr>
          <w:p w14:paraId="6B6FF435">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3</w:t>
            </w:r>
          </w:p>
        </w:tc>
        <w:tc>
          <w:tcPr>
            <w:tcW w:w="7968" w:type="dxa"/>
            <w:vAlign w:val="center"/>
          </w:tcPr>
          <w:p w14:paraId="7CEAFD73">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因成交供应商未及时修复漏洞导致系统被入侵，造成业务被迫中断超过60分钟</w:t>
            </w:r>
          </w:p>
        </w:tc>
      </w:tr>
      <w:tr w14:paraId="057D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17" w:type="dxa"/>
            <w:vAlign w:val="center"/>
          </w:tcPr>
          <w:p w14:paraId="7B5AA995">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4</w:t>
            </w:r>
          </w:p>
        </w:tc>
        <w:tc>
          <w:tcPr>
            <w:tcW w:w="7968" w:type="dxa"/>
            <w:vAlign w:val="center"/>
          </w:tcPr>
          <w:p w14:paraId="02D3CA04">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在网络安全监管机构已发出整改通知后未正确处置，出现问题并造成重大事故</w:t>
            </w:r>
          </w:p>
        </w:tc>
      </w:tr>
      <w:tr w14:paraId="4CB1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4AE4ED47">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5</w:t>
            </w:r>
          </w:p>
        </w:tc>
        <w:tc>
          <w:tcPr>
            <w:tcW w:w="7968" w:type="dxa"/>
            <w:vAlign w:val="center"/>
          </w:tcPr>
          <w:p w14:paraId="27A96632">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故障响应时间超过30分钟，造成重大事故</w:t>
            </w:r>
          </w:p>
        </w:tc>
      </w:tr>
      <w:tr w14:paraId="7CF9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17" w:type="dxa"/>
            <w:vAlign w:val="center"/>
          </w:tcPr>
          <w:p w14:paraId="49B31716">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6</w:t>
            </w:r>
          </w:p>
        </w:tc>
        <w:tc>
          <w:tcPr>
            <w:tcW w:w="7968" w:type="dxa"/>
            <w:vAlign w:val="center"/>
          </w:tcPr>
          <w:p w14:paraId="788D012C">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运维运营需求平均响应时间大于30分钟且小于60分钟，造成重大事故</w:t>
            </w:r>
          </w:p>
        </w:tc>
      </w:tr>
      <w:tr w14:paraId="3383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7" w:type="dxa"/>
            <w:vAlign w:val="center"/>
          </w:tcPr>
          <w:p w14:paraId="20DFA21E">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7</w:t>
            </w:r>
          </w:p>
        </w:tc>
        <w:tc>
          <w:tcPr>
            <w:tcW w:w="7968" w:type="dxa"/>
            <w:vAlign w:val="center"/>
          </w:tcPr>
          <w:p w14:paraId="263CA40F">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运维运营需求平均故障恢复时间大于60分钟且小于120分钟，造成重大影响</w:t>
            </w:r>
          </w:p>
        </w:tc>
      </w:tr>
      <w:tr w14:paraId="3CE0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D8D9533">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sz w:val="28"/>
                <w:szCs w:val="28"/>
              </w:rPr>
            </w:pPr>
            <w:r>
              <w:rPr>
                <w:rFonts w:hint="eastAsia" w:ascii="仿宋_GB2312" w:hAnsi="仿宋" w:eastAsia="仿宋_GB2312" w:cs="仿宋"/>
                <w:sz w:val="28"/>
                <w:szCs w:val="28"/>
              </w:rPr>
              <w:t>8</w:t>
            </w:r>
          </w:p>
        </w:tc>
        <w:tc>
          <w:tcPr>
            <w:tcW w:w="7968" w:type="dxa"/>
            <w:vAlign w:val="center"/>
          </w:tcPr>
          <w:p w14:paraId="72A3C956">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现场无人值守超过大于1小时且小于4小时，造成重大事故</w:t>
            </w:r>
          </w:p>
        </w:tc>
      </w:tr>
    </w:tbl>
    <w:p w14:paraId="1701502A">
      <w:pPr>
        <w:spacing w:line="6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3.一般违约行为：成交供应商在服务期的违约行为对业务系统造成的影响未达到重大违约行为和严重违约行为的其他违约行为，每发生一次，应向采购人支付本项目合同金额的0.5%作为违约金。</w:t>
      </w:r>
    </w:p>
    <w:p w14:paraId="5300EFEA">
      <w:pPr>
        <w:snapToGrid w:val="0"/>
        <w:spacing w:line="300" w:lineRule="exact"/>
        <w:ind w:firstLine="560" w:firstLineChars="200"/>
        <w:jc w:val="center"/>
        <w:rPr>
          <w:rFonts w:ascii="Times New Roman" w:hAnsi="Times New Roman" w:eastAsia="仿宋_GB2312"/>
          <w:sz w:val="28"/>
          <w:szCs w:val="28"/>
        </w:rPr>
      </w:pPr>
      <w:r>
        <w:rPr>
          <w:rFonts w:ascii="Times New Roman" w:hAnsi="Times New Roman" w:eastAsia="仿宋_GB2312"/>
          <w:sz w:val="28"/>
          <w:szCs w:val="28"/>
        </w:rPr>
        <w:t>表：一般违约行为表</w:t>
      </w:r>
    </w:p>
    <w:tbl>
      <w:tblPr>
        <w:tblStyle w:val="19"/>
        <w:tblpPr w:leftFromText="180" w:rightFromText="180" w:vertAnchor="text" w:horzAnchor="page" w:tblpX="1630" w:tblpY="310"/>
        <w:tblOverlap w:val="never"/>
        <w:tblW w:w="9038" w:type="dxa"/>
        <w:tblInd w:w="0" w:type="dxa"/>
        <w:tblLayout w:type="fixed"/>
        <w:tblCellMar>
          <w:top w:w="0" w:type="dxa"/>
          <w:left w:w="108" w:type="dxa"/>
          <w:bottom w:w="0" w:type="dxa"/>
          <w:right w:w="108" w:type="dxa"/>
        </w:tblCellMar>
      </w:tblPr>
      <w:tblGrid>
        <w:gridCol w:w="815"/>
        <w:gridCol w:w="8223"/>
      </w:tblGrid>
      <w:tr w14:paraId="46A72D1C">
        <w:tblPrEx>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shd w:val="clear" w:color="auto" w:fill="D9D9D9"/>
            <w:vAlign w:val="center"/>
          </w:tcPr>
          <w:p w14:paraId="53DDD4DF">
            <w:pPr>
              <w:keepNext w:val="0"/>
              <w:keepLines w:val="0"/>
              <w:suppressLineNumbers w:val="0"/>
              <w:spacing w:before="0" w:beforeAutospacing="0" w:after="0" w:afterAutospacing="0" w:line="300" w:lineRule="exact"/>
              <w:ind w:left="0" w:right="0"/>
              <w:jc w:val="center"/>
              <w:rPr>
                <w:rFonts w:hint="eastAsia" w:ascii="仿宋_GB2312" w:hAnsi="仿宋" w:eastAsia="仿宋_GB2312" w:cs="仿宋"/>
                <w:b/>
                <w:bCs/>
                <w:sz w:val="28"/>
                <w:szCs w:val="28"/>
              </w:rPr>
            </w:pPr>
            <w:r>
              <w:rPr>
                <w:rFonts w:hint="eastAsia" w:ascii="仿宋_GB2312" w:hAnsi="仿宋" w:eastAsia="仿宋_GB2312" w:cs="仿宋"/>
                <w:b/>
                <w:bCs/>
                <w:sz w:val="28"/>
                <w:szCs w:val="28"/>
              </w:rPr>
              <w:t>序号</w:t>
            </w:r>
          </w:p>
        </w:tc>
        <w:tc>
          <w:tcPr>
            <w:tcW w:w="8223" w:type="dxa"/>
            <w:tcBorders>
              <w:top w:val="single" w:color="auto" w:sz="4" w:space="0"/>
              <w:left w:val="nil"/>
              <w:bottom w:val="single" w:color="auto" w:sz="4" w:space="0"/>
              <w:right w:val="single" w:color="auto" w:sz="4" w:space="0"/>
            </w:tcBorders>
            <w:shd w:val="clear" w:color="auto" w:fill="D9D9D9"/>
            <w:vAlign w:val="center"/>
          </w:tcPr>
          <w:p w14:paraId="1A764D1E">
            <w:pPr>
              <w:keepNext w:val="0"/>
              <w:keepLines w:val="0"/>
              <w:suppressLineNumbers w:val="0"/>
              <w:spacing w:before="0" w:beforeAutospacing="0" w:after="0" w:afterAutospacing="0" w:line="300" w:lineRule="exact"/>
              <w:ind w:left="0" w:right="0"/>
              <w:rPr>
                <w:rFonts w:hint="eastAsia" w:ascii="仿宋_GB2312" w:hAnsi="仿宋" w:eastAsia="仿宋_GB2312" w:cs="仿宋"/>
                <w:b/>
                <w:bCs/>
                <w:sz w:val="28"/>
                <w:szCs w:val="28"/>
              </w:rPr>
            </w:pPr>
            <w:r>
              <w:rPr>
                <w:rFonts w:hint="eastAsia" w:ascii="仿宋_GB2312" w:hAnsi="仿宋" w:eastAsia="仿宋_GB2312" w:cs="仿宋"/>
                <w:b/>
                <w:bCs/>
                <w:sz w:val="28"/>
                <w:szCs w:val="28"/>
              </w:rPr>
              <w:t>问题描述</w:t>
            </w:r>
          </w:p>
        </w:tc>
      </w:tr>
      <w:tr w14:paraId="5F37826A">
        <w:tblPrEx>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42434E11">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1</w:t>
            </w:r>
          </w:p>
        </w:tc>
        <w:tc>
          <w:tcPr>
            <w:tcW w:w="8223" w:type="dxa"/>
            <w:tcBorders>
              <w:top w:val="single" w:color="auto" w:sz="4" w:space="0"/>
              <w:left w:val="nil"/>
              <w:bottom w:val="single" w:color="auto" w:sz="4" w:space="0"/>
              <w:right w:val="single" w:color="auto" w:sz="4" w:space="0"/>
            </w:tcBorders>
            <w:vAlign w:val="center"/>
          </w:tcPr>
          <w:p w14:paraId="48A22C7B">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故障平均响应时间超过30分钟，出现问题但未造成重大影响</w:t>
            </w:r>
          </w:p>
        </w:tc>
      </w:tr>
      <w:tr w14:paraId="17578C9D">
        <w:tblPrEx>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3F3AA6D7">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2</w:t>
            </w:r>
          </w:p>
        </w:tc>
        <w:tc>
          <w:tcPr>
            <w:tcW w:w="8223" w:type="dxa"/>
            <w:tcBorders>
              <w:top w:val="single" w:color="auto" w:sz="4" w:space="0"/>
              <w:left w:val="nil"/>
              <w:bottom w:val="single" w:color="auto" w:sz="4" w:space="0"/>
              <w:right w:val="single" w:color="auto" w:sz="4" w:space="0"/>
            </w:tcBorders>
            <w:vAlign w:val="center"/>
          </w:tcPr>
          <w:p w14:paraId="26429710">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运维需求平均故障恢复时间大于60分钟，出现问题但未造成重大影响</w:t>
            </w:r>
          </w:p>
        </w:tc>
      </w:tr>
      <w:tr w14:paraId="13802BA3">
        <w:tblPrEx>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100F65D5">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3</w:t>
            </w:r>
          </w:p>
        </w:tc>
        <w:tc>
          <w:tcPr>
            <w:tcW w:w="8223" w:type="dxa"/>
            <w:tcBorders>
              <w:top w:val="single" w:color="auto" w:sz="4" w:space="0"/>
              <w:left w:val="nil"/>
              <w:bottom w:val="single" w:color="auto" w:sz="4" w:space="0"/>
              <w:right w:val="single" w:color="auto" w:sz="4" w:space="0"/>
            </w:tcBorders>
            <w:vAlign w:val="center"/>
          </w:tcPr>
          <w:p w14:paraId="4FB399EA">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现场无人值守超过大于30分钟，出现问题但未造成重大影响</w:t>
            </w:r>
          </w:p>
        </w:tc>
      </w:tr>
      <w:tr w14:paraId="3ABDB6F4">
        <w:tblPrEx>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190C0FDA">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4</w:t>
            </w:r>
          </w:p>
        </w:tc>
        <w:tc>
          <w:tcPr>
            <w:tcW w:w="8223" w:type="dxa"/>
            <w:tcBorders>
              <w:top w:val="single" w:color="auto" w:sz="4" w:space="0"/>
              <w:left w:val="nil"/>
              <w:bottom w:val="single" w:color="auto" w:sz="4" w:space="0"/>
              <w:right w:val="single" w:color="auto" w:sz="4" w:space="0"/>
            </w:tcBorders>
            <w:vAlign w:val="center"/>
          </w:tcPr>
          <w:p w14:paraId="6E9E294F">
            <w:pPr>
              <w:keepNext w:val="0"/>
              <w:keepLines w:val="0"/>
              <w:suppressLineNumbers w:val="0"/>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值班值守时发现相关漏洞，未能在30分钟内完成处置</w:t>
            </w:r>
          </w:p>
        </w:tc>
      </w:tr>
      <w:tr w14:paraId="6A661489">
        <w:tblPrEx>
          <w:tblCellMar>
            <w:top w:w="0" w:type="dxa"/>
            <w:left w:w="108" w:type="dxa"/>
            <w:bottom w:w="0" w:type="dxa"/>
            <w:right w:w="108" w:type="dxa"/>
          </w:tblCellMar>
        </w:tblPrEx>
        <w:trPr>
          <w:trHeight w:val="714" w:hRule="atLeast"/>
        </w:trPr>
        <w:tc>
          <w:tcPr>
            <w:tcW w:w="815" w:type="dxa"/>
            <w:tcBorders>
              <w:top w:val="single" w:color="auto" w:sz="4" w:space="0"/>
              <w:left w:val="single" w:color="auto" w:sz="4" w:space="0"/>
              <w:bottom w:val="single" w:color="auto" w:sz="4" w:space="0"/>
              <w:right w:val="single" w:color="auto" w:sz="4" w:space="0"/>
            </w:tcBorders>
            <w:vAlign w:val="center"/>
          </w:tcPr>
          <w:p w14:paraId="4F9C8D72">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5</w:t>
            </w:r>
          </w:p>
        </w:tc>
        <w:tc>
          <w:tcPr>
            <w:tcW w:w="8223" w:type="dxa"/>
            <w:tcBorders>
              <w:top w:val="single" w:color="auto" w:sz="4" w:space="0"/>
              <w:left w:val="nil"/>
              <w:bottom w:val="single" w:color="auto" w:sz="4" w:space="0"/>
              <w:right w:val="single" w:color="auto" w:sz="4" w:space="0"/>
            </w:tcBorders>
            <w:vAlign w:val="center"/>
          </w:tcPr>
          <w:p w14:paraId="31A0FB80">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因未及时发现业务系统过度开放的端口，导致存在攻击面风险，未造成重大影响</w:t>
            </w:r>
          </w:p>
        </w:tc>
      </w:tr>
      <w:tr w14:paraId="6A135356">
        <w:tblPrEx>
          <w:tblCellMar>
            <w:top w:w="0" w:type="dxa"/>
            <w:left w:w="108" w:type="dxa"/>
            <w:bottom w:w="0" w:type="dxa"/>
            <w:right w:w="108" w:type="dxa"/>
          </w:tblCellMar>
        </w:tblPrEx>
        <w:trPr>
          <w:trHeight w:val="780" w:hRule="atLeast"/>
        </w:trPr>
        <w:tc>
          <w:tcPr>
            <w:tcW w:w="815" w:type="dxa"/>
            <w:tcBorders>
              <w:top w:val="single" w:color="auto" w:sz="4" w:space="0"/>
              <w:left w:val="single" w:color="auto" w:sz="4" w:space="0"/>
              <w:bottom w:val="single" w:color="auto" w:sz="4" w:space="0"/>
              <w:right w:val="single" w:color="auto" w:sz="4" w:space="0"/>
            </w:tcBorders>
            <w:vAlign w:val="center"/>
          </w:tcPr>
          <w:p w14:paraId="3B323F0A">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6</w:t>
            </w:r>
          </w:p>
        </w:tc>
        <w:tc>
          <w:tcPr>
            <w:tcW w:w="8223" w:type="dxa"/>
            <w:tcBorders>
              <w:top w:val="single" w:color="auto" w:sz="4" w:space="0"/>
              <w:left w:val="nil"/>
              <w:bottom w:val="single" w:color="auto" w:sz="4" w:space="0"/>
              <w:right w:val="single" w:color="auto" w:sz="4" w:space="0"/>
            </w:tcBorders>
            <w:vAlign w:val="center"/>
          </w:tcPr>
          <w:p w14:paraId="64B8C8E2">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因安全基线配置原因导致业务系统被入侵或遭受数据丢失风险，及时发现未造成重大影响</w:t>
            </w:r>
          </w:p>
        </w:tc>
      </w:tr>
      <w:tr w14:paraId="5D53ADC6">
        <w:tblPrEx>
          <w:tblCellMar>
            <w:top w:w="0" w:type="dxa"/>
            <w:left w:w="108" w:type="dxa"/>
            <w:bottom w:w="0" w:type="dxa"/>
            <w:right w:w="108" w:type="dxa"/>
          </w:tblCellMar>
        </w:tblPrEx>
        <w:trPr>
          <w:trHeight w:val="749" w:hRule="atLeast"/>
        </w:trPr>
        <w:tc>
          <w:tcPr>
            <w:tcW w:w="815" w:type="dxa"/>
            <w:tcBorders>
              <w:top w:val="single" w:color="auto" w:sz="4" w:space="0"/>
              <w:left w:val="single" w:color="auto" w:sz="4" w:space="0"/>
              <w:bottom w:val="single" w:color="auto" w:sz="4" w:space="0"/>
              <w:right w:val="single" w:color="auto" w:sz="4" w:space="0"/>
            </w:tcBorders>
            <w:vAlign w:val="center"/>
          </w:tcPr>
          <w:p w14:paraId="52F16B58">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7</w:t>
            </w:r>
          </w:p>
        </w:tc>
        <w:tc>
          <w:tcPr>
            <w:tcW w:w="8223" w:type="dxa"/>
            <w:tcBorders>
              <w:top w:val="single" w:color="auto" w:sz="4" w:space="0"/>
              <w:left w:val="nil"/>
              <w:bottom w:val="single" w:color="auto" w:sz="4" w:space="0"/>
              <w:right w:val="single" w:color="auto" w:sz="4" w:space="0"/>
            </w:tcBorders>
            <w:vAlign w:val="center"/>
          </w:tcPr>
          <w:p w14:paraId="64A781F5">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日常服务运维运营过程中，违规执行配置（包括但不限于：未按变更方案错误执行造成业务影响、未授权违规变更操作等）</w:t>
            </w:r>
          </w:p>
        </w:tc>
      </w:tr>
      <w:tr w14:paraId="7C002B7F">
        <w:tblPrEx>
          <w:tblCellMar>
            <w:top w:w="0" w:type="dxa"/>
            <w:left w:w="108" w:type="dxa"/>
            <w:bottom w:w="0" w:type="dxa"/>
            <w:right w:w="108" w:type="dxa"/>
          </w:tblCellMar>
        </w:tblPrEx>
        <w:trPr>
          <w:trHeight w:val="690" w:hRule="atLeast"/>
        </w:trPr>
        <w:tc>
          <w:tcPr>
            <w:tcW w:w="815" w:type="dxa"/>
            <w:tcBorders>
              <w:top w:val="single" w:color="auto" w:sz="4" w:space="0"/>
              <w:left w:val="single" w:color="auto" w:sz="4" w:space="0"/>
              <w:bottom w:val="single" w:color="auto" w:sz="4" w:space="0"/>
              <w:right w:val="single" w:color="auto" w:sz="4" w:space="0"/>
            </w:tcBorders>
            <w:vAlign w:val="center"/>
          </w:tcPr>
          <w:p w14:paraId="307F44CD">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8</w:t>
            </w:r>
          </w:p>
        </w:tc>
        <w:tc>
          <w:tcPr>
            <w:tcW w:w="8223" w:type="dxa"/>
            <w:tcBorders>
              <w:top w:val="single" w:color="auto" w:sz="4" w:space="0"/>
              <w:left w:val="nil"/>
              <w:bottom w:val="single" w:color="auto" w:sz="4" w:space="0"/>
              <w:right w:val="single" w:color="auto" w:sz="4" w:space="0"/>
            </w:tcBorders>
            <w:vAlign w:val="center"/>
          </w:tcPr>
          <w:p w14:paraId="2BC8CB1D">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日常服务运维运营过程中，出现擅自修改运营运维数据或擅自透露敏感数据，以及违反公平公正原则事件</w:t>
            </w:r>
          </w:p>
        </w:tc>
      </w:tr>
      <w:tr w14:paraId="26E6E2EE">
        <w:tblPrEx>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12DE39C5">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9</w:t>
            </w:r>
          </w:p>
        </w:tc>
        <w:tc>
          <w:tcPr>
            <w:tcW w:w="8223" w:type="dxa"/>
            <w:tcBorders>
              <w:top w:val="single" w:color="auto" w:sz="4" w:space="0"/>
              <w:left w:val="nil"/>
              <w:bottom w:val="single" w:color="auto" w:sz="4" w:space="0"/>
              <w:right w:val="single" w:color="auto" w:sz="4" w:space="0"/>
            </w:tcBorders>
            <w:vAlign w:val="center"/>
          </w:tcPr>
          <w:p w14:paraId="09282212">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b/>
                <w:bCs/>
                <w:sz w:val="28"/>
                <w:szCs w:val="28"/>
              </w:rPr>
            </w:pPr>
            <w:r>
              <w:rPr>
                <w:rFonts w:hint="eastAsia" w:ascii="仿宋_GB2312" w:hAnsi="仿宋" w:eastAsia="仿宋_GB2312" w:cs="仿宋"/>
                <w:sz w:val="28"/>
                <w:szCs w:val="28"/>
              </w:rPr>
              <w:t>因响应不及时、运营技术能力不足、服务态度等原因，导致用户有效投诉（以采购人及业务使用方确认为准）</w:t>
            </w:r>
          </w:p>
        </w:tc>
      </w:tr>
      <w:tr w14:paraId="6CC37652">
        <w:tblPrEx>
          <w:tblCellMar>
            <w:top w:w="0" w:type="dxa"/>
            <w:left w:w="108" w:type="dxa"/>
            <w:bottom w:w="0" w:type="dxa"/>
            <w:right w:w="108" w:type="dxa"/>
          </w:tblCellMar>
        </w:tblPrEx>
        <w:trPr>
          <w:trHeight w:val="1125" w:hRule="atLeast"/>
        </w:trPr>
        <w:tc>
          <w:tcPr>
            <w:tcW w:w="815" w:type="dxa"/>
            <w:tcBorders>
              <w:top w:val="single" w:color="auto" w:sz="4" w:space="0"/>
              <w:left w:val="single" w:color="auto" w:sz="4" w:space="0"/>
              <w:bottom w:val="single" w:color="auto" w:sz="4" w:space="0"/>
              <w:right w:val="single" w:color="auto" w:sz="4" w:space="0"/>
            </w:tcBorders>
            <w:vAlign w:val="center"/>
          </w:tcPr>
          <w:p w14:paraId="5C6DE335">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10</w:t>
            </w:r>
          </w:p>
        </w:tc>
        <w:tc>
          <w:tcPr>
            <w:tcW w:w="8223" w:type="dxa"/>
            <w:tcBorders>
              <w:top w:val="single" w:color="auto" w:sz="4" w:space="0"/>
              <w:left w:val="nil"/>
              <w:bottom w:val="single" w:color="auto" w:sz="4" w:space="0"/>
              <w:right w:val="single" w:color="auto" w:sz="4" w:space="0"/>
            </w:tcBorders>
            <w:vAlign w:val="center"/>
          </w:tcPr>
          <w:p w14:paraId="0C95F02B">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工作时间内，技术支持、系统维护人员不及时接听故障处理电话的（未接听1次并在15分钟之内未回拨的），不及时回复（超过30分钟）采购人及业务使用方提出的技术咨询或问题解答</w:t>
            </w:r>
          </w:p>
        </w:tc>
      </w:tr>
      <w:tr w14:paraId="7676DF29">
        <w:tblPrEx>
          <w:tblCellMar>
            <w:top w:w="0" w:type="dxa"/>
            <w:left w:w="108" w:type="dxa"/>
            <w:bottom w:w="0" w:type="dxa"/>
            <w:right w:w="108" w:type="dxa"/>
          </w:tblCellMar>
        </w:tblPrEx>
        <w:trPr>
          <w:trHeight w:val="687" w:hRule="atLeast"/>
        </w:trPr>
        <w:tc>
          <w:tcPr>
            <w:tcW w:w="815" w:type="dxa"/>
            <w:tcBorders>
              <w:top w:val="single" w:color="auto" w:sz="4" w:space="0"/>
              <w:left w:val="single" w:color="auto" w:sz="4" w:space="0"/>
              <w:bottom w:val="single" w:color="auto" w:sz="4" w:space="0"/>
              <w:right w:val="single" w:color="auto" w:sz="4" w:space="0"/>
            </w:tcBorders>
            <w:vAlign w:val="center"/>
          </w:tcPr>
          <w:p w14:paraId="77E9C94A">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11</w:t>
            </w:r>
          </w:p>
        </w:tc>
        <w:tc>
          <w:tcPr>
            <w:tcW w:w="8223" w:type="dxa"/>
            <w:tcBorders>
              <w:top w:val="single" w:color="auto" w:sz="4" w:space="0"/>
              <w:left w:val="nil"/>
              <w:bottom w:val="single" w:color="auto" w:sz="4" w:space="0"/>
              <w:right w:val="single" w:color="auto" w:sz="4" w:space="0"/>
            </w:tcBorders>
            <w:vAlign w:val="center"/>
          </w:tcPr>
          <w:p w14:paraId="142E9221">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对于明确需要完成的事宜，执行效果未达到要求，存在缺漏或质量不达标</w:t>
            </w:r>
          </w:p>
        </w:tc>
      </w:tr>
      <w:tr w14:paraId="6091A2D7">
        <w:tblPrEx>
          <w:tblCellMar>
            <w:top w:w="0" w:type="dxa"/>
            <w:left w:w="108" w:type="dxa"/>
            <w:bottom w:w="0" w:type="dxa"/>
            <w:right w:w="108" w:type="dxa"/>
          </w:tblCellMar>
        </w:tblPrEx>
        <w:trPr>
          <w:trHeight w:val="852" w:hRule="atLeast"/>
        </w:trPr>
        <w:tc>
          <w:tcPr>
            <w:tcW w:w="815" w:type="dxa"/>
            <w:tcBorders>
              <w:top w:val="single" w:color="auto" w:sz="4" w:space="0"/>
              <w:left w:val="single" w:color="auto" w:sz="4" w:space="0"/>
              <w:bottom w:val="single" w:color="auto" w:sz="4" w:space="0"/>
              <w:right w:val="single" w:color="auto" w:sz="4" w:space="0"/>
            </w:tcBorders>
            <w:vAlign w:val="center"/>
          </w:tcPr>
          <w:p w14:paraId="0C568F2B">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12</w:t>
            </w:r>
          </w:p>
        </w:tc>
        <w:tc>
          <w:tcPr>
            <w:tcW w:w="8223" w:type="dxa"/>
            <w:tcBorders>
              <w:top w:val="single" w:color="auto" w:sz="4" w:space="0"/>
              <w:left w:val="nil"/>
              <w:bottom w:val="single" w:color="auto" w:sz="4" w:space="0"/>
              <w:right w:val="single" w:color="auto" w:sz="4" w:space="0"/>
            </w:tcBorders>
            <w:vAlign w:val="center"/>
          </w:tcPr>
          <w:p w14:paraId="1A278499">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未经采购人及业务使用方允许，擅自将系统相关数据另作他用或提供给任何第三方使用的</w:t>
            </w:r>
          </w:p>
        </w:tc>
      </w:tr>
      <w:tr w14:paraId="59C20604">
        <w:tblPrEx>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5EB06A5E">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13</w:t>
            </w:r>
          </w:p>
        </w:tc>
        <w:tc>
          <w:tcPr>
            <w:tcW w:w="8223" w:type="dxa"/>
            <w:tcBorders>
              <w:top w:val="single" w:color="auto" w:sz="4" w:space="0"/>
              <w:left w:val="nil"/>
              <w:bottom w:val="single" w:color="auto" w:sz="4" w:space="0"/>
              <w:right w:val="single" w:color="auto" w:sz="4" w:space="0"/>
            </w:tcBorders>
            <w:vAlign w:val="center"/>
          </w:tcPr>
          <w:p w14:paraId="50E88C46">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因成交供应商原因导致系统数据泄露，但未造成重大影响</w:t>
            </w:r>
          </w:p>
        </w:tc>
      </w:tr>
      <w:tr w14:paraId="39536BA4">
        <w:tblPrEx>
          <w:tblCellMar>
            <w:top w:w="0" w:type="dxa"/>
            <w:left w:w="108" w:type="dxa"/>
            <w:bottom w:w="0" w:type="dxa"/>
            <w:right w:w="108" w:type="dxa"/>
          </w:tblCellMar>
        </w:tblPrEx>
        <w:trPr>
          <w:trHeight w:val="774" w:hRule="atLeast"/>
        </w:trPr>
        <w:tc>
          <w:tcPr>
            <w:tcW w:w="815" w:type="dxa"/>
            <w:tcBorders>
              <w:top w:val="single" w:color="auto" w:sz="4" w:space="0"/>
              <w:left w:val="single" w:color="auto" w:sz="4" w:space="0"/>
              <w:bottom w:val="single" w:color="auto" w:sz="4" w:space="0"/>
              <w:right w:val="single" w:color="auto" w:sz="4" w:space="0"/>
            </w:tcBorders>
            <w:vAlign w:val="center"/>
          </w:tcPr>
          <w:p w14:paraId="232A6111">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14</w:t>
            </w:r>
          </w:p>
        </w:tc>
        <w:tc>
          <w:tcPr>
            <w:tcW w:w="8223" w:type="dxa"/>
            <w:tcBorders>
              <w:top w:val="single" w:color="auto" w:sz="4" w:space="0"/>
              <w:left w:val="nil"/>
              <w:bottom w:val="single" w:color="auto" w:sz="4" w:space="0"/>
              <w:right w:val="single" w:color="auto" w:sz="4" w:space="0"/>
            </w:tcBorders>
            <w:vAlign w:val="center"/>
          </w:tcPr>
          <w:p w14:paraId="49F986EE">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sz w:val="28"/>
                <w:szCs w:val="28"/>
              </w:rPr>
              <w:t>项目负责人、平台负责人、运营负责人应保持相对稳定，未经采购人及业务使用方同意，</w:t>
            </w:r>
            <w:r>
              <w:rPr>
                <w:rFonts w:hint="eastAsia" w:ascii="仿宋_GB2312" w:hAnsi="仿宋" w:eastAsia="仿宋_GB2312" w:cs="仿宋"/>
                <w:color w:val="000000"/>
                <w:sz w:val="28"/>
                <w:szCs w:val="28"/>
              </w:rPr>
              <w:t>成交供应商</w:t>
            </w:r>
            <w:r>
              <w:rPr>
                <w:rFonts w:hint="eastAsia" w:ascii="仿宋_GB2312" w:hAnsi="仿宋" w:eastAsia="仿宋_GB2312" w:cs="仿宋"/>
                <w:sz w:val="28"/>
                <w:szCs w:val="28"/>
              </w:rPr>
              <w:t>随意更换人员</w:t>
            </w:r>
          </w:p>
        </w:tc>
      </w:tr>
      <w:tr w14:paraId="40C6EE74">
        <w:tblPrEx>
          <w:tblCellMar>
            <w:top w:w="0" w:type="dxa"/>
            <w:left w:w="108" w:type="dxa"/>
            <w:bottom w:w="0" w:type="dxa"/>
            <w:right w:w="108" w:type="dxa"/>
          </w:tblCellMar>
        </w:tblPrEx>
        <w:trPr>
          <w:trHeight w:val="984" w:hRule="atLeast"/>
        </w:trPr>
        <w:tc>
          <w:tcPr>
            <w:tcW w:w="815" w:type="dxa"/>
            <w:tcBorders>
              <w:top w:val="single" w:color="auto" w:sz="4" w:space="0"/>
              <w:left w:val="single" w:color="auto" w:sz="4" w:space="0"/>
              <w:bottom w:val="single" w:color="auto" w:sz="4" w:space="0"/>
              <w:right w:val="single" w:color="auto" w:sz="4" w:space="0"/>
            </w:tcBorders>
            <w:vAlign w:val="center"/>
          </w:tcPr>
          <w:p w14:paraId="161FA9F8">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8"/>
                <w:szCs w:val="28"/>
              </w:rPr>
            </w:pPr>
            <w:r>
              <w:rPr>
                <w:rFonts w:hint="eastAsia" w:ascii="仿宋_GB2312" w:hAnsi="仿宋" w:eastAsia="仿宋_GB2312" w:cs="仿宋"/>
                <w:sz w:val="28"/>
                <w:szCs w:val="28"/>
              </w:rPr>
              <w:t>15</w:t>
            </w:r>
          </w:p>
        </w:tc>
        <w:tc>
          <w:tcPr>
            <w:tcW w:w="8223" w:type="dxa"/>
            <w:tcBorders>
              <w:top w:val="single" w:color="auto" w:sz="4" w:space="0"/>
              <w:left w:val="nil"/>
              <w:bottom w:val="single" w:color="auto" w:sz="4" w:space="0"/>
              <w:right w:val="single" w:color="auto" w:sz="4" w:space="0"/>
            </w:tcBorders>
            <w:vAlign w:val="center"/>
          </w:tcPr>
          <w:p w14:paraId="3B310339">
            <w:pPr>
              <w:keepNext w:val="0"/>
              <w:keepLines w:val="0"/>
              <w:suppressLineNumbers w:val="0"/>
              <w:tabs>
                <w:tab w:val="left" w:pos="2674"/>
              </w:tabs>
              <w:spacing w:before="0" w:beforeAutospacing="0" w:after="0" w:afterAutospacing="0" w:line="300" w:lineRule="exact"/>
              <w:ind w:left="0" w:right="0"/>
              <w:rPr>
                <w:rFonts w:hint="eastAsia" w:ascii="仿宋_GB2312" w:hAnsi="仿宋" w:eastAsia="仿宋_GB2312" w:cs="仿宋"/>
                <w:sz w:val="28"/>
                <w:szCs w:val="28"/>
              </w:rPr>
            </w:pPr>
            <w:r>
              <w:rPr>
                <w:rFonts w:hint="eastAsia" w:ascii="仿宋_GB2312" w:hAnsi="仿宋" w:eastAsia="仿宋_GB2312" w:cs="仿宋"/>
                <w:color w:val="000000"/>
                <w:sz w:val="28"/>
                <w:szCs w:val="28"/>
              </w:rPr>
              <w:t>成交供应商</w:t>
            </w:r>
            <w:r>
              <w:rPr>
                <w:rFonts w:hint="eastAsia" w:ascii="仿宋_GB2312" w:hAnsi="仿宋" w:eastAsia="仿宋_GB2312" w:cs="仿宋"/>
                <w:sz w:val="28"/>
                <w:szCs w:val="28"/>
              </w:rPr>
              <w:t>及关联第三方服务厂商未经采购人及业务使用方同意或授权，将本项目相关资料（包括并不限于实施方案、典型案例、最佳实践等）用于本项目之外用途</w:t>
            </w:r>
          </w:p>
        </w:tc>
      </w:tr>
    </w:tbl>
    <w:p w14:paraId="693B3F88">
      <w:pPr>
        <w:rPr>
          <w:rFonts w:hint="eastAsia" w:ascii="仿宋_GB2312" w:hAnsi="仿宋_GB2312" w:eastAsia="仿宋_GB2312"/>
        </w:rPr>
      </w:pPr>
    </w:p>
    <w:p w14:paraId="0AE39245">
      <w:pPr>
        <w:pStyle w:val="9"/>
        <w:spacing w:after="0" w:line="640" w:lineRule="exact"/>
        <w:rPr>
          <w:rFonts w:hint="eastAsia"/>
          <w:lang w:eastAsia="zh-CN"/>
        </w:rPr>
      </w:pPr>
      <w:r>
        <w:rPr>
          <w:rFonts w:hint="eastAsia" w:ascii="仿宋_GB2312" w:hAnsi="仿宋_GB2312" w:eastAsia="仿宋_GB2312" w:cs="仿宋_GB2312"/>
          <w:sz w:val="32"/>
          <w:szCs w:val="32"/>
          <w:lang w:val="en-US" w:eastAsia="zh-CN"/>
        </w:rPr>
        <w:t>商务要求表</w:t>
      </w:r>
    </w:p>
    <w:bookmarkEnd w:id="30"/>
    <w:tbl>
      <w:tblPr>
        <w:tblStyle w:val="1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47F7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7F4F1FD">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6D9A95FE">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服务期：本运维项目的服务期详见运维要求里的服务期要求内容。</w:t>
            </w:r>
          </w:p>
          <w:p w14:paraId="2CA16833">
            <w:pPr>
              <w:keepNext w:val="0"/>
              <w:keepLines w:val="0"/>
              <w:suppressLineNumbers w:val="0"/>
              <w:snapToGrid w:val="0"/>
              <w:spacing w:before="0" w:beforeAutospacing="0" w:after="0" w:afterAutospacing="0" w:line="400" w:lineRule="exact"/>
              <w:ind w:left="0" w:right="0"/>
              <w:rPr>
                <w:rFonts w:hint="eastAsia" w:ascii="仿宋" w:hAnsi="仿宋" w:eastAsia="仿宋" w:cstheme="minorEastAsia"/>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地点：</w:t>
            </w:r>
            <w:r>
              <w:rPr>
                <w:rFonts w:hint="eastAsia" w:ascii="Times New Roman" w:hAnsi="Times New Roman" w:eastAsia="仿宋_GB2312" w:cs="Times New Roman"/>
                <w:color w:val="000000" w:themeColor="text1"/>
                <w:sz w:val="24"/>
                <w14:textFill>
                  <w14:solidFill>
                    <w14:schemeClr w14:val="tx1"/>
                  </w14:solidFill>
                </w14:textFill>
              </w:rPr>
              <w:t>采购人</w:t>
            </w:r>
            <w:r>
              <w:rPr>
                <w:rFonts w:hint="default" w:ascii="Times New Roman" w:hAnsi="Times New Roman" w:eastAsia="仿宋_GB2312" w:cs="Times New Roman"/>
                <w:color w:val="000000" w:themeColor="text1"/>
                <w:sz w:val="24"/>
                <w14:textFill>
                  <w14:solidFill>
                    <w14:schemeClr w14:val="tx1"/>
                  </w14:solidFill>
                </w14:textFill>
              </w:rPr>
              <w:t>指定地点。</w:t>
            </w:r>
          </w:p>
        </w:tc>
      </w:tr>
      <w:tr w14:paraId="1B7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28902EF">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551281DE">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（1）合同签订后，成交供应商提交与拟支付金额等额的符合采购方财务管理要求的相应发票，采购人在收到等额发票后</w:t>
            </w:r>
            <w:r>
              <w:rPr>
                <w:rFonts w:hint="eastAsia" w:ascii="Times New Roman" w:hAnsi="Times New Roman" w:eastAsia="仿宋_GB2312" w:cs="Times New Roman"/>
                <w:color w:val="000000" w:themeColor="text1"/>
                <w:sz w:val="24"/>
                <w:lang w:val="en-US" w:eastAsia="zh-CN"/>
                <w14:textFill>
                  <w14:solidFill>
                    <w14:schemeClr w14:val="tx1"/>
                  </w14:solidFill>
                </w14:textFill>
              </w:rPr>
              <w:t>7</w:t>
            </w:r>
            <w:r>
              <w:rPr>
                <w:rFonts w:hint="default" w:ascii="Times New Roman" w:hAnsi="Times New Roman" w:eastAsia="仿宋_GB2312" w:cs="Times New Roman"/>
                <w:color w:val="000000" w:themeColor="text1"/>
                <w:sz w:val="24"/>
                <w14:textFill>
                  <w14:solidFill>
                    <w14:schemeClr w14:val="tx1"/>
                  </w14:solidFill>
                </w14:textFill>
              </w:rPr>
              <w:t>个工作日内支付合同总额的</w:t>
            </w:r>
            <w:r>
              <w:rPr>
                <w:rFonts w:hint="eastAsia" w:ascii="Times New Roman" w:hAnsi="Times New Roman" w:eastAsia="仿宋_GB2312" w:cs="Times New Roman"/>
                <w:color w:val="000000" w:themeColor="text1"/>
                <w:sz w:val="24"/>
                <w14:textFill>
                  <w14:solidFill>
                    <w14:schemeClr w14:val="tx1"/>
                  </w14:solidFill>
                </w14:textFill>
              </w:rPr>
              <w:t>50</w:t>
            </w:r>
            <w:r>
              <w:rPr>
                <w:rFonts w:hint="default" w:ascii="Times New Roman" w:hAnsi="Times New Roman" w:eastAsia="仿宋_GB2312" w:cs="Times New Roman"/>
                <w:color w:val="000000" w:themeColor="text1"/>
                <w:sz w:val="24"/>
                <w14:textFill>
                  <w14:solidFill>
                    <w14:schemeClr w14:val="tx1"/>
                  </w14:solidFill>
                </w14:textFill>
              </w:rPr>
              <w:t>%；</w:t>
            </w:r>
          </w:p>
          <w:p w14:paraId="3AFC6DB3">
            <w:pPr>
              <w:keepNext w:val="0"/>
              <w:keepLines w:val="0"/>
              <w:suppressLineNumbers w:val="0"/>
              <w:spacing w:before="0" w:beforeAutospacing="0" w:after="0" w:afterAutospacing="0" w:line="560" w:lineRule="exact"/>
              <w:ind w:left="0" w:right="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（2）初验通过后，成交供应商提交与拟支付金额等额的符合采购方财务管理要求的相应发票，采购人在收到等额发票后</w:t>
            </w:r>
            <w:r>
              <w:rPr>
                <w:rFonts w:hint="eastAsia" w:ascii="Times New Roman" w:hAnsi="Times New Roman" w:eastAsia="仿宋_GB2312" w:cs="Times New Roman"/>
                <w:color w:val="000000" w:themeColor="text1"/>
                <w:sz w:val="24"/>
                <w:lang w:val="en-US" w:eastAsia="zh-CN"/>
                <w14:textFill>
                  <w14:solidFill>
                    <w14:schemeClr w14:val="tx1"/>
                  </w14:solidFill>
                </w14:textFill>
              </w:rPr>
              <w:t>7</w:t>
            </w:r>
            <w:r>
              <w:rPr>
                <w:rFonts w:hint="default" w:ascii="Times New Roman" w:hAnsi="Times New Roman" w:eastAsia="仿宋_GB2312" w:cs="Times New Roman"/>
                <w:color w:val="000000" w:themeColor="text1"/>
                <w:sz w:val="24"/>
                <w14:textFill>
                  <w14:solidFill>
                    <w14:schemeClr w14:val="tx1"/>
                  </w14:solidFill>
                </w14:textFill>
              </w:rPr>
              <w:t>个工作日内支付合同总额的</w:t>
            </w:r>
            <w:r>
              <w:rPr>
                <w:rFonts w:hint="eastAsia" w:ascii="Times New Roman" w:hAnsi="Times New Roman" w:eastAsia="仿宋_GB2312" w:cs="Times New Roman"/>
                <w:color w:val="000000" w:themeColor="text1"/>
                <w:sz w:val="24"/>
                <w14:textFill>
                  <w14:solidFill>
                    <w14:schemeClr w14:val="tx1"/>
                  </w14:solidFill>
                </w14:textFill>
              </w:rPr>
              <w:t>3</w:t>
            </w:r>
            <w:r>
              <w:rPr>
                <w:rFonts w:hint="default" w:ascii="Times New Roman" w:hAnsi="Times New Roman" w:eastAsia="仿宋_GB2312" w:cs="Times New Roman"/>
                <w:color w:val="000000" w:themeColor="text1"/>
                <w:sz w:val="24"/>
                <w14:textFill>
                  <w14:solidFill>
                    <w14:schemeClr w14:val="tx1"/>
                  </w14:solidFill>
                </w14:textFill>
              </w:rPr>
              <w:t>0%；</w:t>
            </w:r>
          </w:p>
          <w:p w14:paraId="38D5BF05">
            <w:pPr>
              <w:pStyle w:val="12"/>
              <w:keepNext w:val="0"/>
              <w:keepLines w:val="0"/>
              <w:widowControl/>
              <w:numPr>
                <w:ilvl w:val="0"/>
                <w:numId w:val="0"/>
              </w:numPr>
              <w:suppressLineNumbers w:val="0"/>
              <w:spacing w:before="0" w:beforeAutospacing="0" w:after="0" w:afterAutospacing="0" w:line="660" w:lineRule="exact"/>
              <w:ind w:left="0" w:right="0" w:firstLine="0" w:firstLineChars="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（3）终验通过后，成交供应商提交与拟支付金额等额的符合采购方财务管理要求的相应发票，采购人在收到等额发票后</w:t>
            </w:r>
            <w:r>
              <w:rPr>
                <w:rFonts w:hint="eastAsia" w:ascii="Times New Roman" w:hAnsi="Times New Roman" w:eastAsia="仿宋_GB2312" w:cs="Times New Roman"/>
                <w:color w:val="000000" w:themeColor="text1"/>
                <w:sz w:val="24"/>
                <w:lang w:val="en-US" w:eastAsia="zh-CN"/>
                <w14:textFill>
                  <w14:solidFill>
                    <w14:schemeClr w14:val="tx1"/>
                  </w14:solidFill>
                </w14:textFill>
              </w:rPr>
              <w:t>7</w:t>
            </w:r>
            <w:r>
              <w:rPr>
                <w:rFonts w:hint="default" w:ascii="Times New Roman" w:hAnsi="Times New Roman" w:eastAsia="仿宋_GB2312" w:cs="Times New Roman"/>
                <w:color w:val="000000" w:themeColor="text1"/>
                <w:sz w:val="24"/>
                <w14:textFill>
                  <w14:solidFill>
                    <w14:schemeClr w14:val="tx1"/>
                  </w14:solidFill>
                </w14:textFill>
              </w:rPr>
              <w:t>个工作日内支付合同</w:t>
            </w:r>
            <w:r>
              <w:rPr>
                <w:rFonts w:hint="default" w:ascii="Times New Roman" w:hAnsi="Times New Roman" w:eastAsia="仿宋_GB2312" w:cs="Times New Roman"/>
                <w:color w:val="000000" w:themeColor="text1"/>
                <w:sz w:val="24"/>
                <w:lang w:val="en-US" w:eastAsia="zh-CN"/>
                <w14:textFill>
                  <w14:solidFill>
                    <w14:schemeClr w14:val="tx1"/>
                  </w14:solidFill>
                </w14:textFill>
              </w:rPr>
              <w:t>的剩余款项。</w:t>
            </w:r>
          </w:p>
          <w:p w14:paraId="3CFB40B3">
            <w:pPr>
              <w:keepNext w:val="0"/>
              <w:keepLines w:val="0"/>
              <w:suppressLineNumbers w:val="0"/>
              <w:snapToGrid w:val="0"/>
              <w:spacing w:before="0" w:beforeAutospacing="0" w:after="0" w:afterAutospacing="0" w:line="400" w:lineRule="exact"/>
              <w:ind w:left="0" w:right="0"/>
              <w:rPr>
                <w:rFonts w:hint="eastAsia" w:ascii="仿宋" w:hAnsi="仿宋" w:eastAsia="仿宋" w:cstheme="minorEastAsia"/>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（4）本项目不收取履约保证金。</w:t>
            </w:r>
          </w:p>
        </w:tc>
      </w:tr>
      <w:tr w14:paraId="51A1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C92CD5A">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1DA5BEEA">
            <w:pPr>
              <w:keepNext w:val="0"/>
              <w:keepLines w:val="0"/>
              <w:suppressLineNumbers w:val="0"/>
              <w:spacing w:before="0" w:beforeAutospacing="0" w:after="0" w:afterAutospacing="0"/>
              <w:ind w:left="0" w:right="0"/>
              <w:rPr>
                <w:rFonts w:hint="eastAsia"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无特别说明，按“第五章  浙江省政府采购合同主要条款指引”相关违约责任及争议解决方式内容。</w:t>
            </w:r>
          </w:p>
        </w:tc>
      </w:tr>
      <w:tr w14:paraId="5DE4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5951E5">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售</w:t>
            </w:r>
          </w:p>
          <w:p w14:paraId="48E1D5AB">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后</w:t>
            </w:r>
          </w:p>
          <w:p w14:paraId="3BED2A0F">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7D89B872">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08E4BA47">
            <w:pPr>
              <w:pStyle w:val="25"/>
              <w:keepNext w:val="0"/>
              <w:keepLines w:val="0"/>
              <w:widowControl w:val="0"/>
              <w:suppressLineNumbers w:val="0"/>
              <w:spacing w:before="0" w:beforeAutospacing="0" w:after="0" w:afterLines="0" w:afterAutospacing="0" w:line="400" w:lineRule="exact"/>
              <w:ind w:left="0" w:right="0" w:firstLine="0" w:firstLineChars="0"/>
              <w:rPr>
                <w:rFonts w:hint="default" w:eastAsia="仿宋_GB2312"/>
                <w:color w:val="000000"/>
                <w:sz w:val="28"/>
                <w:szCs w:val="28"/>
              </w:rPr>
            </w:pPr>
            <w:r>
              <w:rPr>
                <w:rFonts w:hint="default" w:eastAsia="仿宋_GB2312"/>
                <w:color w:val="000000"/>
                <w:sz w:val="28"/>
                <w:szCs w:val="28"/>
              </w:rPr>
              <w:t>提供不低于</w:t>
            </w:r>
            <w:r>
              <w:rPr>
                <w:rFonts w:hint="eastAsia" w:eastAsia="仿宋_GB2312"/>
                <w:color w:val="000000"/>
                <w:sz w:val="28"/>
                <w:szCs w:val="28"/>
                <w:lang w:val="en-US" w:eastAsia="zh-CN"/>
              </w:rPr>
              <w:t>11</w:t>
            </w:r>
            <w:r>
              <w:rPr>
                <w:rFonts w:hint="default" w:eastAsia="仿宋_GB2312"/>
                <w:color w:val="000000"/>
                <w:sz w:val="28"/>
                <w:szCs w:val="28"/>
              </w:rPr>
              <w:t>人的5×8小时一线驻场支持服务，</w:t>
            </w:r>
            <w:r>
              <w:rPr>
                <w:rFonts w:hint="eastAsia" w:eastAsia="仿宋_GB2312"/>
                <w:color w:val="000000"/>
                <w:sz w:val="28"/>
                <w:szCs w:val="28"/>
                <w:lang w:val="en-US" w:eastAsia="zh-CN"/>
              </w:rPr>
              <w:t>以及</w:t>
            </w:r>
            <w:r>
              <w:rPr>
                <w:rFonts w:hint="default" w:eastAsia="仿宋_GB2312"/>
                <w:color w:val="000000"/>
                <w:sz w:val="28"/>
                <w:szCs w:val="28"/>
              </w:rPr>
              <w:t>二、三线技术支持团队7×24小时紧急响应服务。</w:t>
            </w:r>
          </w:p>
          <w:p w14:paraId="14195CBA">
            <w:pPr>
              <w:keepNext w:val="0"/>
              <w:keepLines w:val="0"/>
              <w:suppressLineNumbers w:val="0"/>
              <w:snapToGrid w:val="0"/>
              <w:spacing w:before="0" w:beforeAutospacing="0" w:after="0" w:afterAutospacing="0" w:line="400" w:lineRule="exact"/>
              <w:ind w:left="0" w:right="0"/>
              <w:rPr>
                <w:rFonts w:hint="eastAsia" w:ascii="仿宋" w:hAnsi="仿宋" w:eastAsia="仿宋" w:cstheme="minorEastAsia"/>
                <w:color w:val="000000" w:themeColor="text1"/>
                <w:sz w:val="28"/>
                <w:szCs w:val="28"/>
                <w14:textFill>
                  <w14:solidFill>
                    <w14:schemeClr w14:val="tx1"/>
                  </w14:solidFill>
                </w14:textFill>
              </w:rPr>
            </w:pPr>
            <w:r>
              <w:rPr>
                <w:rFonts w:hint="eastAsia" w:eastAsia="仿宋_GB2312"/>
                <w:color w:val="000000"/>
                <w:sz w:val="28"/>
                <w:szCs w:val="28"/>
                <w:lang w:val="en-US" w:eastAsia="zh-CN"/>
              </w:rPr>
              <w:t>做好日常巡检服务。</w:t>
            </w:r>
            <w:r>
              <w:rPr>
                <w:rFonts w:hint="default" w:eastAsia="仿宋_GB2312"/>
                <w:color w:val="000000"/>
                <w:sz w:val="28"/>
                <w:szCs w:val="28"/>
              </w:rPr>
              <w:t>对重大或紧急问题提供现场技术支持，重大或紧急问题故障每</w:t>
            </w:r>
            <w:r>
              <w:rPr>
                <w:rFonts w:hint="eastAsia" w:eastAsia="仿宋_GB2312"/>
                <w:color w:val="000000"/>
                <w:sz w:val="28"/>
                <w:szCs w:val="28"/>
                <w:lang w:val="en-US" w:eastAsia="zh-CN"/>
              </w:rPr>
              <w:t>30</w:t>
            </w:r>
            <w:r>
              <w:rPr>
                <w:rFonts w:hint="default" w:eastAsia="仿宋_GB2312"/>
                <w:color w:val="000000"/>
                <w:sz w:val="28"/>
                <w:szCs w:val="28"/>
              </w:rPr>
              <w:t>分钟反馈一次进展。问题解决后24小时内，提交问题处理报告，说明问题种类、问题原因、问题解决中使用的方法。</w:t>
            </w:r>
          </w:p>
        </w:tc>
      </w:tr>
      <w:tr w14:paraId="6C09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F23140D">
            <w:pPr>
              <w:keepNext w:val="0"/>
              <w:keepLines w:val="0"/>
              <w:widowControl/>
              <w:suppressLineNumbers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6341C823">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3A45D900">
            <w:pPr>
              <w:keepNext w:val="0"/>
              <w:keepLines w:val="0"/>
              <w:suppressLineNumbers w:val="0"/>
              <w:snapToGrid w:val="0"/>
              <w:spacing w:before="0" w:beforeAutospacing="0" w:after="0" w:afterAutospacing="0" w:line="400" w:lineRule="exact"/>
              <w:ind w:left="0" w:right="0"/>
              <w:rPr>
                <w:rFonts w:hint="eastAsia" w:ascii="仿宋" w:hAnsi="仿宋" w:eastAsia="仿宋" w:cstheme="minorEastAsia"/>
                <w:color w:val="000000" w:themeColor="text1"/>
                <w:sz w:val="28"/>
                <w:szCs w:val="28"/>
                <w14:textFill>
                  <w14:solidFill>
                    <w14:schemeClr w14:val="tx1"/>
                  </w14:solidFill>
                </w14:textFill>
              </w:rPr>
            </w:pPr>
            <w:r>
              <w:rPr>
                <w:rFonts w:hint="default" w:ascii="Times New Roman" w:hAnsi="Times New Roman" w:eastAsia="仿宋_GB2312" w:cs="Times New Roman"/>
                <w:color w:val="000000"/>
                <w:kern w:val="0"/>
                <w:sz w:val="28"/>
                <w:szCs w:val="28"/>
              </w:rPr>
              <w:t>详见</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运维</w:t>
            </w:r>
            <w:r>
              <w:rPr>
                <w:rFonts w:hint="eastAsia" w:ascii="Times New Roman" w:hAnsi="Times New Roman" w:eastAsia="仿宋_GB2312" w:cs="Times New Roman"/>
                <w:color w:val="000000"/>
                <w:kern w:val="0"/>
                <w:sz w:val="28"/>
                <w:szCs w:val="28"/>
                <w:lang w:val="en-US" w:eastAsia="zh-CN"/>
              </w:rPr>
              <w:t>内容和</w:t>
            </w:r>
            <w:r>
              <w:rPr>
                <w:rFonts w:hint="default" w:ascii="Times New Roman" w:hAnsi="Times New Roman" w:eastAsia="仿宋_GB2312" w:cs="Times New Roman"/>
                <w:color w:val="000000"/>
                <w:kern w:val="0"/>
                <w:sz w:val="28"/>
                <w:szCs w:val="28"/>
              </w:rPr>
              <w:t>要求</w:t>
            </w: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中</w:t>
            </w:r>
            <w:r>
              <w:rPr>
                <w:rFonts w:hint="default" w:ascii="Times New Roman" w:hAnsi="Times New Roman" w:eastAsia="仿宋_GB2312" w:cs="Times New Roman"/>
                <w:color w:val="000000"/>
                <w:kern w:val="0"/>
                <w:sz w:val="28"/>
                <w:szCs w:val="28"/>
              </w:rPr>
              <w:t>的</w:t>
            </w:r>
            <w:r>
              <w:rPr>
                <w:rFonts w:hint="eastAsia" w:ascii="Times New Roman" w:hAnsi="Times New Roman" w:eastAsia="仿宋_GB2312" w:cs="Times New Roman"/>
                <w:color w:val="000000"/>
                <w:kern w:val="0"/>
                <w:sz w:val="28"/>
                <w:szCs w:val="28"/>
                <w:lang w:val="en-US" w:eastAsia="zh-CN"/>
              </w:rPr>
              <w:t>响应</w:t>
            </w:r>
            <w:r>
              <w:rPr>
                <w:rFonts w:hint="default" w:ascii="Times New Roman" w:hAnsi="Times New Roman" w:eastAsia="仿宋_GB2312" w:cs="Times New Roman"/>
                <w:color w:val="000000"/>
                <w:kern w:val="0"/>
                <w:sz w:val="28"/>
                <w:szCs w:val="28"/>
              </w:rPr>
              <w:t>要求内容。</w:t>
            </w:r>
          </w:p>
        </w:tc>
      </w:tr>
      <w:tr w14:paraId="5A7A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421F98">
            <w:pPr>
              <w:keepNext w:val="0"/>
              <w:keepLines w:val="0"/>
              <w:widowControl/>
              <w:suppressLineNumbers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0EFF78CE">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010653A1">
            <w:pPr>
              <w:keepNext w:val="0"/>
              <w:keepLines w:val="0"/>
              <w:suppressLineNumbers w:val="0"/>
              <w:snapToGrid/>
              <w:spacing w:before="0" w:beforeAutospacing="0" w:after="0" w:afterAutospacing="0" w:line="560" w:lineRule="exact"/>
              <w:ind w:left="0" w:right="0"/>
              <w:rPr>
                <w:rFonts w:hint="eastAsia" w:ascii="仿宋" w:hAnsi="仿宋" w:eastAsia="仿宋" w:cstheme="minorEastAsia"/>
                <w:color w:val="000000" w:themeColor="text1"/>
                <w:sz w:val="28"/>
                <w:szCs w:val="28"/>
                <w14:textFill>
                  <w14:solidFill>
                    <w14:schemeClr w14:val="tx1"/>
                  </w14:solidFill>
                </w14:textFill>
              </w:rPr>
            </w:pPr>
            <w:r>
              <w:rPr>
                <w:rFonts w:hint="default" w:ascii="Times New Roman" w:hAnsi="Times New Roman" w:eastAsia="仿宋_GB2312" w:cs="Times New Roman"/>
                <w:color w:val="000000"/>
                <w:kern w:val="0"/>
                <w:sz w:val="28"/>
                <w:szCs w:val="28"/>
              </w:rPr>
              <w:t>详见</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运维</w:t>
            </w:r>
            <w:r>
              <w:rPr>
                <w:rFonts w:hint="eastAsia" w:ascii="Times New Roman" w:hAnsi="Times New Roman" w:eastAsia="仿宋_GB2312" w:cs="Times New Roman"/>
                <w:color w:val="000000"/>
                <w:kern w:val="0"/>
                <w:sz w:val="28"/>
                <w:szCs w:val="28"/>
                <w:lang w:val="en-US" w:eastAsia="zh-CN"/>
              </w:rPr>
              <w:t>内容和</w:t>
            </w:r>
            <w:r>
              <w:rPr>
                <w:rFonts w:hint="default" w:ascii="Times New Roman" w:hAnsi="Times New Roman" w:eastAsia="仿宋_GB2312" w:cs="Times New Roman"/>
                <w:color w:val="000000"/>
                <w:kern w:val="0"/>
                <w:sz w:val="28"/>
                <w:szCs w:val="28"/>
              </w:rPr>
              <w:t>要求</w:t>
            </w: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中</w:t>
            </w:r>
            <w:r>
              <w:rPr>
                <w:rFonts w:hint="default" w:ascii="Times New Roman" w:hAnsi="Times New Roman" w:eastAsia="仿宋_GB2312" w:cs="Times New Roman"/>
                <w:color w:val="000000"/>
                <w:kern w:val="0"/>
                <w:sz w:val="28"/>
                <w:szCs w:val="28"/>
              </w:rPr>
              <w:t>的</w:t>
            </w:r>
            <w:r>
              <w:rPr>
                <w:rFonts w:hint="default" w:ascii="Times New Roman" w:hAnsi="Times New Roman" w:eastAsia="仿宋_GB2312" w:cs="Times New Roman"/>
                <w:color w:val="000000"/>
                <w:kern w:val="0"/>
                <w:sz w:val="28"/>
                <w:szCs w:val="28"/>
                <w:lang w:val="en-US" w:eastAsia="zh-CN"/>
              </w:rPr>
              <w:t>培训</w:t>
            </w:r>
            <w:r>
              <w:rPr>
                <w:rFonts w:hint="default" w:ascii="Times New Roman" w:hAnsi="Times New Roman" w:eastAsia="仿宋_GB2312" w:cs="Times New Roman"/>
                <w:color w:val="000000"/>
                <w:kern w:val="0"/>
                <w:sz w:val="28"/>
                <w:szCs w:val="28"/>
              </w:rPr>
              <w:t>要求内容。</w:t>
            </w:r>
          </w:p>
        </w:tc>
      </w:tr>
      <w:tr w14:paraId="3BCD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tcBorders>
              <w:top w:val="single" w:color="auto" w:sz="4" w:space="0"/>
              <w:left w:val="single" w:color="auto" w:sz="4" w:space="0"/>
              <w:bottom w:val="single" w:color="auto" w:sz="4" w:space="0"/>
              <w:right w:val="single" w:color="auto" w:sz="4" w:space="0"/>
            </w:tcBorders>
            <w:vAlign w:val="center"/>
          </w:tcPr>
          <w:p w14:paraId="2A9CB740">
            <w:pPr>
              <w:keepNext w:val="0"/>
              <w:keepLines w:val="0"/>
              <w:suppressLineNumbers w:val="0"/>
              <w:snapToGrid w:val="0"/>
              <w:spacing w:before="0" w:beforeAutospacing="0" w:after="0" w:afterAutospacing="0"/>
              <w:ind w:left="0" w:right="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2F0E2CDB">
            <w:pPr>
              <w:keepNext w:val="0"/>
              <w:keepLines w:val="0"/>
              <w:suppressLineNumbers w:val="0"/>
              <w:snapToGrid w:val="0"/>
              <w:spacing w:before="0" w:beforeAutospacing="0" w:after="0" w:afterAutospacing="0"/>
              <w:ind w:left="0" w:leftChars="0" w:right="0" w:rightChars="0"/>
              <w:jc w:val="left"/>
              <w:rPr>
                <w:rFonts w:hint="eastAsia" w:ascii="仿宋" w:hAnsi="仿宋" w:eastAsia="仿宋" w:cstheme="minorEastAsia"/>
                <w:b/>
                <w:color w:val="000000" w:themeColor="text1"/>
                <w:sz w:val="28"/>
                <w:szCs w:val="28"/>
                <w14:textFill>
                  <w14:solidFill>
                    <w14:schemeClr w14:val="tx1"/>
                  </w14:solidFill>
                </w14:textFill>
              </w:rPr>
            </w:pPr>
            <w:r>
              <w:rPr>
                <w:rFonts w:hint="eastAsia" w:ascii="仿宋" w:hAnsi="仿宋" w:eastAsia="仿宋" w:cstheme="minorEastAsia"/>
                <w:b/>
                <w:color w:val="000000" w:themeColor="text1"/>
                <w:sz w:val="28"/>
                <w:szCs w:val="28"/>
                <w14:textFill>
                  <w14:solidFill>
                    <w14:schemeClr w14:val="tx1"/>
                  </w14:solidFill>
                </w14:textFill>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606B4637">
            <w:pPr>
              <w:keepNext w:val="0"/>
              <w:keepLines w:val="0"/>
              <w:suppressLineNumbers w:val="0"/>
              <w:snapToGrid w:val="0"/>
              <w:spacing w:before="0" w:beforeAutospacing="0" w:after="0" w:afterAutospacing="0" w:line="400" w:lineRule="exact"/>
              <w:ind w:left="0" w:leftChars="0" w:right="0" w:rightChars="0"/>
              <w:rPr>
                <w:rFonts w:hint="default" w:ascii="Calibri" w:hAnsi="Calibri" w:eastAsia="仿宋_GB2312" w:cs="Times New Roman"/>
                <w:color w:val="000000"/>
                <w:sz w:val="28"/>
                <w:szCs w:val="28"/>
              </w:rPr>
            </w:pPr>
            <w:r>
              <w:rPr>
                <w:rFonts w:hint="default" w:eastAsia="仿宋_GB2312" w:cs="Times New Roman"/>
                <w:b w:val="0"/>
                <w:color w:val="000000"/>
                <w:sz w:val="28"/>
                <w:szCs w:val="28"/>
                <w:woUserID w:val="1"/>
              </w:rPr>
              <w:t>投标人自</w:t>
            </w:r>
            <w:r>
              <w:rPr>
                <w:rFonts w:hint="default" w:ascii="Calibri" w:hAnsi="Calibri" w:eastAsia="仿宋_GB2312" w:cs="Times New Roman"/>
                <w:b w:val="0"/>
                <w:color w:val="000000"/>
                <w:sz w:val="28"/>
                <w:szCs w:val="28"/>
              </w:rPr>
              <w:t>202</w:t>
            </w:r>
            <w:r>
              <w:rPr>
                <w:rFonts w:hint="default" w:ascii="Calibri" w:hAnsi="Calibri" w:eastAsia="仿宋_GB2312" w:cs="Times New Roman"/>
                <w:b w:val="0"/>
                <w:color w:val="000000"/>
                <w:sz w:val="28"/>
                <w:szCs w:val="28"/>
                <w:lang w:val="en-US"/>
              </w:rPr>
              <w:t>3</w:t>
            </w:r>
            <w:r>
              <w:rPr>
                <w:rFonts w:hint="default" w:ascii="Calibri" w:hAnsi="Calibri" w:eastAsia="仿宋_GB2312" w:cs="Times New Roman"/>
                <w:b w:val="0"/>
                <w:color w:val="000000"/>
                <w:sz w:val="28"/>
                <w:szCs w:val="28"/>
              </w:rPr>
              <w:t>年</w:t>
            </w:r>
            <w:r>
              <w:rPr>
                <w:rFonts w:hint="default" w:eastAsia="仿宋_GB2312" w:cs="Times New Roman"/>
                <w:b w:val="0"/>
                <w:color w:val="000000"/>
                <w:sz w:val="28"/>
                <w:szCs w:val="28"/>
                <w:woUserID w:val="1"/>
              </w:rPr>
              <w:t>1月1日起至投标截止时间止</w:t>
            </w:r>
            <w:r>
              <w:rPr>
                <w:rFonts w:hint="default" w:ascii="Calibri" w:hAnsi="Calibri" w:eastAsia="仿宋_GB2312" w:cs="Times New Roman"/>
                <w:b w:val="0"/>
                <w:color w:val="000000"/>
                <w:sz w:val="28"/>
                <w:szCs w:val="28"/>
              </w:rPr>
              <w:t>（以合同签订时间为准），投标人承担</w:t>
            </w:r>
            <w:r>
              <w:rPr>
                <w:rFonts w:hint="default" w:ascii="Calibri" w:hAnsi="Calibri" w:eastAsia="仿宋_GB2312"/>
                <w:b w:val="0"/>
                <w:color w:val="000000"/>
                <w:sz w:val="28"/>
                <w:szCs w:val="28"/>
                <w:woUserID w:val="0"/>
              </w:rPr>
              <w:t>类似项目案例工作的</w:t>
            </w:r>
            <w:r>
              <w:rPr>
                <w:rFonts w:hint="default" w:ascii="Calibri" w:hAnsi="Calibri" w:eastAsia="仿宋_GB2312" w:cs="Times New Roman"/>
                <w:b w:val="0"/>
                <w:color w:val="000000"/>
                <w:sz w:val="28"/>
                <w:szCs w:val="28"/>
              </w:rPr>
              <w:t>，每个业绩得</w:t>
            </w:r>
            <w:r>
              <w:rPr>
                <w:rFonts w:hint="default" w:ascii="Calibri" w:hAnsi="Calibri" w:eastAsia="仿宋_GB2312" w:cs="Times New Roman"/>
                <w:b w:val="0"/>
                <w:color w:val="000000"/>
                <w:sz w:val="28"/>
                <w:szCs w:val="28"/>
                <w:lang w:val="en-US" w:eastAsia="zh-CN"/>
              </w:rPr>
              <w:t>0.5</w:t>
            </w:r>
            <w:r>
              <w:rPr>
                <w:rFonts w:hint="default" w:ascii="Calibri" w:hAnsi="Calibri" w:eastAsia="仿宋_GB2312" w:cs="Times New Roman"/>
                <w:b w:val="0"/>
                <w:color w:val="000000"/>
                <w:sz w:val="28"/>
                <w:szCs w:val="28"/>
              </w:rPr>
              <w:t>分，最高得</w:t>
            </w:r>
            <w:r>
              <w:rPr>
                <w:rFonts w:hint="default" w:ascii="Calibri" w:hAnsi="Calibri" w:eastAsia="仿宋_GB2312" w:cs="Times New Roman"/>
                <w:b w:val="0"/>
                <w:color w:val="000000"/>
                <w:sz w:val="28"/>
                <w:szCs w:val="28"/>
                <w:lang w:val="en-US"/>
              </w:rPr>
              <w:t>1</w:t>
            </w:r>
            <w:r>
              <w:rPr>
                <w:rFonts w:hint="default" w:ascii="Calibri" w:hAnsi="Calibri" w:eastAsia="仿宋_GB2312" w:cs="Times New Roman"/>
                <w:b w:val="0"/>
                <w:color w:val="000000"/>
                <w:sz w:val="28"/>
                <w:szCs w:val="28"/>
              </w:rPr>
              <w:t>分。</w:t>
            </w:r>
          </w:p>
        </w:tc>
      </w:tr>
      <w:bookmarkEnd w:id="27"/>
      <w:bookmarkEnd w:id="29"/>
    </w:tbl>
    <w:p w14:paraId="4F352B07">
      <w:pPr>
        <w:pStyle w:val="1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第五章浙江省政府采购合同主要条款指引</w:t>
      </w:r>
    </w:p>
    <w:p w14:paraId="54509666">
      <w:pPr>
        <w:rPr>
          <w:color w:val="000000" w:themeColor="text1"/>
          <w14:textFill>
            <w14:solidFill>
              <w14:schemeClr w14:val="tx1"/>
            </w14:solidFill>
          </w14:textFill>
        </w:rPr>
      </w:pPr>
    </w:p>
    <w:p w14:paraId="271FCA16">
      <w:pPr>
        <w:pStyle w:val="13"/>
        <w:snapToGrid w:val="0"/>
        <w:spacing w:before="156" w:after="156" w:line="360" w:lineRule="auto"/>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合同编号：        </w:t>
      </w:r>
    </w:p>
    <w:p w14:paraId="1E3F65DF">
      <w:pPr>
        <w:pStyle w:val="13"/>
        <w:snapToGrid w:val="0"/>
        <w:spacing w:before="156" w:after="156" w:line="360" w:lineRule="auto"/>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确认书号：</w:t>
      </w:r>
    </w:p>
    <w:p w14:paraId="6C9230E6">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甲方</w:t>
      </w:r>
      <w:r>
        <w:rPr>
          <w:rFonts w:hint="eastAsia" w:ascii="仿宋" w:hAnsi="仿宋" w:eastAsia="仿宋"/>
          <w:color w:val="000000" w:themeColor="text1"/>
          <w:sz w:val="30"/>
          <w:szCs w:val="30"/>
          <w14:textFill>
            <w14:solidFill>
              <w14:schemeClr w14:val="tx1"/>
            </w14:solidFill>
          </w14:textFill>
        </w:rPr>
        <w:t xml:space="preserve">（采购人）： </w:t>
      </w:r>
    </w:p>
    <w:p w14:paraId="12EDFA01">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乙方</w:t>
      </w:r>
      <w:r>
        <w:rPr>
          <w:rFonts w:hint="eastAsia" w:ascii="仿宋" w:hAnsi="仿宋" w:eastAsia="仿宋"/>
          <w:color w:val="000000" w:themeColor="text1"/>
          <w:sz w:val="30"/>
          <w:szCs w:val="30"/>
          <w14:textFill>
            <w14:solidFill>
              <w14:schemeClr w14:val="tx1"/>
            </w14:solidFill>
          </w14:textFill>
        </w:rPr>
        <w:t xml:space="preserve">（供应商）： </w:t>
      </w:r>
    </w:p>
    <w:p w14:paraId="57413769">
      <w:pPr>
        <w:pStyle w:val="13"/>
        <w:adjustRightInd w:val="0"/>
        <w:snapToGrid w:val="0"/>
        <w:spacing w:before="156" w:after="156" w:line="460" w:lineRule="exact"/>
        <w:ind w:firstLine="594"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甲、乙双方根据浙江省政府采购中心关于</w:t>
      </w:r>
      <w:r>
        <w:rPr>
          <w:rFonts w:hint="eastAsia" w:ascii="仿宋" w:hAnsi="仿宋" w:eastAsia="仿宋"/>
          <w:color w:val="000000" w:themeColor="text1"/>
          <w:sz w:val="30"/>
          <w:szCs w:val="30"/>
          <w14:textFill>
            <w14:solidFill>
              <w14:schemeClr w14:val="tx1"/>
            </w14:solidFill>
          </w14:textFill>
        </w:rPr>
        <w:t>项目编号为      的</w:t>
      </w:r>
      <w:r>
        <w:rPr>
          <w:rFonts w:hint="eastAsia" w:ascii="仿宋" w:hAnsi="仿宋" w:eastAsia="仿宋"/>
          <w:snapToGrid w:val="0"/>
          <w:color w:val="000000" w:themeColor="text1"/>
          <w:sz w:val="30"/>
          <w:szCs w:val="30"/>
          <w14:textFill>
            <w14:solidFill>
              <w14:schemeClr w14:val="tx1"/>
            </w14:solidFill>
          </w14:textFill>
        </w:rPr>
        <w:t>（标项及名称）项目公开招标的结果，签署本合同。</w:t>
      </w:r>
    </w:p>
    <w:p w14:paraId="3BC73141">
      <w:pPr>
        <w:pStyle w:val="13"/>
        <w:adjustRightInd w:val="0"/>
        <w:snapToGrid w:val="0"/>
        <w:spacing w:before="156" w:after="156" w:line="460" w:lineRule="exact"/>
        <w:ind w:firstLine="641" w:firstLineChars="213"/>
        <w:rPr>
          <w:rFonts w:ascii="仿宋" w:hAnsi="仿宋" w:eastAsia="仿宋"/>
          <w:b/>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一、项目内容</w:t>
      </w:r>
      <w:r>
        <w:rPr>
          <w:rFonts w:hint="eastAsia" w:ascii="仿宋" w:hAnsi="仿宋" w:eastAsia="仿宋"/>
          <w:b/>
          <w:color w:val="000000" w:themeColor="text1"/>
          <w:sz w:val="30"/>
          <w:szCs w:val="30"/>
          <w14:textFill>
            <w14:solidFill>
              <w14:schemeClr w14:val="tx1"/>
            </w14:solidFill>
          </w14:textFill>
        </w:rPr>
        <w:t>及合同价格</w:t>
      </w:r>
    </w:p>
    <w:p w14:paraId="64BB98CF">
      <w:pPr>
        <w:pStyle w:val="13"/>
        <w:adjustRightInd w:val="0"/>
        <w:snapToGrid w:val="0"/>
        <w:spacing w:before="156" w:after="156" w:line="460" w:lineRule="exact"/>
        <w:ind w:firstLine="639" w:firstLineChars="213"/>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金额单位：元 </w:t>
      </w:r>
    </w:p>
    <w:tbl>
      <w:tblPr>
        <w:tblStyle w:val="19"/>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41C3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vAlign w:val="center"/>
          </w:tcPr>
          <w:p w14:paraId="7B825F83">
            <w:pPr>
              <w:pStyle w:val="13"/>
              <w:keepNext w:val="0"/>
              <w:keepLines w:val="0"/>
              <w:suppressLineNumbers w:val="0"/>
              <w:snapToGrid w:val="0"/>
              <w:spacing w:before="156" w:beforeAutospacing="0" w:after="156"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w:t>
            </w:r>
          </w:p>
        </w:tc>
        <w:tc>
          <w:tcPr>
            <w:tcW w:w="3239" w:type="dxa"/>
            <w:tcBorders>
              <w:top w:val="single" w:color="auto" w:sz="4" w:space="0"/>
              <w:left w:val="single" w:color="auto" w:sz="4" w:space="0"/>
              <w:bottom w:val="single" w:color="auto" w:sz="4" w:space="0"/>
              <w:right w:val="single" w:color="auto" w:sz="4" w:space="0"/>
            </w:tcBorders>
            <w:vAlign w:val="center"/>
          </w:tcPr>
          <w:p w14:paraId="4643AA2C">
            <w:pPr>
              <w:pStyle w:val="13"/>
              <w:keepNext w:val="0"/>
              <w:keepLines w:val="0"/>
              <w:suppressLineNumbers w:val="0"/>
              <w:snapToGrid w:val="0"/>
              <w:spacing w:before="156" w:beforeAutospacing="0" w:after="156"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1E93EED6">
            <w:pPr>
              <w:pStyle w:val="13"/>
              <w:keepNext w:val="0"/>
              <w:keepLines w:val="0"/>
              <w:suppressLineNumbers w:val="0"/>
              <w:snapToGrid w:val="0"/>
              <w:spacing w:before="156" w:beforeAutospacing="0" w:after="156" w:afterAutospacing="0" w:line="460" w:lineRule="exact"/>
              <w:ind w:left="-108"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086FDE3C">
            <w:pPr>
              <w:pStyle w:val="13"/>
              <w:keepNext w:val="0"/>
              <w:keepLines w:val="0"/>
              <w:suppressLineNumbers w:val="0"/>
              <w:snapToGrid w:val="0"/>
              <w:spacing w:before="156" w:beforeAutospacing="0" w:after="156" w:afterAutospacing="0" w:line="460" w:lineRule="exact"/>
              <w:ind w:left="-108"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1FDDFB4F">
            <w:pPr>
              <w:pStyle w:val="13"/>
              <w:keepNext w:val="0"/>
              <w:keepLines w:val="0"/>
              <w:suppressLineNumbers w:val="0"/>
              <w:snapToGrid w:val="0"/>
              <w:spacing w:before="156" w:beforeAutospacing="0" w:after="156"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总价</w:t>
            </w:r>
          </w:p>
        </w:tc>
      </w:tr>
      <w:tr w14:paraId="68D7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tcPr>
          <w:p w14:paraId="3E5A6719">
            <w:pPr>
              <w:keepNext w:val="0"/>
              <w:keepLines w:val="0"/>
              <w:suppressLineNumbers w:val="0"/>
              <w:spacing w:before="0" w:beforeAutospacing="0" w:after="0" w:afterAutospacing="0" w:line="460" w:lineRule="exact"/>
              <w:ind w:left="0" w:right="0" w:firstLine="639" w:firstLineChars="213"/>
              <w:rPr>
                <w:rFonts w:hint="default" w:ascii="仿宋" w:hAnsi="仿宋" w:eastAsia="仿宋"/>
                <w:color w:val="000000" w:themeColor="text1"/>
                <w:sz w:val="30"/>
                <w:szCs w:val="30"/>
                <w14:textFill>
                  <w14:solidFill>
                    <w14:schemeClr w14:val="tx1"/>
                  </w14:solidFill>
                </w14:textFill>
              </w:rPr>
            </w:pPr>
          </w:p>
        </w:tc>
        <w:tc>
          <w:tcPr>
            <w:tcW w:w="3239" w:type="dxa"/>
            <w:tcBorders>
              <w:top w:val="single" w:color="auto" w:sz="4" w:space="0"/>
              <w:left w:val="single" w:color="auto" w:sz="4" w:space="0"/>
              <w:bottom w:val="single" w:color="auto" w:sz="4" w:space="0"/>
              <w:right w:val="single" w:color="auto" w:sz="4" w:space="0"/>
            </w:tcBorders>
          </w:tcPr>
          <w:p w14:paraId="5F79094B">
            <w:pPr>
              <w:keepNext w:val="0"/>
              <w:keepLines w:val="0"/>
              <w:suppressLineNumbers w:val="0"/>
              <w:spacing w:before="0" w:beforeAutospacing="0" w:after="0" w:afterAutospacing="0" w:line="460" w:lineRule="exact"/>
              <w:ind w:left="0" w:right="0"/>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36E42BF4">
            <w:pPr>
              <w:keepNext w:val="0"/>
              <w:keepLines w:val="0"/>
              <w:suppressLineNumbers w:val="0"/>
              <w:spacing w:before="0" w:beforeAutospacing="0" w:after="0" w:afterAutospacing="0" w:line="460" w:lineRule="exact"/>
              <w:ind w:left="0" w:right="0" w:firstLine="639" w:firstLineChars="213"/>
              <w:rPr>
                <w:rFonts w:hint="default" w:ascii="仿宋" w:hAnsi="仿宋" w:eastAsia="仿宋"/>
                <w:color w:val="000000" w:themeColor="text1"/>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182FD3B">
            <w:pPr>
              <w:pStyle w:val="30"/>
              <w:keepNext w:val="0"/>
              <w:keepLines w:val="0"/>
              <w:suppressLineNumbers w:val="0"/>
              <w:spacing w:before="0" w:beforeAutospacing="0" w:after="120" w:afterAutospacing="0" w:line="460" w:lineRule="exact"/>
              <w:ind w:left="0" w:right="0" w:firstLine="639" w:firstLineChars="213"/>
              <w:rPr>
                <w:rFonts w:hint="default" w:ascii="仿宋" w:hAnsi="仿宋" w:eastAsia="仿宋"/>
                <w:color w:val="000000" w:themeColor="text1"/>
                <w:kern w:val="2"/>
                <w:sz w:val="30"/>
                <w:szCs w:val="30"/>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14:paraId="0F8197A1">
            <w:pPr>
              <w:pStyle w:val="30"/>
              <w:keepNext w:val="0"/>
              <w:keepLines w:val="0"/>
              <w:suppressLineNumbers w:val="0"/>
              <w:spacing w:before="0" w:beforeAutospacing="0" w:after="120" w:afterAutospacing="0" w:line="460" w:lineRule="exact"/>
              <w:ind w:left="1890" w:right="0"/>
              <w:rPr>
                <w:rFonts w:hint="default" w:ascii="仿宋" w:hAnsi="仿宋" w:eastAsia="仿宋"/>
                <w:color w:val="000000" w:themeColor="text1"/>
                <w:kern w:val="2"/>
                <w:sz w:val="30"/>
                <w:szCs w:val="30"/>
                <w14:textFill>
                  <w14:solidFill>
                    <w14:schemeClr w14:val="tx1"/>
                  </w14:solidFill>
                </w14:textFill>
              </w:rPr>
            </w:pPr>
          </w:p>
        </w:tc>
      </w:tr>
      <w:tr w14:paraId="5E63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tcPr>
          <w:p w14:paraId="068E1617">
            <w:pPr>
              <w:pStyle w:val="13"/>
              <w:keepNext w:val="0"/>
              <w:keepLines w:val="0"/>
              <w:suppressLineNumbers w:val="0"/>
              <w:snapToGrid w:val="0"/>
              <w:spacing w:before="156" w:beforeAutospacing="0" w:after="156" w:afterAutospacing="0" w:line="460" w:lineRule="exact"/>
              <w:ind w:left="0" w:right="0" w:firstLine="639" w:firstLineChars="213"/>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14:paraId="2B2E6AE3">
            <w:pPr>
              <w:pStyle w:val="13"/>
              <w:keepNext w:val="0"/>
              <w:keepLines w:val="0"/>
              <w:suppressLineNumbers w:val="0"/>
              <w:snapToGrid w:val="0"/>
              <w:spacing w:before="156" w:beforeAutospacing="0" w:after="156" w:afterAutospacing="0" w:line="460" w:lineRule="exact"/>
              <w:ind w:left="0" w:right="0" w:firstLine="639" w:firstLineChars="213"/>
              <w:jc w:val="center"/>
              <w:rPr>
                <w:rFonts w:hint="default" w:ascii="仿宋" w:hAnsi="仿宋" w:eastAsia="仿宋"/>
                <w:color w:val="000000" w:themeColor="text1"/>
                <w:sz w:val="30"/>
                <w:szCs w:val="30"/>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14:paraId="0E28C780">
            <w:pPr>
              <w:pStyle w:val="30"/>
              <w:keepNext w:val="0"/>
              <w:keepLines w:val="0"/>
              <w:suppressLineNumbers w:val="0"/>
              <w:spacing w:before="0" w:beforeAutospacing="0" w:after="120" w:afterAutospacing="0" w:line="460" w:lineRule="exact"/>
              <w:ind w:left="0" w:right="0" w:firstLine="639" w:firstLineChars="213"/>
              <w:rPr>
                <w:rFonts w:hint="default" w:ascii="仿宋" w:hAnsi="仿宋" w:eastAsia="仿宋"/>
                <w:color w:val="000000" w:themeColor="text1"/>
                <w:kern w:val="2"/>
                <w:sz w:val="30"/>
                <w:szCs w:val="30"/>
                <w14:textFill>
                  <w14:solidFill>
                    <w14:schemeClr w14:val="tx1"/>
                  </w14:solidFill>
                </w14:textFill>
              </w:rPr>
            </w:pPr>
          </w:p>
        </w:tc>
      </w:tr>
      <w:tr w14:paraId="56F0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tcPr>
          <w:p w14:paraId="01FA4808">
            <w:pPr>
              <w:pStyle w:val="13"/>
              <w:keepNext w:val="0"/>
              <w:keepLines w:val="0"/>
              <w:suppressLineNumbers w:val="0"/>
              <w:snapToGrid w:val="0"/>
              <w:spacing w:before="156" w:beforeAutospacing="0" w:after="156" w:afterAutospacing="0" w:line="460" w:lineRule="exact"/>
              <w:ind w:left="0" w:right="0"/>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合同总价大写：                              小写：￥</w:t>
            </w:r>
          </w:p>
        </w:tc>
      </w:tr>
    </w:tbl>
    <w:p w14:paraId="31026251">
      <w:pPr>
        <w:pStyle w:val="13"/>
        <w:snapToGrid w:val="0"/>
        <w:spacing w:before="120" w:beforeLines="0" w:after="156" w:line="460" w:lineRule="exact"/>
        <w:ind w:left="-178" w:leftChars="-85" w:firstLine="639" w:firstLineChars="213"/>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注：1.项目具体技术需求及采购人地址等详见招标文件、投标文件以及询标记录。</w:t>
      </w:r>
    </w:p>
    <w:p w14:paraId="39C2AF14">
      <w:pPr>
        <w:spacing w:line="460" w:lineRule="exact"/>
        <w:ind w:firstLine="639" w:firstLineChars="213"/>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2.以上合同总价包含项目达到预期使用效果所需的一切费用。</w:t>
      </w:r>
    </w:p>
    <w:p w14:paraId="251CE5B4">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二、技术资料</w:t>
      </w:r>
    </w:p>
    <w:p w14:paraId="359CCA14">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1.乙方应按招标文件规定的时间向甲方提供使用项目的有关技术资料。</w:t>
      </w:r>
    </w:p>
    <w:p w14:paraId="682DA56B">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FF79C74">
      <w:pPr>
        <w:pStyle w:val="13"/>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三、知识产权</w:t>
      </w:r>
    </w:p>
    <w:p w14:paraId="49738E00">
      <w:pPr>
        <w:pStyle w:val="13"/>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乙方应保证所提供的货物或其任何一部分均不会侵犯任何第三方的知识产权</w:t>
      </w:r>
      <w:r>
        <w:rPr>
          <w:rFonts w:hint="eastAsia" w:ascii="仿宋" w:hAnsi="仿宋" w:eastAsia="仿宋"/>
          <w:bCs/>
          <w:snapToGrid w:val="0"/>
          <w:color w:val="000000" w:themeColor="text1"/>
          <w:sz w:val="30"/>
          <w:szCs w:val="30"/>
          <w14:textFill>
            <w14:solidFill>
              <w14:schemeClr w14:val="tx1"/>
            </w14:solidFill>
          </w14:textFill>
        </w:rPr>
        <w:t>。</w:t>
      </w:r>
    </w:p>
    <w:p w14:paraId="415B146E">
      <w:pPr>
        <w:pStyle w:val="13"/>
        <w:adjustRightInd w:val="0"/>
        <w:snapToGrid w:val="0"/>
        <w:spacing w:before="156" w:after="156" w:line="460" w:lineRule="exact"/>
        <w:ind w:firstLine="596" w:firstLineChars="198"/>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四、产权担保</w:t>
      </w:r>
    </w:p>
    <w:p w14:paraId="6858C7D4">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乙方保证所交付的货物的所有权完全属于乙方且无任何抵押、查封等产权瑕疵。</w:t>
      </w:r>
    </w:p>
    <w:p w14:paraId="65E53955">
      <w:pPr>
        <w:pStyle w:val="13"/>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五、转包或分包</w:t>
      </w:r>
    </w:p>
    <w:p w14:paraId="0198D958">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不允许转包。</w:t>
      </w:r>
    </w:p>
    <w:p w14:paraId="4EB32F48">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u w:val="single"/>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允许分包部分</w:t>
      </w:r>
      <w:r>
        <w:rPr>
          <w:rFonts w:hint="eastAsia" w:ascii="仿宋" w:hAnsi="仿宋" w:eastAsia="仿宋"/>
          <w:snapToGrid w:val="0"/>
          <w:color w:val="000000" w:themeColor="text1"/>
          <w:kern w:val="0"/>
          <w:sz w:val="30"/>
          <w:szCs w:val="30"/>
          <w:u w:val="single"/>
          <w14:textFill>
            <w14:solidFill>
              <w14:schemeClr w14:val="tx1"/>
            </w14:solidFill>
          </w14:textFill>
        </w:rPr>
        <w:t xml:space="preserve">               。</w:t>
      </w:r>
    </w:p>
    <w:p w14:paraId="58A5EDB8">
      <w:pPr>
        <w:adjustRightInd w:val="0"/>
        <w:snapToGrid w:val="0"/>
        <w:spacing w:before="156" w:beforeLines="50" w:after="156" w:afterLines="50" w:line="460" w:lineRule="exact"/>
        <w:ind w:firstLine="600" w:firstLineChars="200"/>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如乙方将项目转包或将不允许分包部分就行了分包，甲方有权解除合同，没收履约保证金并追究乙方的违约责任。</w:t>
      </w:r>
    </w:p>
    <w:p w14:paraId="17F2C573">
      <w:pPr>
        <w:pStyle w:val="13"/>
        <w:adjustRightInd w:val="0"/>
        <w:snapToGrid w:val="0"/>
        <w:spacing w:before="156" w:after="156" w:line="460" w:lineRule="exact"/>
        <w:ind w:firstLine="641"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六、质保期和履约保证金</w:t>
      </w:r>
    </w:p>
    <w:p w14:paraId="5A5B9DD2">
      <w:pPr>
        <w:pStyle w:val="13"/>
        <w:adjustRightInd w:val="0"/>
        <w:snapToGrid w:val="0"/>
        <w:spacing w:before="156" w:after="156" w:line="460" w:lineRule="exact"/>
        <w:ind w:firstLine="600" w:firstLineChars="200"/>
        <w:jc w:val="left"/>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1.质保期年。（自项目验收合格交付使用之日起计）</w:t>
      </w:r>
    </w:p>
    <w:p w14:paraId="7D806786">
      <w:pPr>
        <w:pStyle w:val="13"/>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2.履约保证金元。[履约保证金交至采购人处，在合同约定交货验收合格满（   ）个月之日起5个工作日内无息退还]</w:t>
      </w:r>
    </w:p>
    <w:p w14:paraId="09E98465">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七、项目工期及实施地点</w:t>
      </w:r>
    </w:p>
    <w:p w14:paraId="7F54AB1C">
      <w:pPr>
        <w:pStyle w:val="13"/>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1.交货期：</w:t>
      </w:r>
    </w:p>
    <w:p w14:paraId="4B6A83E9">
      <w:pPr>
        <w:pStyle w:val="13"/>
        <w:adjustRightInd w:val="0"/>
        <w:snapToGrid w:val="0"/>
        <w:spacing w:before="156" w:after="156" w:line="460" w:lineRule="exact"/>
        <w:ind w:firstLine="639"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2.实施地点：</w:t>
      </w:r>
    </w:p>
    <w:p w14:paraId="74844FC3">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八、货款支付</w:t>
      </w:r>
    </w:p>
    <w:p w14:paraId="442FAF36">
      <w:pPr>
        <w:spacing w:line="360" w:lineRule="auto"/>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 xml:space="preserve"> 付款方式：（根据</w:t>
      </w:r>
      <w:r>
        <w:rPr>
          <w:rFonts w:hint="eastAsia" w:ascii="仿宋" w:hAnsi="仿宋" w:eastAsia="仿宋"/>
          <w:bCs/>
          <w:snapToGrid w:val="0"/>
          <w:color w:val="000000" w:themeColor="text1"/>
          <w:sz w:val="30"/>
          <w:szCs w:val="30"/>
          <w:lang w:eastAsia="zh-CN"/>
          <w14:textFill>
            <w14:solidFill>
              <w14:schemeClr w14:val="tx1"/>
            </w14:solidFill>
          </w14:textFill>
        </w:rPr>
        <w:t>招标</w:t>
      </w:r>
      <w:r>
        <w:rPr>
          <w:rFonts w:hint="eastAsia" w:ascii="仿宋" w:hAnsi="仿宋" w:eastAsia="仿宋"/>
          <w:bCs/>
          <w:snapToGrid w:val="0"/>
          <w:color w:val="000000" w:themeColor="text1"/>
          <w:sz w:val="30"/>
          <w:szCs w:val="30"/>
          <w14:textFill>
            <w14:solidFill>
              <w14:schemeClr w14:val="tx1"/>
            </w14:solidFill>
          </w14:textFill>
        </w:rPr>
        <w:t>文件“第四部分商务要求表付款条件”内容填写）</w:t>
      </w:r>
    </w:p>
    <w:p w14:paraId="685713DC">
      <w:pPr>
        <w:adjustRightInd w:val="0"/>
        <w:snapToGrid w:val="0"/>
        <w:spacing w:before="156" w:beforeLines="50" w:after="156" w:afterLines="50" w:line="460" w:lineRule="exact"/>
        <w:ind w:firstLine="641" w:firstLineChars="213"/>
        <w:rPr>
          <w:rFonts w:ascii="仿宋" w:hAnsi="仿宋" w:eastAsia="仿宋"/>
          <w:b/>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kern w:val="0"/>
          <w:sz w:val="30"/>
          <w:szCs w:val="30"/>
          <w14:textFill>
            <w14:solidFill>
              <w14:schemeClr w14:val="tx1"/>
            </w14:solidFill>
          </w14:textFill>
        </w:rPr>
        <w:t>九、税费</w:t>
      </w:r>
    </w:p>
    <w:p w14:paraId="3D51E905">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本合同执行中相关的一切税费均由乙方负担。</w:t>
      </w:r>
    </w:p>
    <w:p w14:paraId="428D42F6">
      <w:pPr>
        <w:pStyle w:val="13"/>
        <w:adjustRightInd w:val="0"/>
        <w:snapToGrid w:val="0"/>
        <w:spacing w:before="156" w:after="156" w:line="460" w:lineRule="exact"/>
        <w:ind w:firstLine="596" w:firstLineChars="198"/>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十、质量保证及售后服务</w:t>
      </w:r>
    </w:p>
    <w:p w14:paraId="4017137C">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w:t>
      </w:r>
    </w:p>
    <w:p w14:paraId="77B7B9D1">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十一、调试和验收</w:t>
      </w:r>
    </w:p>
    <w:p w14:paraId="47558D7F">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5BA5595D">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十二、货物包装</w:t>
      </w:r>
    </w:p>
    <w:p w14:paraId="35D3F37D">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566EB998">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十三、违约责任</w:t>
      </w:r>
    </w:p>
    <w:p w14:paraId="30308CB6">
      <w:pPr>
        <w:pStyle w:val="1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1.甲方无正当理由拒收验收项目的，甲方向乙方偿付拒收合同总价的百分之五违约金。</w:t>
      </w:r>
    </w:p>
    <w:p w14:paraId="30DB0D9F">
      <w:pPr>
        <w:pStyle w:val="13"/>
        <w:adjustRightInd w:val="0"/>
        <w:snapToGrid w:val="0"/>
        <w:spacing w:before="156" w:after="156" w:line="460" w:lineRule="exact"/>
        <w:ind w:left="1" w:firstLine="641"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 xml:space="preserve">2. </w:t>
      </w:r>
      <w:r>
        <w:rPr>
          <w:rFonts w:hint="eastAsia" w:ascii="仿宋" w:hAnsi="仿宋" w:eastAsia="仿宋"/>
          <w:snapToGrid w:val="0"/>
          <w:color w:val="000000" w:themeColor="text1"/>
          <w:sz w:val="30"/>
          <w:szCs w:val="30"/>
          <w14:textFill>
            <w14:solidFill>
              <w14:schemeClr w14:val="tx1"/>
            </w14:solidFill>
          </w14:textFill>
        </w:rPr>
        <w:t>甲方无故逾期验收和办理合同款项支付手续的,甲方应按逾期付款总额每日万分之五向乙方支付违约金。</w:t>
      </w:r>
    </w:p>
    <w:p w14:paraId="5C25A68E">
      <w:pPr>
        <w:pStyle w:val="1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2C16E44">
      <w:pPr>
        <w:pStyle w:val="1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1AD664A">
      <w:pPr>
        <w:pStyle w:val="1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5.解除合同应按《浙江省政府采购合同暂行办法》向财政备案。</w:t>
      </w:r>
    </w:p>
    <w:p w14:paraId="6502DFC5">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十四、不可抗力事件处理</w:t>
      </w:r>
    </w:p>
    <w:p w14:paraId="4E069F75">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14:paraId="06F20581">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2.不可抗力事件发生后，应立即通知对方，并寄送有关权威机构出具的证明。</w:t>
      </w:r>
    </w:p>
    <w:p w14:paraId="2E1B7D53">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3.不可抗力事件延续120天以上，双方应通过友好协商，确定是否继续履行合同。</w:t>
      </w:r>
    </w:p>
    <w:p w14:paraId="50894525">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十五、诉讼</w:t>
      </w:r>
    </w:p>
    <w:p w14:paraId="7D508E05">
      <w:pPr>
        <w:pStyle w:val="13"/>
        <w:adjustRightInd w:val="0"/>
        <w:snapToGrid w:val="0"/>
        <w:spacing w:before="156" w:after="156" w:line="460" w:lineRule="exact"/>
        <w:ind w:left="2"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双方在执行合同中所发生的一切争议，应通过协商解决。如协商不成，可向甲方所在地法院起诉。</w:t>
      </w:r>
    </w:p>
    <w:p w14:paraId="22D1EA38">
      <w:pPr>
        <w:pStyle w:val="13"/>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十六、合同生效及其它</w:t>
      </w:r>
    </w:p>
    <w:p w14:paraId="746A0C1D">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1.合同经甲、乙两方签名并加盖单位公章后生效。</w:t>
      </w:r>
    </w:p>
    <w:p w14:paraId="0B3E929B">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14:paraId="6A242A14">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3.招标文件、投标文件与本合同具有同等法律效力。</w:t>
      </w:r>
    </w:p>
    <w:p w14:paraId="3BFF7D26">
      <w:pPr>
        <w:pStyle w:val="13"/>
        <w:adjustRightInd w:val="0"/>
        <w:snapToGrid w:val="0"/>
        <w:spacing w:before="156" w:after="156" w:line="460" w:lineRule="exact"/>
        <w:ind w:firstLine="59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D121303">
      <w:pPr>
        <w:pStyle w:val="13"/>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5.本合同未尽事宜，遵照《中华人民共和国民法典》有关条文执行。</w:t>
      </w:r>
    </w:p>
    <w:p w14:paraId="71DF50AF">
      <w:pPr>
        <w:pStyle w:val="13"/>
        <w:adjustRightInd w:val="0"/>
        <w:snapToGrid w:val="0"/>
        <w:spacing w:before="120" w:beforeLines="0" w:after="156" w:line="460" w:lineRule="exact"/>
        <w:ind w:left="2" w:leftChars="1"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6.本合同一式四份，具有同等法律效力，甲、乙两方各执二份。</w:t>
      </w:r>
    </w:p>
    <w:p w14:paraId="2A28BFA4">
      <w:pPr>
        <w:pStyle w:val="1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p>
    <w:p w14:paraId="0C863071">
      <w:pPr>
        <w:pStyle w:val="13"/>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甲方（盖章）：                                   </w:t>
      </w:r>
    </w:p>
    <w:p w14:paraId="5832F1FC">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45DF636A">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法定（授权）代表人：                   </w:t>
      </w:r>
    </w:p>
    <w:p w14:paraId="0D8809C3">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签名日期：     年   月   日           </w:t>
      </w:r>
    </w:p>
    <w:p w14:paraId="2ADE6768">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623B5ACA">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乙方（盖章）：</w:t>
      </w:r>
    </w:p>
    <w:p w14:paraId="0589D3BA">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3BD25DCD">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开户行：</w:t>
      </w:r>
    </w:p>
    <w:p w14:paraId="22B910B8">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开户帐号：</w:t>
      </w:r>
    </w:p>
    <w:p w14:paraId="44C5A193">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法定（授权）代表人：</w:t>
      </w:r>
    </w:p>
    <w:p w14:paraId="104F432B">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签名日期：      年   月   日</w:t>
      </w:r>
    </w:p>
    <w:p w14:paraId="5035C5E5">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206012AF">
      <w:pPr>
        <w:pStyle w:val="13"/>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64B19965">
      <w:pPr>
        <w:rPr>
          <w:color w:val="000000" w:themeColor="text1"/>
          <w:szCs w:val="30"/>
          <w14:textFill>
            <w14:solidFill>
              <w14:schemeClr w14:val="tx1"/>
            </w14:solidFill>
          </w14:textFill>
        </w:rPr>
      </w:pPr>
    </w:p>
    <w:p w14:paraId="27ACA703">
      <w:pPr>
        <w:pStyle w:val="13"/>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ascii="仿宋_GB2312" w:eastAsia="仿宋_GB2312"/>
          <w:snapToGrid w:val="0"/>
          <w:color w:val="000000" w:themeColor="text1"/>
          <w:kern w:val="0"/>
          <w:sz w:val="30"/>
          <w:szCs w:val="30"/>
          <w14:textFill>
            <w14:solidFill>
              <w14:schemeClr w14:val="tx1"/>
            </w14:solidFill>
          </w14:textFill>
        </w:rPr>
        <w:br w:type="page"/>
      </w:r>
      <w:bookmarkStart w:id="34" w:name="_Toc22013"/>
      <w:r>
        <w:rPr>
          <w:rFonts w:hint="eastAsia" w:hAnsi="宋体"/>
          <w:b/>
          <w:color w:val="000000" w:themeColor="text1"/>
          <w:sz w:val="36"/>
          <w:szCs w:val="36"/>
          <w14:textFill>
            <w14:solidFill>
              <w14:schemeClr w14:val="tx1"/>
            </w14:solidFill>
          </w14:textFill>
        </w:rPr>
        <w:t>第六章投标文件格式附件</w:t>
      </w:r>
      <w:bookmarkEnd w:id="34"/>
    </w:p>
    <w:p w14:paraId="07364EDB">
      <w:pPr>
        <w:pStyle w:val="13"/>
        <w:spacing w:before="156" w:after="156" w:line="360" w:lineRule="auto"/>
        <w:jc w:val="center"/>
        <w:rPr>
          <w:rFonts w:hAnsi="宋体" w:eastAsia="仿宋_GB2312"/>
          <w:b/>
          <w:color w:val="000000" w:themeColor="text1"/>
          <w:sz w:val="36"/>
          <w:szCs w:val="36"/>
          <w14:textFill>
            <w14:solidFill>
              <w14:schemeClr w14:val="tx1"/>
            </w14:solidFill>
          </w14:textFill>
        </w:rPr>
      </w:pPr>
    </w:p>
    <w:p w14:paraId="6E7424CD">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BE0072D">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195D902">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A32E06E">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F48159A">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7CB3B17">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3EA9E48">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9DD7C99">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C857106">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DF65BE3">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83201BD">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809FA40">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1EE2381">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B420672">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9CC2F9B">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3F60191">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811DCC7">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22DCAC6">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173BB3C">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9E56B5D">
      <w:pPr>
        <w:pStyle w:val="13"/>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48C3584">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6B5A556F">
      <w:pPr>
        <w:spacing w:before="312" w:beforeLines="100" w:line="240" w:lineRule="atLeast"/>
        <w:jc w:val="center"/>
        <w:rPr>
          <w:rFonts w:hint="eastAsia" w:ascii="仿宋" w:hAnsi="仿宋" w:eastAsia="仿宋"/>
          <w:color w:val="000000" w:themeColor="text1"/>
          <w:sz w:val="36"/>
          <w:szCs w:val="36"/>
          <w:lang w:eastAsia="zh-CN"/>
          <w14:textFill>
            <w14:solidFill>
              <w14:schemeClr w14:val="tx1"/>
            </w14:solidFill>
          </w14:textFill>
        </w:rPr>
      </w:pPr>
      <w:r>
        <w:rPr>
          <w:rFonts w:hint="eastAsia" w:ascii="仿宋" w:hAnsi="仿宋" w:eastAsia="仿宋"/>
          <w:b/>
          <w:color w:val="000000" w:themeColor="text1"/>
          <w:spacing w:val="40"/>
          <w:sz w:val="52"/>
          <w:szCs w:val="52"/>
          <w:lang w:eastAsia="zh-CN"/>
          <w14:textFill>
            <w14:solidFill>
              <w14:schemeClr w14:val="tx1"/>
            </w14:solidFill>
          </w14:textFill>
        </w:rPr>
        <w:t>省农业农村厅乡村大脑等11个应用运维</w:t>
      </w:r>
    </w:p>
    <w:p w14:paraId="108AEAFC">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r>
        <w:rPr>
          <w:rFonts w:hint="eastAsia" w:ascii="仿宋" w:hAnsi="仿宋" w:eastAsia="仿宋"/>
          <w:color w:val="000000" w:themeColor="text1"/>
          <w:sz w:val="36"/>
          <w:szCs w:val="36"/>
          <w:lang w:eastAsia="zh-CN"/>
          <w14:textFill>
            <w14:solidFill>
              <w14:schemeClr w14:val="tx1"/>
            </w14:solidFill>
          </w14:textFill>
        </w:rPr>
        <w:t>330000263830010000012-ZZCG2026D-GK-108</w:t>
      </w:r>
      <w:r>
        <w:rPr>
          <w:rFonts w:hint="eastAsia" w:ascii="仿宋" w:hAnsi="仿宋" w:eastAsia="仿宋"/>
          <w:color w:val="000000" w:themeColor="text1"/>
          <w:sz w:val="36"/>
          <w:szCs w:val="36"/>
          <w14:textFill>
            <w14:solidFill>
              <w14:schemeClr w14:val="tx1"/>
            </w14:solidFill>
          </w14:textFill>
        </w:rPr>
        <w:t>（标项  ）</w:t>
      </w:r>
    </w:p>
    <w:p w14:paraId="34E5AD64">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5D8D98C">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0D626930">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62655ED9">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53ECE3C3">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FADFBB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4FEE270E">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70A68AC">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336C1CF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7759A1B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7BB0FCEE">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00B8366B">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sz w:val="36"/>
          <w:szCs w:val="36"/>
          <w:lang w:val="en-US" w:eastAsia="zh-CN"/>
        </w:rPr>
        <w:t>.</w:t>
      </w:r>
      <w:r>
        <w:rPr>
          <w:rFonts w:hint="eastAsia" w:ascii="仿宋" w:hAnsi="仿宋" w:eastAsia="仿宋"/>
          <w:b/>
          <w:bCs/>
          <w:sz w:val="36"/>
          <w:szCs w:val="36"/>
        </w:rPr>
        <w:t>资格文件目录</w:t>
      </w:r>
    </w:p>
    <w:p w14:paraId="01BE4BF7">
      <w:pPr>
        <w:snapToGrid w:val="0"/>
        <w:spacing w:before="50" w:after="50"/>
        <w:rPr>
          <w:rFonts w:ascii="仿宋" w:hAnsi="仿宋" w:eastAsia="仿宋"/>
          <w:sz w:val="30"/>
          <w:szCs w:val="30"/>
        </w:rPr>
      </w:pPr>
    </w:p>
    <w:p w14:paraId="762899D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6FDF963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310FA32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3394103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15AA181B">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0E8BAEDD">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5D64191A">
      <w:pPr>
        <w:pStyle w:val="14"/>
        <w:snapToGrid w:val="0"/>
        <w:spacing w:after="120" w:line="460" w:lineRule="exact"/>
        <w:ind w:left="5250" w:firstLine="600" w:firstLineChars="200"/>
        <w:rPr>
          <w:rFonts w:ascii="仿宋" w:hAnsi="仿宋" w:eastAsia="仿宋"/>
          <w:sz w:val="30"/>
          <w:szCs w:val="30"/>
        </w:rPr>
      </w:pPr>
    </w:p>
    <w:p w14:paraId="1D8FD126">
      <w:pPr>
        <w:snapToGrid w:val="0"/>
        <w:spacing w:line="460" w:lineRule="exact"/>
        <w:ind w:firstLine="588" w:firstLineChars="196"/>
        <w:jc w:val="left"/>
        <w:rPr>
          <w:rFonts w:ascii="仿宋" w:hAnsi="仿宋" w:eastAsia="仿宋"/>
          <w:sz w:val="30"/>
          <w:szCs w:val="30"/>
        </w:rPr>
      </w:pPr>
    </w:p>
    <w:p w14:paraId="5C9C048B">
      <w:pPr>
        <w:widowControl/>
        <w:jc w:val="left"/>
        <w:rPr>
          <w:rFonts w:ascii="仿宋" w:hAnsi="仿宋" w:eastAsia="仿宋"/>
          <w:bCs/>
          <w:sz w:val="28"/>
          <w:szCs w:val="28"/>
        </w:rPr>
      </w:pPr>
      <w:r>
        <w:rPr>
          <w:rFonts w:ascii="仿宋" w:hAnsi="仿宋" w:eastAsia="仿宋"/>
          <w:bCs/>
          <w:sz w:val="28"/>
          <w:szCs w:val="28"/>
        </w:rPr>
        <w:br w:type="page"/>
      </w:r>
    </w:p>
    <w:p w14:paraId="2EBDE992">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5169D0A1">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14FEE68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6EC6109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099E98EF">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02CB7CE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561DA097">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5231BF8F">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5C010EE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03C8E7C2">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0450848C">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50797FCC">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75531E1B">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22AADE7A">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109FFE21">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72E3372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07F455E7">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3CB47EBF">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723D83F7">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07FD95C1">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3063B3D8">
      <w:pPr>
        <w:pStyle w:val="13"/>
        <w:snapToGrid w:val="0"/>
        <w:spacing w:before="156" w:after="156" w:line="240" w:lineRule="auto"/>
        <w:rPr>
          <w:rFonts w:ascii="仿宋" w:hAnsi="仿宋" w:eastAsia="仿宋"/>
          <w:sz w:val="30"/>
          <w:szCs w:val="30"/>
        </w:rPr>
      </w:pPr>
    </w:p>
    <w:p w14:paraId="79B68B32">
      <w:pPr>
        <w:pStyle w:val="13"/>
        <w:snapToGrid w:val="0"/>
        <w:spacing w:before="156" w:after="156" w:line="240" w:lineRule="auto"/>
        <w:rPr>
          <w:rFonts w:ascii="仿宋" w:hAnsi="仿宋" w:eastAsia="仿宋"/>
          <w:sz w:val="30"/>
          <w:szCs w:val="30"/>
        </w:rPr>
      </w:pPr>
    </w:p>
    <w:p w14:paraId="082AC6A7">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59019286">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60993774">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5861681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r>
        <w:rPr>
          <w:rFonts w:hint="eastAsia" w:ascii="仿宋" w:hAnsi="仿宋" w:eastAsia="仿宋"/>
          <w:b/>
          <w:sz w:val="30"/>
          <w:szCs w:val="30"/>
          <w:u w:val="single"/>
          <w:lang w:eastAsia="zh-CN"/>
        </w:rPr>
        <w:t>省农业农村厅乡村大脑等11个应用运维</w:t>
      </w:r>
      <w:r>
        <w:rPr>
          <w:rFonts w:hint="eastAsia" w:ascii="仿宋" w:hAnsi="仿宋" w:eastAsia="仿宋"/>
          <w:sz w:val="30"/>
          <w:szCs w:val="30"/>
          <w:u w:val="single"/>
        </w:rPr>
        <w:t>（编号为</w:t>
      </w:r>
      <w:r>
        <w:rPr>
          <w:rFonts w:hint="eastAsia" w:ascii="仿宋" w:hAnsi="仿宋" w:eastAsia="仿宋"/>
          <w:sz w:val="30"/>
          <w:szCs w:val="30"/>
          <w:u w:val="single"/>
          <w:lang w:eastAsia="zh-CN"/>
        </w:rPr>
        <w:t>330000263830010000012-ZZCG2026D-GK-108</w:t>
      </w:r>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7285E5C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7FB6A47B">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5088FF1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6CB7E88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3E3C1C0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7DB29A5F">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01CFC35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4D2EFC8A">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264E817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3080277B">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298F42A6">
      <w:pPr>
        <w:snapToGrid w:val="0"/>
        <w:spacing w:before="156" w:beforeLines="50" w:after="50" w:line="460" w:lineRule="exact"/>
        <w:ind w:right="600" w:firstLine="150" w:firstLineChars="50"/>
        <w:rPr>
          <w:rFonts w:ascii="仿宋" w:hAnsi="仿宋" w:eastAsia="仿宋"/>
          <w:sz w:val="30"/>
          <w:szCs w:val="30"/>
        </w:rPr>
      </w:pPr>
    </w:p>
    <w:p w14:paraId="6B79AA3A">
      <w:pPr>
        <w:snapToGrid w:val="0"/>
        <w:spacing w:before="156" w:beforeLines="50" w:after="50" w:line="460" w:lineRule="exact"/>
        <w:ind w:right="600" w:firstLine="150" w:firstLineChars="50"/>
        <w:rPr>
          <w:rFonts w:ascii="仿宋" w:hAnsi="仿宋" w:eastAsia="仿宋"/>
          <w:sz w:val="30"/>
          <w:szCs w:val="30"/>
        </w:rPr>
      </w:pPr>
    </w:p>
    <w:p w14:paraId="5094827F">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C20C7E1">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4E37B388">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0183D6DE">
      <w:pPr>
        <w:snapToGrid w:val="0"/>
        <w:spacing w:before="156" w:beforeLines="50" w:after="50"/>
        <w:jc w:val="center"/>
        <w:rPr>
          <w:rFonts w:ascii="仿宋" w:hAnsi="仿宋" w:eastAsia="仿宋"/>
          <w:b/>
          <w:sz w:val="30"/>
          <w:szCs w:val="30"/>
        </w:rPr>
      </w:pPr>
    </w:p>
    <w:p w14:paraId="4551C049">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211F6B9F">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r>
        <w:rPr>
          <w:rFonts w:hint="eastAsia" w:ascii="仿宋" w:hAnsi="仿宋" w:eastAsia="仿宋"/>
          <w:b/>
          <w:sz w:val="30"/>
          <w:szCs w:val="30"/>
          <w:u w:val="single"/>
          <w:lang w:eastAsia="zh-CN"/>
        </w:rPr>
        <w:t>省农业农村厅乡村大脑等11个应用运维</w:t>
      </w:r>
      <w:r>
        <w:rPr>
          <w:rFonts w:hint="eastAsia" w:ascii="仿宋" w:hAnsi="仿宋" w:eastAsia="仿宋"/>
          <w:sz w:val="30"/>
          <w:szCs w:val="30"/>
        </w:rPr>
        <w:t xml:space="preserve"> 项目编号：</w:t>
      </w:r>
      <w:r>
        <w:rPr>
          <w:rFonts w:hint="eastAsia" w:ascii="仿宋" w:hAnsi="仿宋" w:eastAsia="仿宋"/>
          <w:b/>
          <w:sz w:val="30"/>
          <w:szCs w:val="30"/>
          <w:u w:val="single"/>
          <w:lang w:eastAsia="zh-CN"/>
        </w:rPr>
        <w:t>330000263830010000012-ZZCG2026D-GK-108</w:t>
      </w:r>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0AACE2F0">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529A65A">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860062A">
      <w:pPr>
        <w:snapToGrid w:val="0"/>
        <w:spacing w:before="156" w:beforeLines="50" w:after="50" w:line="460" w:lineRule="exact"/>
        <w:ind w:firstLine="480"/>
        <w:rPr>
          <w:rFonts w:ascii="仿宋" w:hAnsi="仿宋" w:eastAsia="仿宋"/>
          <w:sz w:val="30"/>
          <w:szCs w:val="30"/>
        </w:rPr>
      </w:pPr>
    </w:p>
    <w:p w14:paraId="065F4C71">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358A3C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3B9112CB">
      <w:pPr>
        <w:snapToGrid w:val="0"/>
        <w:spacing w:before="156" w:beforeLines="50" w:after="50" w:line="460" w:lineRule="exact"/>
        <w:rPr>
          <w:rFonts w:ascii="仿宋" w:hAnsi="仿宋" w:eastAsia="仿宋"/>
          <w:sz w:val="30"/>
          <w:szCs w:val="30"/>
        </w:rPr>
      </w:pPr>
    </w:p>
    <w:p w14:paraId="212D732C">
      <w:pPr>
        <w:snapToGrid w:val="0"/>
        <w:spacing w:before="156" w:beforeLines="50" w:after="50" w:line="460" w:lineRule="exact"/>
        <w:rPr>
          <w:rFonts w:ascii="仿宋" w:hAnsi="仿宋" w:eastAsia="仿宋"/>
          <w:sz w:val="30"/>
          <w:szCs w:val="30"/>
        </w:rPr>
      </w:pPr>
    </w:p>
    <w:p w14:paraId="0DD554F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721B8CC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5D748C95">
      <w:pPr>
        <w:snapToGrid w:val="0"/>
        <w:spacing w:before="156" w:beforeLines="50" w:after="50" w:line="460" w:lineRule="exact"/>
        <w:ind w:firstLine="6150" w:firstLineChars="2050"/>
        <w:rPr>
          <w:rFonts w:ascii="仿宋" w:hAnsi="仿宋" w:eastAsia="仿宋"/>
          <w:sz w:val="30"/>
          <w:szCs w:val="30"/>
        </w:rPr>
      </w:pPr>
    </w:p>
    <w:p w14:paraId="22773629">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8E22DB6">
      <w:pPr>
        <w:snapToGrid w:val="0"/>
        <w:spacing w:before="156" w:beforeLines="50" w:after="50" w:line="460" w:lineRule="exact"/>
        <w:rPr>
          <w:rFonts w:ascii="仿宋" w:hAnsi="仿宋" w:eastAsia="仿宋"/>
          <w:sz w:val="30"/>
          <w:szCs w:val="30"/>
        </w:rPr>
      </w:pPr>
    </w:p>
    <w:p w14:paraId="3D9F7129">
      <w:pPr>
        <w:snapToGrid w:val="0"/>
        <w:spacing w:before="156" w:beforeLines="50" w:after="50" w:line="460" w:lineRule="exact"/>
        <w:rPr>
          <w:rFonts w:ascii="仿宋" w:hAnsi="仿宋" w:eastAsia="仿宋"/>
          <w:sz w:val="30"/>
          <w:szCs w:val="30"/>
        </w:rPr>
      </w:pPr>
    </w:p>
    <w:p w14:paraId="75997868">
      <w:pPr>
        <w:widowControl/>
        <w:jc w:val="left"/>
        <w:rPr>
          <w:rFonts w:ascii="仿宋" w:hAnsi="仿宋" w:eastAsia="仿宋"/>
          <w:sz w:val="30"/>
          <w:szCs w:val="30"/>
        </w:rPr>
      </w:pPr>
    </w:p>
    <w:p w14:paraId="5E7CEFA9">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6AF5ACFD">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109A7F49">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466D7BD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36A1E208">
      <w:pPr>
        <w:snapToGrid w:val="0"/>
        <w:spacing w:before="156" w:beforeLines="50" w:after="50" w:line="460" w:lineRule="exact"/>
        <w:rPr>
          <w:rFonts w:ascii="仿宋" w:hAnsi="仿宋" w:eastAsia="仿宋"/>
          <w:sz w:val="30"/>
          <w:szCs w:val="30"/>
        </w:rPr>
      </w:pPr>
    </w:p>
    <w:p w14:paraId="79DD1F91">
      <w:pPr>
        <w:snapToGrid w:val="0"/>
        <w:spacing w:before="156" w:beforeLines="50" w:after="50" w:line="460" w:lineRule="exact"/>
        <w:rPr>
          <w:rFonts w:ascii="仿宋" w:hAnsi="仿宋" w:eastAsia="仿宋"/>
          <w:sz w:val="30"/>
          <w:szCs w:val="30"/>
        </w:rPr>
      </w:pPr>
    </w:p>
    <w:p w14:paraId="4EA000D2">
      <w:pPr>
        <w:snapToGrid w:val="0"/>
        <w:spacing w:before="156" w:beforeLines="50" w:after="50" w:line="460" w:lineRule="exact"/>
        <w:rPr>
          <w:rFonts w:ascii="仿宋" w:hAnsi="仿宋" w:eastAsia="仿宋"/>
          <w:sz w:val="30"/>
          <w:szCs w:val="30"/>
        </w:rPr>
      </w:pPr>
    </w:p>
    <w:p w14:paraId="78CA2E56">
      <w:pPr>
        <w:snapToGrid w:val="0"/>
        <w:spacing w:before="156" w:beforeLines="50" w:after="50" w:line="460" w:lineRule="exact"/>
        <w:rPr>
          <w:rFonts w:ascii="仿宋" w:hAnsi="仿宋" w:eastAsia="仿宋"/>
          <w:sz w:val="30"/>
          <w:szCs w:val="30"/>
        </w:rPr>
      </w:pPr>
    </w:p>
    <w:p w14:paraId="2532EA48">
      <w:pPr>
        <w:snapToGrid w:val="0"/>
        <w:spacing w:before="156" w:beforeLines="50" w:after="50" w:line="460" w:lineRule="exact"/>
        <w:rPr>
          <w:rFonts w:ascii="仿宋" w:hAnsi="仿宋" w:eastAsia="仿宋"/>
          <w:sz w:val="30"/>
          <w:szCs w:val="30"/>
        </w:rPr>
      </w:pPr>
    </w:p>
    <w:p w14:paraId="399CB624">
      <w:pPr>
        <w:snapToGrid w:val="0"/>
        <w:spacing w:before="156" w:beforeLines="50" w:after="50" w:line="460" w:lineRule="exact"/>
        <w:rPr>
          <w:rFonts w:ascii="仿宋" w:hAnsi="仿宋" w:eastAsia="仿宋"/>
          <w:sz w:val="30"/>
          <w:szCs w:val="30"/>
        </w:rPr>
      </w:pPr>
    </w:p>
    <w:p w14:paraId="35ECE462">
      <w:pPr>
        <w:snapToGrid w:val="0"/>
        <w:spacing w:before="156" w:beforeLines="50" w:after="50" w:line="460" w:lineRule="exact"/>
        <w:rPr>
          <w:rFonts w:ascii="仿宋" w:hAnsi="仿宋" w:eastAsia="仿宋"/>
          <w:sz w:val="30"/>
          <w:szCs w:val="30"/>
        </w:rPr>
      </w:pPr>
    </w:p>
    <w:p w14:paraId="2B51EC3A">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3D67B3AA">
      <w:pPr>
        <w:widowControl/>
        <w:jc w:val="left"/>
        <w:rPr>
          <w:rFonts w:hAnsi="宋体" w:cs="宋体"/>
          <w:bCs/>
          <w:sz w:val="24"/>
        </w:rPr>
      </w:pPr>
    </w:p>
    <w:p w14:paraId="1989D034">
      <w:pPr>
        <w:widowControl/>
        <w:jc w:val="left"/>
        <w:rPr>
          <w:rFonts w:hAnsi="宋体" w:cs="宋体"/>
          <w:bCs/>
          <w:sz w:val="24"/>
        </w:rPr>
      </w:pPr>
    </w:p>
    <w:p w14:paraId="3421595E">
      <w:pPr>
        <w:widowControl/>
        <w:jc w:val="left"/>
        <w:rPr>
          <w:rFonts w:hAnsi="宋体" w:cs="宋体"/>
          <w:bCs/>
          <w:sz w:val="24"/>
        </w:rPr>
      </w:pPr>
    </w:p>
    <w:p w14:paraId="6F83E66C">
      <w:pPr>
        <w:snapToGrid w:val="0"/>
        <w:spacing w:before="156" w:beforeLines="50" w:after="50" w:line="460" w:lineRule="exact"/>
        <w:rPr>
          <w:rFonts w:ascii="仿宋" w:hAnsi="仿宋" w:eastAsia="仿宋"/>
          <w:sz w:val="30"/>
          <w:szCs w:val="30"/>
        </w:rPr>
      </w:pPr>
    </w:p>
    <w:p w14:paraId="5083C0C6">
      <w:pPr>
        <w:snapToGrid w:val="0"/>
        <w:spacing w:before="156" w:beforeLines="50" w:after="50" w:line="460" w:lineRule="exact"/>
        <w:rPr>
          <w:rFonts w:ascii="仿宋" w:hAnsi="仿宋" w:eastAsia="仿宋"/>
          <w:sz w:val="30"/>
          <w:szCs w:val="30"/>
        </w:rPr>
      </w:pPr>
    </w:p>
    <w:p w14:paraId="75525120">
      <w:pPr>
        <w:widowControl/>
        <w:jc w:val="left"/>
        <w:rPr>
          <w:rFonts w:hAnsi="宋体" w:cs="宋体"/>
          <w:bCs/>
          <w:sz w:val="24"/>
        </w:rPr>
      </w:pPr>
    </w:p>
    <w:p w14:paraId="77133494">
      <w:pPr>
        <w:widowControl/>
        <w:jc w:val="left"/>
        <w:rPr>
          <w:rFonts w:hAnsi="宋体" w:cs="宋体"/>
          <w:bCs/>
          <w:sz w:val="24"/>
        </w:rPr>
      </w:pPr>
    </w:p>
    <w:p w14:paraId="4F2180F2">
      <w:pPr>
        <w:widowControl/>
        <w:jc w:val="left"/>
        <w:rPr>
          <w:rFonts w:hAnsi="宋体" w:cs="宋体"/>
          <w:bCs/>
          <w:sz w:val="24"/>
        </w:rPr>
      </w:pPr>
    </w:p>
    <w:p w14:paraId="0F249B15">
      <w:pPr>
        <w:widowControl/>
        <w:jc w:val="left"/>
        <w:rPr>
          <w:rFonts w:hAnsi="宋体" w:cs="宋体"/>
          <w:bCs/>
          <w:sz w:val="24"/>
        </w:rPr>
      </w:pPr>
    </w:p>
    <w:p w14:paraId="40F795E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50DFFB6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DE3E979">
      <w:pPr>
        <w:widowControl/>
        <w:jc w:val="left"/>
        <w:rPr>
          <w:rFonts w:hAnsi="宋体" w:cs="宋体"/>
          <w:bCs/>
          <w:sz w:val="24"/>
        </w:rPr>
      </w:pPr>
    </w:p>
    <w:p w14:paraId="1C450CB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953B5B3">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51016E32">
      <w:pPr>
        <w:pStyle w:val="5"/>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6A5D8FF4">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10BF2C0A">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7CC3D297">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3DB1E5BF">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r>
        <w:rPr>
          <w:rFonts w:hint="eastAsia" w:ascii="仿宋" w:hAnsi="仿宋" w:eastAsia="仿宋"/>
          <w:b/>
          <w:sz w:val="30"/>
          <w:szCs w:val="30"/>
          <w:u w:val="single"/>
          <w:lang w:eastAsia="zh-CN"/>
        </w:rPr>
        <w:t>330000263830010000012-ZZCG2026D-GK-108</w:t>
      </w:r>
      <w:r>
        <w:rPr>
          <w:rFonts w:hint="eastAsia" w:ascii="仿宋" w:hAnsi="仿宋" w:eastAsia="仿宋"/>
          <w:sz w:val="30"/>
          <w:szCs w:val="30"/>
        </w:rPr>
        <w:t>的招标活动联合进行投标之事宜，达成如下协议：</w:t>
      </w:r>
    </w:p>
    <w:p w14:paraId="393458F6">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1DF738E0">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FEE32D2">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4739C87C">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66A72DC9">
      <w:pPr>
        <w:pStyle w:val="5"/>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04F3EA7E">
      <w:pPr>
        <w:pStyle w:val="5"/>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5047599A">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41432A73">
      <w:pPr>
        <w:pStyle w:val="5"/>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61F7410B">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35096AF6">
      <w:pPr>
        <w:pStyle w:val="5"/>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19"/>
        <w:tblW w:w="8530" w:type="dxa"/>
        <w:jc w:val="center"/>
        <w:tblLayout w:type="fixed"/>
        <w:tblCellMar>
          <w:top w:w="0" w:type="dxa"/>
          <w:left w:w="108" w:type="dxa"/>
          <w:bottom w:w="0" w:type="dxa"/>
          <w:right w:w="108" w:type="dxa"/>
        </w:tblCellMar>
      </w:tblPr>
      <w:tblGrid>
        <w:gridCol w:w="4265"/>
        <w:gridCol w:w="4265"/>
      </w:tblGrid>
      <w:tr w14:paraId="19EBCB5E">
        <w:tblPrEx>
          <w:tblCellMar>
            <w:top w:w="0" w:type="dxa"/>
            <w:left w:w="108" w:type="dxa"/>
            <w:bottom w:w="0" w:type="dxa"/>
            <w:right w:w="108" w:type="dxa"/>
          </w:tblCellMar>
        </w:tblPrEx>
        <w:trPr>
          <w:jc w:val="center"/>
        </w:trPr>
        <w:tc>
          <w:tcPr>
            <w:tcW w:w="4264" w:type="dxa"/>
          </w:tcPr>
          <w:p w14:paraId="5E3694F0">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C0A789B">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8D76504">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2C3B13BD">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009DE99D">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60350F7">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022AAB2E">
      <w:pPr>
        <w:pStyle w:val="5"/>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02B7E8A4">
      <w:pPr>
        <w:pStyle w:val="5"/>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21D67E42">
      <w:pPr>
        <w:pStyle w:val="5"/>
        <w:overflowPunct w:val="0"/>
        <w:spacing w:line="460" w:lineRule="exact"/>
        <w:rPr>
          <w:rFonts w:ascii="仿宋" w:hAnsi="仿宋" w:eastAsia="仿宋"/>
          <w:sz w:val="30"/>
          <w:szCs w:val="30"/>
        </w:rPr>
      </w:pPr>
    </w:p>
    <w:p w14:paraId="244A84DD">
      <w:pPr>
        <w:pStyle w:val="5"/>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030476EE">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0F826ED7">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F4B1FB5">
      <w:pPr>
        <w:pStyle w:val="5"/>
        <w:overflowPunct w:val="0"/>
        <w:spacing w:line="460" w:lineRule="exact"/>
        <w:rPr>
          <w:rFonts w:ascii="仿宋" w:hAnsi="仿宋" w:eastAsia="仿宋"/>
          <w:sz w:val="30"/>
          <w:szCs w:val="30"/>
        </w:rPr>
      </w:pPr>
    </w:p>
    <w:p w14:paraId="72BDA22F">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B93DA72">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797433A0">
      <w:pPr>
        <w:tabs>
          <w:tab w:val="left" w:pos="606"/>
        </w:tabs>
        <w:spacing w:line="460" w:lineRule="exact"/>
        <w:rPr>
          <w:rFonts w:ascii="仿宋" w:hAnsi="仿宋" w:eastAsia="仿宋"/>
          <w:spacing w:val="20"/>
          <w:sz w:val="30"/>
          <w:szCs w:val="30"/>
        </w:rPr>
      </w:pPr>
    </w:p>
    <w:p w14:paraId="59804A9A">
      <w:pPr>
        <w:tabs>
          <w:tab w:val="left" w:pos="606"/>
        </w:tabs>
        <w:spacing w:line="460" w:lineRule="exact"/>
        <w:rPr>
          <w:rFonts w:ascii="仿宋" w:hAnsi="仿宋" w:eastAsia="仿宋"/>
          <w:spacing w:val="20"/>
          <w:sz w:val="30"/>
          <w:szCs w:val="30"/>
        </w:rPr>
      </w:pPr>
    </w:p>
    <w:tbl>
      <w:tblPr>
        <w:tblStyle w:val="19"/>
        <w:tblW w:w="8530" w:type="dxa"/>
        <w:jc w:val="center"/>
        <w:tblLayout w:type="fixed"/>
        <w:tblCellMar>
          <w:top w:w="0" w:type="dxa"/>
          <w:left w:w="108" w:type="dxa"/>
          <w:bottom w:w="0" w:type="dxa"/>
          <w:right w:w="108" w:type="dxa"/>
        </w:tblCellMar>
      </w:tblPr>
      <w:tblGrid>
        <w:gridCol w:w="4265"/>
        <w:gridCol w:w="4265"/>
      </w:tblGrid>
      <w:tr w14:paraId="0BDF569E">
        <w:tblPrEx>
          <w:tblCellMar>
            <w:top w:w="0" w:type="dxa"/>
            <w:left w:w="108" w:type="dxa"/>
            <w:bottom w:w="0" w:type="dxa"/>
            <w:right w:w="108" w:type="dxa"/>
          </w:tblCellMar>
        </w:tblPrEx>
        <w:trPr>
          <w:jc w:val="center"/>
        </w:trPr>
        <w:tc>
          <w:tcPr>
            <w:tcW w:w="4264" w:type="dxa"/>
          </w:tcPr>
          <w:p w14:paraId="67313995">
            <w:pPr>
              <w:pStyle w:val="5"/>
              <w:overflowPunct w:val="0"/>
              <w:spacing w:line="460" w:lineRule="exact"/>
              <w:ind w:firstLine="0"/>
              <w:rPr>
                <w:rFonts w:ascii="仿宋" w:hAnsi="仿宋" w:eastAsia="仿宋"/>
                <w:sz w:val="30"/>
                <w:szCs w:val="30"/>
              </w:rPr>
            </w:pPr>
          </w:p>
          <w:p w14:paraId="64F70392">
            <w:pPr>
              <w:pStyle w:val="5"/>
              <w:overflowPunct w:val="0"/>
              <w:spacing w:line="460" w:lineRule="exact"/>
              <w:ind w:firstLine="0"/>
              <w:rPr>
                <w:rFonts w:ascii="仿宋" w:hAnsi="仿宋" w:eastAsia="仿宋"/>
                <w:sz w:val="30"/>
                <w:szCs w:val="30"/>
              </w:rPr>
            </w:pPr>
          </w:p>
          <w:p w14:paraId="296F894C">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A38912A">
            <w:pPr>
              <w:pStyle w:val="5"/>
              <w:overflowPunct w:val="0"/>
              <w:spacing w:line="460" w:lineRule="exact"/>
              <w:ind w:firstLine="0"/>
              <w:rPr>
                <w:rFonts w:ascii="仿宋" w:hAnsi="仿宋" w:eastAsia="仿宋"/>
                <w:sz w:val="30"/>
                <w:szCs w:val="30"/>
              </w:rPr>
            </w:pPr>
          </w:p>
          <w:p w14:paraId="15883AE3">
            <w:pPr>
              <w:pStyle w:val="5"/>
              <w:overflowPunct w:val="0"/>
              <w:spacing w:line="460" w:lineRule="exact"/>
              <w:ind w:firstLine="0"/>
              <w:rPr>
                <w:rFonts w:ascii="仿宋" w:hAnsi="仿宋" w:eastAsia="仿宋"/>
                <w:sz w:val="30"/>
                <w:szCs w:val="30"/>
              </w:rPr>
            </w:pPr>
          </w:p>
          <w:p w14:paraId="63B9580D">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F26BDC9">
            <w:pPr>
              <w:pStyle w:val="5"/>
              <w:overflowPunct w:val="0"/>
              <w:spacing w:line="460" w:lineRule="exact"/>
              <w:ind w:firstLine="0"/>
              <w:rPr>
                <w:rFonts w:ascii="仿宋" w:hAnsi="仿宋" w:eastAsia="仿宋"/>
                <w:sz w:val="30"/>
                <w:szCs w:val="30"/>
              </w:rPr>
            </w:pPr>
          </w:p>
          <w:p w14:paraId="2C283A6F">
            <w:pPr>
              <w:pStyle w:val="5"/>
              <w:overflowPunct w:val="0"/>
              <w:spacing w:line="460" w:lineRule="exact"/>
              <w:ind w:firstLine="0"/>
              <w:rPr>
                <w:rFonts w:ascii="仿宋" w:hAnsi="仿宋" w:eastAsia="仿宋"/>
                <w:sz w:val="30"/>
                <w:szCs w:val="30"/>
              </w:rPr>
            </w:pPr>
          </w:p>
          <w:p w14:paraId="3B404FEB">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5E183643">
            <w:pPr>
              <w:pStyle w:val="5"/>
              <w:overflowPunct w:val="0"/>
              <w:spacing w:line="460" w:lineRule="exact"/>
              <w:ind w:firstLine="0"/>
              <w:rPr>
                <w:rFonts w:ascii="仿宋" w:hAnsi="仿宋" w:eastAsia="仿宋"/>
                <w:sz w:val="30"/>
                <w:szCs w:val="30"/>
              </w:rPr>
            </w:pPr>
          </w:p>
          <w:p w14:paraId="7882572D">
            <w:pPr>
              <w:pStyle w:val="5"/>
              <w:overflowPunct w:val="0"/>
              <w:spacing w:line="460" w:lineRule="exact"/>
              <w:ind w:firstLine="0"/>
              <w:rPr>
                <w:rFonts w:ascii="仿宋" w:hAnsi="仿宋" w:eastAsia="仿宋"/>
                <w:sz w:val="30"/>
                <w:szCs w:val="30"/>
              </w:rPr>
            </w:pPr>
          </w:p>
          <w:p w14:paraId="15F347DD">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3E55BC1">
            <w:pPr>
              <w:pStyle w:val="5"/>
              <w:overflowPunct w:val="0"/>
              <w:spacing w:line="460" w:lineRule="exact"/>
              <w:ind w:firstLine="0"/>
              <w:rPr>
                <w:rFonts w:ascii="仿宋" w:hAnsi="仿宋" w:eastAsia="仿宋"/>
                <w:sz w:val="30"/>
                <w:szCs w:val="30"/>
              </w:rPr>
            </w:pPr>
          </w:p>
          <w:p w14:paraId="0B5E0923">
            <w:pPr>
              <w:pStyle w:val="5"/>
              <w:overflowPunct w:val="0"/>
              <w:spacing w:line="460" w:lineRule="exact"/>
              <w:ind w:firstLine="0"/>
              <w:rPr>
                <w:rFonts w:ascii="仿宋" w:hAnsi="仿宋" w:eastAsia="仿宋"/>
                <w:sz w:val="30"/>
                <w:szCs w:val="30"/>
              </w:rPr>
            </w:pPr>
          </w:p>
          <w:p w14:paraId="61C3AC31">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B884356">
            <w:pPr>
              <w:pStyle w:val="5"/>
              <w:overflowPunct w:val="0"/>
              <w:spacing w:line="460" w:lineRule="exact"/>
              <w:ind w:firstLine="0"/>
              <w:rPr>
                <w:rFonts w:ascii="仿宋" w:hAnsi="仿宋" w:eastAsia="仿宋"/>
                <w:sz w:val="30"/>
                <w:szCs w:val="30"/>
              </w:rPr>
            </w:pPr>
          </w:p>
          <w:p w14:paraId="16E753FC">
            <w:pPr>
              <w:pStyle w:val="5"/>
              <w:overflowPunct w:val="0"/>
              <w:spacing w:line="460" w:lineRule="exact"/>
              <w:ind w:firstLine="0"/>
              <w:rPr>
                <w:rFonts w:ascii="仿宋" w:hAnsi="仿宋" w:eastAsia="仿宋"/>
                <w:sz w:val="30"/>
                <w:szCs w:val="30"/>
              </w:rPr>
            </w:pPr>
          </w:p>
          <w:p w14:paraId="76A20698">
            <w:pPr>
              <w:pStyle w:val="5"/>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3FA0BC80">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34A81403">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774D0C6A">
      <w:pPr>
        <w:pStyle w:val="11"/>
        <w:spacing w:before="156" w:after="156" w:line="400" w:lineRule="exact"/>
      </w:pPr>
    </w:p>
    <w:p w14:paraId="568F95A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1206C911">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lang w:val="en-US" w:eastAsia="zh-CN"/>
        </w:rPr>
        <w:t>招标</w:t>
      </w:r>
      <w:r>
        <w:rPr>
          <w:rFonts w:hint="eastAsia" w:ascii="仿宋" w:hAnsi="仿宋" w:eastAsia="仿宋"/>
          <w:sz w:val="28"/>
          <w:szCs w:val="28"/>
          <w:lang w:val="zh-CN"/>
        </w:rPr>
        <w:t>文件分包要求的范围内，并符合相关法律规定等</w:t>
      </w:r>
    </w:p>
    <w:p w14:paraId="6275ABD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696F2D5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1ABBFB41">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404B7B69">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4ED91876">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8BB6122">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6DC23751">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9E1A58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五</w:t>
      </w:r>
      <w:r>
        <w:rPr>
          <w:rFonts w:hint="eastAsia" w:ascii="仿宋" w:hAnsi="仿宋" w:eastAsia="仿宋"/>
          <w:sz w:val="28"/>
          <w:szCs w:val="28"/>
          <w:lang w:val="zh-CN"/>
        </w:rPr>
        <w:t>、违约责任</w:t>
      </w:r>
    </w:p>
    <w:p w14:paraId="0D6344AD">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7CB5070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六</w:t>
      </w:r>
      <w:r>
        <w:rPr>
          <w:rFonts w:hint="eastAsia" w:ascii="仿宋" w:hAnsi="仿宋" w:eastAsia="仿宋"/>
          <w:sz w:val="28"/>
          <w:szCs w:val="28"/>
          <w:lang w:val="zh-CN"/>
        </w:rPr>
        <w:t xml:space="preserve">、争议解决的办法 </w:t>
      </w:r>
    </w:p>
    <w:p w14:paraId="6B432D31">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401FB90E">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七</w:t>
      </w:r>
      <w:r>
        <w:rPr>
          <w:rFonts w:hint="eastAsia" w:ascii="仿宋" w:hAnsi="仿宋" w:eastAsia="仿宋"/>
          <w:sz w:val="28"/>
          <w:szCs w:val="28"/>
          <w:lang w:val="zh-CN"/>
        </w:rPr>
        <w:t>、其他</w:t>
      </w:r>
    </w:p>
    <w:p w14:paraId="3ABF161D">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23D88ED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0C8D741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9BDC9DE">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D86285C">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715F1BE2">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11837D48">
      <w:pPr>
        <w:snapToGrid w:val="0"/>
        <w:spacing w:before="50" w:after="50"/>
        <w:jc w:val="left"/>
        <w:rPr>
          <w:rFonts w:hint="eastAsia" w:ascii="仿宋" w:hAnsi="仿宋" w:eastAsia="仿宋"/>
          <w:sz w:val="30"/>
          <w:szCs w:val="30"/>
        </w:rPr>
      </w:pPr>
    </w:p>
    <w:p w14:paraId="4351A8D5">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02C8257B">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7</w:t>
      </w:r>
      <w:r>
        <w:rPr>
          <w:rFonts w:hint="eastAsia" w:ascii="仿宋" w:hAnsi="仿宋" w:eastAsia="仿宋"/>
          <w:b/>
          <w:color w:val="000000" w:themeColor="text1"/>
          <w:sz w:val="30"/>
          <w:szCs w:val="30"/>
          <w14:textFill>
            <w14:solidFill>
              <w14:schemeClr w14:val="tx1"/>
            </w14:solidFill>
          </w14:textFill>
        </w:rPr>
        <w:t xml:space="preserve">：                                     </w:t>
      </w:r>
    </w:p>
    <w:p w14:paraId="298CCB59">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r>
        <w:rPr>
          <w:rFonts w:hint="eastAsia" w:ascii="仿宋" w:hAnsi="仿宋" w:eastAsia="仿宋"/>
          <w:b/>
          <w:color w:val="000000" w:themeColor="text1"/>
          <w:spacing w:val="40"/>
          <w:sz w:val="52"/>
          <w:szCs w:val="52"/>
          <w:lang w:eastAsia="zh-CN"/>
          <w14:textFill>
            <w14:solidFill>
              <w14:schemeClr w14:val="tx1"/>
            </w14:solidFill>
          </w14:textFill>
        </w:rPr>
        <w:t>省农业农村厅乡村大脑等11个应用运维</w:t>
      </w:r>
    </w:p>
    <w:p w14:paraId="08425637">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r>
        <w:rPr>
          <w:rFonts w:hint="eastAsia" w:ascii="仿宋" w:hAnsi="仿宋" w:eastAsia="仿宋"/>
          <w:color w:val="000000" w:themeColor="text1"/>
          <w:sz w:val="36"/>
          <w:szCs w:val="36"/>
          <w:lang w:eastAsia="zh-CN"/>
          <w14:textFill>
            <w14:solidFill>
              <w14:schemeClr w14:val="tx1"/>
            </w14:solidFill>
          </w14:textFill>
        </w:rPr>
        <w:t>330000263830010000012-ZZCG2026D-GK-108</w:t>
      </w:r>
      <w:r>
        <w:rPr>
          <w:rFonts w:hint="eastAsia" w:ascii="仿宋" w:hAnsi="仿宋" w:eastAsia="仿宋"/>
          <w:color w:val="000000" w:themeColor="text1"/>
          <w:sz w:val="36"/>
          <w:szCs w:val="36"/>
          <w14:textFill>
            <w14:solidFill>
              <w14:schemeClr w14:val="tx1"/>
            </w14:solidFill>
          </w14:textFill>
        </w:rPr>
        <w:t>（标项  ）</w:t>
      </w:r>
    </w:p>
    <w:p w14:paraId="1928127A">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14:paraId="531E0052">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14:paraId="3D9B3E76">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14:paraId="00A81B53">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14:paraId="72697C85">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14:paraId="06765139">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09BD8BCA">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66FD6D01">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72D86379">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5AD49537">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73D93CAB">
      <w:pPr>
        <w:snapToGrid w:val="0"/>
        <w:spacing w:before="50" w:after="50"/>
        <w:rPr>
          <w:rFonts w:ascii="仿宋" w:hAnsi="仿宋" w:eastAsia="仿宋"/>
          <w:color w:val="000000" w:themeColor="text1"/>
          <w:sz w:val="30"/>
          <w:szCs w:val="30"/>
          <w14:textFill>
            <w14:solidFill>
              <w14:schemeClr w14:val="tx1"/>
            </w14:solidFill>
          </w14:textFill>
        </w:rPr>
      </w:pPr>
    </w:p>
    <w:p w14:paraId="632CD844">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bCs/>
          <w:color w:val="000000" w:themeColor="text1"/>
          <w:sz w:val="36"/>
          <w:szCs w:val="36"/>
          <w14:textFill>
            <w14:solidFill>
              <w14:schemeClr w14:val="tx1"/>
            </w14:solidFill>
          </w14:textFill>
        </w:rPr>
        <w:t>技术及商务文件目录</w:t>
      </w:r>
    </w:p>
    <w:p w14:paraId="335AF09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23758D5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1053E5C7">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7EF36235">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5A399D36">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44BE6A8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52A5FC2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758F3E9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0B1D461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23497CBB">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2992145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1598F8B2">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6E59709A">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30017064">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w:t>
      </w:r>
    </w:p>
    <w:p w14:paraId="706A344F">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2173598A">
      <w:pPr>
        <w:snapToGrid w:val="0"/>
        <w:spacing w:before="50"/>
        <w:jc w:val="center"/>
        <w:rPr>
          <w:rFonts w:ascii="仿宋" w:hAnsi="仿宋" w:eastAsia="仿宋"/>
          <w:b/>
          <w:color w:val="000000" w:themeColor="text1"/>
          <w:sz w:val="32"/>
          <w:szCs w:val="32"/>
          <w14:textFill>
            <w14:solidFill>
              <w14:schemeClr w14:val="tx1"/>
            </w14:solidFill>
          </w14:textFill>
        </w:rPr>
      </w:pPr>
    </w:p>
    <w:p w14:paraId="1600C961">
      <w:pPr>
        <w:pStyle w:val="6"/>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0E5F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3E5C1C8E">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2DE29C46">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78B0BAEF">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52646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9597C94">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69691BD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06753AD">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519B2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DA58D83">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3810F427">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F87A1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7A0AE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91700AF">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0BD53F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737D2D1">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5A588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C9CFD44">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57A8D2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87F19A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0BF3E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A312A7A">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30CBE5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33051D9">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1F31A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C3A87D6">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99E03C6">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DD6065D">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1AEE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B5B9B3C">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2E2D040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1914BA">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39E29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EF7C619">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5E31D41">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CCB45D8">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B166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9E49100">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549A52E">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3CDCDA2">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293C8FDE">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44FCCFD9">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9</w:t>
      </w:r>
      <w:r>
        <w:rPr>
          <w:rFonts w:hint="eastAsia" w:ascii="仿宋" w:hAnsi="仿宋" w:eastAsia="仿宋"/>
          <w:color w:val="000000" w:themeColor="text1"/>
          <w:sz w:val="30"/>
          <w:szCs w:val="30"/>
          <w14:textFill>
            <w14:solidFill>
              <w14:schemeClr w14:val="tx1"/>
            </w14:solidFill>
          </w14:textFill>
        </w:rPr>
        <w:t>：</w:t>
      </w:r>
    </w:p>
    <w:p w14:paraId="59023A52">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75E90609">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1B2185F6">
      <w:pPr>
        <w:pStyle w:val="6"/>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77F34548">
      <w:pPr>
        <w:pStyle w:val="6"/>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1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7DF6E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EB2436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666B61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7DB02828">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1B26EEC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7470287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6F9A87E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4ED174FD">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13295FF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47764ECE">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28A47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9135FD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559A9B3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017EEBD1">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44DB45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76DA418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48F76407">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D0D1402">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57643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9817DEF">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4962584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2CD21F60">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27FB60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3092FFDD">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2AEC6A4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2F5BABC">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1795E2FD">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1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2FF23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E3F376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3A4980BD">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4F1BA2CB">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59345A3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3CEF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6DCFE5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DBE56F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4848371D">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79B57E93">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7F453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22754C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7027AFC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6A2F40C7">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3EB8B554">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0BF550E2">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3EAF7C28">
      <w:pPr>
        <w:snapToGrid w:val="0"/>
        <w:spacing w:before="120" w:beforeLines="50"/>
        <w:rPr>
          <w:rFonts w:ascii="仿宋" w:hAnsi="仿宋" w:eastAsia="仿宋"/>
          <w:color w:val="000000" w:themeColor="text1"/>
          <w:sz w:val="30"/>
          <w:szCs w:val="30"/>
          <w14:textFill>
            <w14:solidFill>
              <w14:schemeClr w14:val="tx1"/>
            </w14:solidFill>
          </w14:textFill>
        </w:rPr>
      </w:pPr>
    </w:p>
    <w:p w14:paraId="014C6B8A">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716A3B88">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4C37891C">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0</w:t>
      </w:r>
      <w:r>
        <w:rPr>
          <w:rFonts w:hint="eastAsia" w:ascii="仿宋" w:hAnsi="仿宋" w:eastAsia="仿宋"/>
          <w:color w:val="000000" w:themeColor="text1"/>
          <w:sz w:val="30"/>
          <w:szCs w:val="30"/>
          <w14:textFill>
            <w14:solidFill>
              <w14:schemeClr w14:val="tx1"/>
            </w14:solidFill>
          </w14:textFill>
        </w:rPr>
        <w:t>：</w:t>
      </w:r>
    </w:p>
    <w:p w14:paraId="2D1FC373">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46E506B9">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39B771DB">
      <w:pPr>
        <w:pStyle w:val="6"/>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3CE9B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0B66B9A1">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36B0F1F5">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3A55393B">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4480C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8634B5B">
            <w:pPr>
              <w:pStyle w:val="1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28FD973">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21B652B6">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2E42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BEFE786">
            <w:pPr>
              <w:pStyle w:val="1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C04FD67">
            <w:pPr>
              <w:pStyle w:val="13"/>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0C0C53C3">
            <w:pPr>
              <w:pStyle w:val="13"/>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14:paraId="0A0D0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06BF6B43">
            <w:pPr>
              <w:pStyle w:val="1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3E7DE6F0">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ADB94C0">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763C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27BAB7A5">
            <w:pPr>
              <w:pStyle w:val="1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146C882">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3C3558D8">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24524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20365197">
            <w:pPr>
              <w:pStyle w:val="1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90C1750">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4F59A68B">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64F0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7128ED83">
            <w:pPr>
              <w:pStyle w:val="13"/>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4632765">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338E9E6">
            <w:pPr>
              <w:pStyle w:val="13"/>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14:paraId="58D74D1B">
      <w:pPr>
        <w:pStyle w:val="8"/>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03AE4B11">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7D1F5C7C">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49203B8C">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1A248915">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w:t>
      </w:r>
    </w:p>
    <w:p w14:paraId="1EAE44B0">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19CDA37F">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69ADC566">
      <w:pPr>
        <w:pStyle w:val="6"/>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58F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7815E903">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48B6C51A">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4544C384">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65908AA1">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285AD760">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4D5FB492">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73616041">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3EE57EE2">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7B3ABC1A">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21963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FDA567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D6F061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B664A3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68FFD6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E59BA1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9D2630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9BF8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08F575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680DFEA">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78FD64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B173F1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437DBE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414D70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D7B3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FF6E4A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144D6F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60D3288">
            <w:pPr>
              <w:pStyle w:val="14"/>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0FDE70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0443D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024F57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2CF1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05D5F6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CA639E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46F3E5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59E86A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281F92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0C913D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D5AC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43713E1">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A60C2B3">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873AE9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131392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FC894D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C9E80F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21969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10FF83B">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D3171E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332A46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43304C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B48BB8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DD9789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0034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652F66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AB933C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D261C2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B2A0C0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D63731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F2226C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8FA5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674A98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B39725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61A78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9100F7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581383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DE392C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78CC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D053F5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0665D9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A933DF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134A2F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06170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4263BE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6C6652B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7DCD7D7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60A71422">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14EA22D4">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5A0ABA9B">
      <w:pPr>
        <w:pStyle w:val="13"/>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11A35572">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w:t>
      </w:r>
    </w:p>
    <w:p w14:paraId="16ABCC85">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7B9565E5">
      <w:pPr>
        <w:snapToGrid w:val="0"/>
        <w:spacing w:before="50"/>
        <w:jc w:val="center"/>
        <w:rPr>
          <w:rFonts w:ascii="仿宋" w:hAnsi="仿宋" w:eastAsia="仿宋"/>
          <w:b/>
          <w:color w:val="000000" w:themeColor="text1"/>
          <w:sz w:val="32"/>
          <w:szCs w:val="32"/>
          <w14:textFill>
            <w14:solidFill>
              <w14:schemeClr w14:val="tx1"/>
            </w14:solidFill>
          </w14:textFill>
        </w:rPr>
      </w:pPr>
    </w:p>
    <w:p w14:paraId="44C31797">
      <w:pPr>
        <w:pStyle w:val="6"/>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0035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507F6903">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126727B3">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5E3132BC">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1DA52A3A">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72ABCFB0">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179C9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00C6FEC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0E0C54D0">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76E6EB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A543390">
            <w:pPr>
              <w:snapToGrid w:val="0"/>
              <w:jc w:val="left"/>
              <w:rPr>
                <w:rFonts w:ascii="仿宋" w:hAnsi="仿宋" w:eastAsia="仿宋"/>
                <w:color w:val="000000" w:themeColor="text1"/>
                <w:sz w:val="28"/>
                <w:szCs w:val="28"/>
                <w14:textFill>
                  <w14:solidFill>
                    <w14:schemeClr w14:val="tx1"/>
                  </w14:solidFill>
                </w14:textFill>
              </w:rPr>
            </w:pPr>
          </w:p>
        </w:tc>
      </w:tr>
      <w:tr w14:paraId="4F43F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193C2F86">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3A0D3C4A">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D40762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A9D5B24">
            <w:pPr>
              <w:snapToGrid w:val="0"/>
              <w:jc w:val="left"/>
              <w:rPr>
                <w:rFonts w:ascii="仿宋" w:hAnsi="仿宋" w:eastAsia="仿宋"/>
                <w:color w:val="000000" w:themeColor="text1"/>
                <w:sz w:val="28"/>
                <w:szCs w:val="28"/>
                <w14:textFill>
                  <w14:solidFill>
                    <w14:schemeClr w14:val="tx1"/>
                  </w14:solidFill>
                </w14:textFill>
              </w:rPr>
            </w:pPr>
          </w:p>
        </w:tc>
      </w:tr>
      <w:tr w14:paraId="4ACEF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E172120">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7690AB29">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6CABE78">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EEB4CF8">
            <w:pPr>
              <w:snapToGrid w:val="0"/>
              <w:jc w:val="left"/>
              <w:rPr>
                <w:rFonts w:ascii="仿宋" w:hAnsi="仿宋" w:eastAsia="仿宋"/>
                <w:color w:val="000000" w:themeColor="text1"/>
                <w:sz w:val="28"/>
                <w:szCs w:val="28"/>
                <w14:textFill>
                  <w14:solidFill>
                    <w14:schemeClr w14:val="tx1"/>
                  </w14:solidFill>
                </w14:textFill>
              </w:rPr>
            </w:pPr>
          </w:p>
        </w:tc>
      </w:tr>
      <w:tr w14:paraId="7F4BC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17096F8">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684DB952">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07291B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45081C5">
            <w:pPr>
              <w:snapToGrid w:val="0"/>
              <w:jc w:val="left"/>
              <w:rPr>
                <w:rFonts w:ascii="仿宋" w:hAnsi="仿宋" w:eastAsia="仿宋"/>
                <w:color w:val="000000" w:themeColor="text1"/>
                <w:sz w:val="28"/>
                <w:szCs w:val="28"/>
                <w14:textFill>
                  <w14:solidFill>
                    <w14:schemeClr w14:val="tx1"/>
                  </w14:solidFill>
                </w14:textFill>
              </w:rPr>
            </w:pPr>
          </w:p>
        </w:tc>
      </w:tr>
      <w:tr w14:paraId="13E1F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2C78BFC9">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15FF9263">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8344B76">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7C38181">
            <w:pPr>
              <w:snapToGrid w:val="0"/>
              <w:jc w:val="left"/>
              <w:rPr>
                <w:rFonts w:ascii="仿宋" w:hAnsi="仿宋" w:eastAsia="仿宋"/>
                <w:color w:val="000000" w:themeColor="text1"/>
                <w:sz w:val="28"/>
                <w:szCs w:val="28"/>
                <w14:textFill>
                  <w14:solidFill>
                    <w14:schemeClr w14:val="tx1"/>
                  </w14:solidFill>
                </w14:textFill>
              </w:rPr>
            </w:pPr>
          </w:p>
        </w:tc>
      </w:tr>
      <w:tr w14:paraId="0DEA6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1F68783B">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65B3D93B">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81511A5">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C850E3B">
            <w:pPr>
              <w:snapToGrid w:val="0"/>
              <w:jc w:val="left"/>
              <w:rPr>
                <w:rFonts w:ascii="仿宋" w:hAnsi="仿宋" w:eastAsia="仿宋"/>
                <w:color w:val="000000" w:themeColor="text1"/>
                <w:sz w:val="28"/>
                <w:szCs w:val="28"/>
                <w14:textFill>
                  <w14:solidFill>
                    <w14:schemeClr w14:val="tx1"/>
                  </w14:solidFill>
                </w14:textFill>
              </w:rPr>
            </w:pPr>
          </w:p>
        </w:tc>
      </w:tr>
      <w:tr w14:paraId="1B2E5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D36CFD8">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59AE0A03">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EAFCA8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59589EC">
            <w:pPr>
              <w:snapToGrid w:val="0"/>
              <w:jc w:val="left"/>
              <w:rPr>
                <w:rFonts w:ascii="仿宋" w:hAnsi="仿宋" w:eastAsia="仿宋"/>
                <w:color w:val="000000" w:themeColor="text1"/>
                <w:sz w:val="28"/>
                <w:szCs w:val="28"/>
                <w14:textFill>
                  <w14:solidFill>
                    <w14:schemeClr w14:val="tx1"/>
                  </w14:solidFill>
                </w14:textFill>
              </w:rPr>
            </w:pPr>
          </w:p>
        </w:tc>
      </w:tr>
      <w:tr w14:paraId="52D04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4C485E91">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4A25E8F7">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E3EDCCB">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900B18F">
            <w:pPr>
              <w:snapToGrid w:val="0"/>
              <w:jc w:val="left"/>
              <w:rPr>
                <w:rFonts w:ascii="仿宋" w:hAnsi="仿宋" w:eastAsia="仿宋"/>
                <w:color w:val="000000" w:themeColor="text1"/>
                <w:sz w:val="28"/>
                <w:szCs w:val="28"/>
                <w14:textFill>
                  <w14:solidFill>
                    <w14:schemeClr w14:val="tx1"/>
                  </w14:solidFill>
                </w14:textFill>
              </w:rPr>
            </w:pPr>
          </w:p>
        </w:tc>
      </w:tr>
      <w:tr w14:paraId="5EF57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0652E0C3">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56A2E6A8">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E59470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9C31144">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14:paraId="22F9A625">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1DAC1988">
      <w:pPr>
        <w:widowControl/>
        <w:jc w:val="left"/>
        <w:rPr>
          <w:rFonts w:ascii="仿宋" w:hAnsi="仿宋" w:eastAsia="仿宋"/>
          <w:color w:val="000000" w:themeColor="text1"/>
          <w:kern w:val="0"/>
          <w:sz w:val="30"/>
          <w:szCs w:val="30"/>
          <w14:textFill>
            <w14:solidFill>
              <w14:schemeClr w14:val="tx1"/>
            </w14:solidFill>
          </w14:textFill>
        </w:rPr>
        <w:sectPr>
          <w:footerReference r:id="rId3" w:type="default"/>
          <w:pgSz w:w="11906" w:h="16838"/>
          <w:pgMar w:top="1474" w:right="1797" w:bottom="1247" w:left="1797" w:header="851" w:footer="851" w:gutter="0"/>
          <w:cols w:space="720" w:num="1"/>
        </w:sectPr>
      </w:pPr>
    </w:p>
    <w:p w14:paraId="2F37C253">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w:t>
      </w:r>
    </w:p>
    <w:p w14:paraId="172C2B6C">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527E550B">
      <w:pPr>
        <w:pStyle w:val="6"/>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1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0E6B9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3456F78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191A655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52E388D">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6280D1A0">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CEAE0B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E95D22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3B78502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2C80F62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499405D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01CE4893">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57BF32B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3AB47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C198C21">
            <w:pPr>
              <w:widowControl/>
              <w:jc w:val="left"/>
              <w:rPr>
                <w:rFonts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26DE858B">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06901F">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4DD327">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3C0F350">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873EE5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42A27BE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51C08B3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6595441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2E0B818D">
            <w:pPr>
              <w:widowControl/>
              <w:jc w:val="left"/>
              <w:rPr>
                <w:rFonts w:ascii="仿宋" w:hAnsi="仿宋" w:eastAsia="仿宋"/>
                <w:color w:val="000000" w:themeColor="text1"/>
                <w:sz w:val="30"/>
                <w:szCs w:val="30"/>
                <w14:textFill>
                  <w14:solidFill>
                    <w14:schemeClr w14:val="tx1"/>
                  </w14:solidFill>
                </w14:textFill>
              </w:rPr>
            </w:pPr>
          </w:p>
        </w:tc>
      </w:tr>
      <w:tr w14:paraId="6C1F9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3C156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3504A1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00A8E4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159633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5DDB38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6F4A9F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2AD737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22C8EA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14CA8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10A87F46">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64859E5">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79D07B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C94116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D5BF0B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2F09B3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FEDFCA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CAE760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69AE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A19DA5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5816C9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A7C0A1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375C56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9E93EF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D3CC64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8DCF57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25A71E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6B69A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33086D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31112208">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10593B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B76943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118E25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214EA6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1473A7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D1BE1E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031E2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3CF9700">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505B2EBA">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1FD8E739">
      <w:pPr>
        <w:pStyle w:val="6"/>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2176D6C7">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03594F2A">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4</w:t>
      </w:r>
      <w:r>
        <w:rPr>
          <w:rFonts w:hint="eastAsia" w:ascii="仿宋" w:hAnsi="仿宋" w:eastAsia="仿宋"/>
          <w:b/>
          <w:color w:val="000000" w:themeColor="text1"/>
          <w:sz w:val="30"/>
          <w:szCs w:val="30"/>
          <w14:textFill>
            <w14:solidFill>
              <w14:schemeClr w14:val="tx1"/>
            </w14:solidFill>
          </w14:textFill>
        </w:rPr>
        <w:t xml:space="preserve">：                                    </w:t>
      </w:r>
    </w:p>
    <w:p w14:paraId="2F2D1C2E">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r>
        <w:rPr>
          <w:rFonts w:hint="eastAsia" w:ascii="仿宋" w:hAnsi="仿宋" w:eastAsia="仿宋"/>
          <w:b/>
          <w:color w:val="000000" w:themeColor="text1"/>
          <w:spacing w:val="40"/>
          <w:sz w:val="52"/>
          <w:szCs w:val="52"/>
          <w:lang w:eastAsia="zh-CN"/>
          <w14:textFill>
            <w14:solidFill>
              <w14:schemeClr w14:val="tx1"/>
            </w14:solidFill>
          </w14:textFill>
        </w:rPr>
        <w:t>省农业农村厅乡村大脑等11个应用运维</w:t>
      </w:r>
    </w:p>
    <w:p w14:paraId="1DAE39E5">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r>
        <w:rPr>
          <w:rFonts w:hint="eastAsia" w:ascii="仿宋" w:hAnsi="仿宋" w:eastAsia="仿宋"/>
          <w:b/>
          <w:color w:val="000000" w:themeColor="text1"/>
          <w:sz w:val="36"/>
          <w:szCs w:val="36"/>
          <w:lang w:eastAsia="zh-CN"/>
          <w14:textFill>
            <w14:solidFill>
              <w14:schemeClr w14:val="tx1"/>
            </w14:solidFill>
          </w14:textFill>
        </w:rPr>
        <w:t>330000263830010000012-ZZCG2026D-GK-108</w:t>
      </w:r>
      <w:r>
        <w:rPr>
          <w:rFonts w:hint="eastAsia" w:ascii="仿宋" w:hAnsi="仿宋" w:eastAsia="仿宋"/>
          <w:color w:val="000000" w:themeColor="text1"/>
          <w:sz w:val="36"/>
          <w:szCs w:val="36"/>
          <w14:textFill>
            <w14:solidFill>
              <w14:schemeClr w14:val="tx1"/>
            </w14:solidFill>
          </w14:textFill>
        </w:rPr>
        <w:t>（标项  ）</w:t>
      </w:r>
    </w:p>
    <w:p w14:paraId="59CB9A9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417915AA">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2107FD4F">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793D3491">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0F9307C9">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75EF5818">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4A063FF2">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5FFC8E5B">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27135707">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2743B37">
      <w:pPr>
        <w:snapToGrid w:val="0"/>
        <w:spacing w:before="50" w:after="50"/>
        <w:rPr>
          <w:rFonts w:ascii="仿宋" w:hAnsi="仿宋" w:eastAsia="仿宋"/>
          <w:color w:val="000000" w:themeColor="text1"/>
          <w:sz w:val="30"/>
          <w:szCs w:val="30"/>
          <w14:textFill>
            <w14:solidFill>
              <w14:schemeClr w14:val="tx1"/>
            </w14:solidFill>
          </w14:textFill>
        </w:rPr>
      </w:pPr>
    </w:p>
    <w:p w14:paraId="7ED17E67">
      <w:pPr>
        <w:pStyle w:val="14"/>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color w:val="000000" w:themeColor="text1"/>
          <w:sz w:val="36"/>
          <w:szCs w:val="36"/>
          <w14:textFill>
            <w14:solidFill>
              <w14:schemeClr w14:val="tx1"/>
            </w14:solidFill>
          </w14:textFill>
        </w:rPr>
        <w:t>报价文件目录</w:t>
      </w:r>
    </w:p>
    <w:p w14:paraId="2C1ABB0E">
      <w:pPr>
        <w:rPr>
          <w:rFonts w:ascii="仿宋" w:hAnsi="仿宋" w:eastAsia="仿宋"/>
          <w:color w:val="000000" w:themeColor="text1"/>
          <w14:textFill>
            <w14:solidFill>
              <w14:schemeClr w14:val="tx1"/>
            </w14:solidFill>
          </w14:textFill>
        </w:rPr>
      </w:pPr>
    </w:p>
    <w:p w14:paraId="35D82A92">
      <w:pPr>
        <w:pStyle w:val="14"/>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（1）开标一览表（见附件1</w:t>
      </w:r>
      <w:r>
        <w:rPr>
          <w:rFonts w:hint="eastAsia" w:ascii="仿宋" w:hAnsi="仿宋" w:eastAsia="仿宋"/>
          <w:color w:val="000000" w:themeColor="text1"/>
          <w:sz w:val="30"/>
          <w:szCs w:val="30"/>
          <w:lang w:val="en-US" w:eastAsia="zh-CN"/>
          <w14:textFill>
            <w14:solidFill>
              <w14:schemeClr w14:val="tx1"/>
            </w14:solidFill>
          </w14:textFill>
        </w:rPr>
        <w:t>5</w:t>
      </w:r>
      <w:r>
        <w:rPr>
          <w:rFonts w:hint="eastAsia" w:ascii="仿宋" w:hAnsi="仿宋" w:eastAsia="仿宋"/>
          <w:color w:val="000000" w:themeColor="text1"/>
          <w:sz w:val="30"/>
          <w:szCs w:val="30"/>
          <w14:textFill>
            <w14:solidFill>
              <w14:schemeClr w14:val="tx1"/>
            </w14:solidFill>
          </w14:textFill>
        </w:rPr>
        <w:t>）；</w:t>
      </w:r>
    </w:p>
    <w:p w14:paraId="0D42131B">
      <w:pPr>
        <w:pStyle w:val="14"/>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（2）投标人针对报价需要说明的其他文件和说明（格式自拟）；</w:t>
      </w:r>
    </w:p>
    <w:p w14:paraId="2036E236">
      <w:pPr>
        <w:snapToGrid w:val="0"/>
        <w:spacing w:line="460" w:lineRule="exact"/>
        <w:jc w:val="left"/>
        <w:rPr>
          <w:rFonts w:ascii="仿宋" w:hAnsi="仿宋" w:eastAsia="仿宋"/>
        </w:rPr>
      </w:pPr>
      <w:r>
        <w:rPr>
          <w:rFonts w:hint="eastAsia" w:ascii="仿宋" w:hAnsi="仿宋" w:eastAsia="仿宋"/>
          <w:sz w:val="30"/>
          <w:szCs w:val="30"/>
        </w:rPr>
        <w:t>（</w:t>
      </w:r>
      <w:r>
        <w:rPr>
          <w:rFonts w:hint="eastAsia" w:ascii="仿宋" w:hAnsi="仿宋" w:eastAsia="仿宋"/>
          <w:sz w:val="30"/>
          <w:szCs w:val="30"/>
          <w:lang w:val="en-US" w:eastAsia="zh-CN"/>
        </w:rPr>
        <w:t>3</w:t>
      </w:r>
      <w:r>
        <w:rPr>
          <w:rFonts w:hint="eastAsia" w:ascii="仿宋" w:hAnsi="仿宋" w:eastAsia="仿宋"/>
          <w:sz w:val="30"/>
          <w:szCs w:val="30"/>
        </w:rPr>
        <w:t>）中小企业声明函（若需要，格式见附件</w:t>
      </w:r>
      <w:r>
        <w:rPr>
          <w:rFonts w:hint="eastAsia" w:ascii="仿宋" w:hAnsi="仿宋" w:eastAsia="仿宋"/>
          <w:sz w:val="30"/>
          <w:szCs w:val="30"/>
          <w:lang w:val="en-US" w:eastAsia="zh-CN"/>
        </w:rPr>
        <w:t>16</w:t>
      </w:r>
      <w:r>
        <w:rPr>
          <w:rFonts w:hint="eastAsia" w:ascii="仿宋" w:hAnsi="仿宋" w:eastAsia="仿宋"/>
          <w:sz w:val="30"/>
          <w:szCs w:val="30"/>
        </w:rPr>
        <w:t>）；</w:t>
      </w:r>
    </w:p>
    <w:p w14:paraId="07D88E12">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）残疾人福利企业声明函（若需要，格式见附件</w:t>
      </w:r>
      <w:r>
        <w:rPr>
          <w:rFonts w:hint="eastAsia" w:ascii="仿宋" w:hAnsi="仿宋" w:eastAsia="仿宋"/>
          <w:sz w:val="30"/>
          <w:szCs w:val="30"/>
          <w:lang w:val="en-US" w:eastAsia="zh-CN"/>
        </w:rPr>
        <w:t>17</w:t>
      </w:r>
      <w:r>
        <w:rPr>
          <w:rFonts w:hint="eastAsia" w:ascii="仿宋" w:hAnsi="仿宋" w:eastAsia="仿宋"/>
          <w:sz w:val="30"/>
          <w:szCs w:val="30"/>
        </w:rPr>
        <w:t>）；</w:t>
      </w:r>
    </w:p>
    <w:p w14:paraId="1DABC12F">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14:paraId="741531CD">
      <w:pPr>
        <w:pStyle w:val="13"/>
        <w:snapToGrid w:val="0"/>
        <w:spacing w:before="120" w:after="120"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5</w:t>
      </w:r>
      <w:r>
        <w:rPr>
          <w:rFonts w:hint="eastAsia" w:ascii="仿宋" w:hAnsi="仿宋" w:eastAsia="仿宋"/>
          <w:color w:val="000000" w:themeColor="text1"/>
          <w:sz w:val="30"/>
          <w:szCs w:val="30"/>
          <w14:textFill>
            <w14:solidFill>
              <w14:schemeClr w14:val="tx1"/>
            </w14:solidFill>
          </w14:textFill>
        </w:rPr>
        <w:t>：</w:t>
      </w:r>
    </w:p>
    <w:p w14:paraId="6B2D87B6">
      <w:pPr>
        <w:pStyle w:val="13"/>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0662716C">
      <w:pPr>
        <w:pStyle w:val="1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27900E07">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7961C1B7">
      <w:pPr>
        <w:snapToGrid w:val="0"/>
        <w:rPr>
          <w:rFonts w:ascii="仿宋" w:hAnsi="仿宋" w:eastAsia="仿宋"/>
          <w:color w:val="000000" w:themeColor="text1"/>
          <w:sz w:val="28"/>
          <w:szCs w:val="28"/>
          <w14:textFill>
            <w14:solidFill>
              <w14:schemeClr w14:val="tx1"/>
            </w14:solidFill>
          </w14:textFill>
        </w:rPr>
      </w:pPr>
    </w:p>
    <w:p w14:paraId="12956531">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035BCA53">
      <w:pPr>
        <w:snapToGrid w:val="0"/>
        <w:rPr>
          <w:rFonts w:ascii="仿宋" w:hAnsi="仿宋" w:eastAsia="仿宋"/>
          <w:b/>
          <w:color w:val="000000" w:themeColor="text1"/>
          <w:sz w:val="24"/>
          <w:szCs w:val="24"/>
          <w:u w:val="single"/>
          <w14:textFill>
            <w14:solidFill>
              <w14:schemeClr w14:val="tx1"/>
            </w14:solidFill>
          </w14:textFill>
        </w:rPr>
      </w:pPr>
    </w:p>
    <w:tbl>
      <w:tblPr>
        <w:tblStyle w:val="1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7AE4D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2118C5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货物类</w:t>
            </w:r>
          </w:p>
        </w:tc>
      </w:tr>
      <w:tr w14:paraId="6107B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6ABEFAE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w:t>
            </w:r>
          </w:p>
          <w:p w14:paraId="413BDB8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vAlign w:val="center"/>
          </w:tcPr>
          <w:p w14:paraId="1463EEB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vAlign w:val="center"/>
          </w:tcPr>
          <w:p w14:paraId="4D6B451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vAlign w:val="center"/>
          </w:tcPr>
          <w:p w14:paraId="6686436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规格</w:t>
            </w:r>
          </w:p>
          <w:p w14:paraId="338814D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vAlign w:val="center"/>
          </w:tcPr>
          <w:p w14:paraId="7B9952FE">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vAlign w:val="center"/>
          </w:tcPr>
          <w:p w14:paraId="0D3BF03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3DE2E49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vAlign w:val="center"/>
          </w:tcPr>
          <w:p w14:paraId="0E2F1B2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4D10E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14CC4A89">
            <w:pPr>
              <w:widowControl/>
              <w:jc w:val="left"/>
              <w:rPr>
                <w:rFonts w:ascii="仿宋" w:hAnsi="仿宋" w:eastAsia="仿宋"/>
                <w:b/>
                <w:color w:val="000000" w:themeColor="text1"/>
                <w:sz w:val="24"/>
                <w:szCs w:val="24"/>
                <w14:textFill>
                  <w14:solidFill>
                    <w14:schemeClr w14:val="tx1"/>
                  </w14:solidFill>
                </w14:textFill>
              </w:rPr>
            </w:pPr>
          </w:p>
        </w:tc>
        <w:tc>
          <w:tcPr>
            <w:tcW w:w="1331" w:type="dxa"/>
            <w:vMerge w:val="continue"/>
            <w:tcBorders>
              <w:top w:val="single" w:color="auto" w:sz="4" w:space="0"/>
              <w:left w:val="single" w:color="auto" w:sz="4" w:space="0"/>
              <w:bottom w:val="nil"/>
              <w:right w:val="single" w:color="auto" w:sz="4" w:space="0"/>
            </w:tcBorders>
            <w:vAlign w:val="center"/>
          </w:tcPr>
          <w:p w14:paraId="1035908A">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5DB78CFC">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58A19467">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04360BB3">
            <w:pPr>
              <w:widowControl/>
              <w:jc w:val="left"/>
              <w:rPr>
                <w:rFonts w:ascii="仿宋" w:hAnsi="仿宋" w:eastAsia="仿宋"/>
                <w:b/>
                <w:color w:val="000000" w:themeColor="text1"/>
                <w:sz w:val="24"/>
                <w:szCs w:val="24"/>
                <w14:textFill>
                  <w14:solidFill>
                    <w14:schemeClr w14:val="tx1"/>
                  </w14:solidFill>
                </w14:textFill>
              </w:rPr>
            </w:pPr>
          </w:p>
        </w:tc>
        <w:tc>
          <w:tcPr>
            <w:tcW w:w="1455" w:type="dxa"/>
            <w:vMerge w:val="continue"/>
            <w:tcBorders>
              <w:top w:val="single" w:color="auto" w:sz="4" w:space="0"/>
              <w:left w:val="single" w:color="auto" w:sz="4" w:space="0"/>
              <w:bottom w:val="nil"/>
              <w:right w:val="single" w:color="auto" w:sz="4" w:space="0"/>
            </w:tcBorders>
            <w:vAlign w:val="center"/>
          </w:tcPr>
          <w:p w14:paraId="36DB53DC">
            <w:pPr>
              <w:widowControl/>
              <w:jc w:val="left"/>
              <w:rPr>
                <w:rFonts w:ascii="仿宋" w:hAnsi="仿宋" w:eastAsia="仿宋"/>
                <w:b/>
                <w:color w:val="000000" w:themeColor="text1"/>
                <w:sz w:val="24"/>
                <w:szCs w:val="24"/>
                <w14:textFill>
                  <w14:solidFill>
                    <w14:schemeClr w14:val="tx1"/>
                  </w14:solidFill>
                </w14:textFill>
              </w:rPr>
            </w:pPr>
          </w:p>
        </w:tc>
        <w:tc>
          <w:tcPr>
            <w:tcW w:w="1293" w:type="dxa"/>
            <w:vMerge w:val="continue"/>
            <w:tcBorders>
              <w:top w:val="single" w:color="auto" w:sz="4" w:space="0"/>
              <w:left w:val="single" w:color="auto" w:sz="4" w:space="0"/>
              <w:bottom w:val="nil"/>
              <w:right w:val="single" w:color="auto" w:sz="4" w:space="0"/>
            </w:tcBorders>
            <w:vAlign w:val="center"/>
          </w:tcPr>
          <w:p w14:paraId="6E597219">
            <w:pPr>
              <w:widowControl/>
              <w:jc w:val="left"/>
              <w:rPr>
                <w:rFonts w:ascii="仿宋" w:hAnsi="仿宋" w:eastAsia="仿宋"/>
                <w:b/>
                <w:color w:val="000000" w:themeColor="text1"/>
                <w:sz w:val="24"/>
                <w:szCs w:val="24"/>
                <w14:textFill>
                  <w14:solidFill>
                    <w14:schemeClr w14:val="tx1"/>
                  </w14:solidFill>
                </w14:textFill>
              </w:rPr>
            </w:pPr>
          </w:p>
        </w:tc>
      </w:tr>
      <w:tr w14:paraId="778E8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7C1BA53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vAlign w:val="center"/>
          </w:tcPr>
          <w:p w14:paraId="7E348FB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0086D4B5">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F181D3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6D3CD09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4CF3F65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6B08B4B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12017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1FDEF863">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4423F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6FFB4E85">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66ED5AE7">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4CED683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2B3CBE67">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75D94565">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037E016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46FB9570">
      <w:pPr>
        <w:snapToGrid w:val="0"/>
        <w:spacing w:line="400" w:lineRule="exact"/>
        <w:jc w:val="left"/>
        <w:rPr>
          <w:rFonts w:ascii="仿宋" w:hAnsi="仿宋" w:eastAsia="仿宋"/>
          <w:color w:val="000000" w:themeColor="text1"/>
          <w:sz w:val="24"/>
          <w:szCs w:val="24"/>
          <w14:textFill>
            <w14:solidFill>
              <w14:schemeClr w14:val="tx1"/>
            </w14:solidFill>
          </w14:textFill>
        </w:rPr>
      </w:pPr>
    </w:p>
    <w:p w14:paraId="0C26386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662ABAF2">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2520B347">
      <w:pPr>
        <w:pStyle w:val="13"/>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06FC3329">
      <w:pPr>
        <w:pStyle w:val="1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48775A7F">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5F0B5057">
      <w:pPr>
        <w:snapToGrid w:val="0"/>
        <w:rPr>
          <w:rFonts w:ascii="仿宋" w:hAnsi="仿宋" w:eastAsia="仿宋"/>
          <w:color w:val="000000" w:themeColor="text1"/>
          <w:sz w:val="28"/>
          <w:szCs w:val="28"/>
          <w14:textFill>
            <w14:solidFill>
              <w14:schemeClr w14:val="tx1"/>
            </w14:solidFill>
          </w14:textFill>
        </w:rPr>
      </w:pPr>
    </w:p>
    <w:p w14:paraId="2F5F5A23">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2E0F86D9">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1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3E5C9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C0AF44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608F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14:paraId="54F1906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14:paraId="497825CB">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vAlign w:val="center"/>
          </w:tcPr>
          <w:p w14:paraId="663D2BA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vAlign w:val="center"/>
          </w:tcPr>
          <w:p w14:paraId="43BC086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08BA143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vAlign w:val="center"/>
          </w:tcPr>
          <w:p w14:paraId="3F9702B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076A6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vAlign w:val="center"/>
          </w:tcPr>
          <w:p w14:paraId="79BFAD76">
            <w:pPr>
              <w:widowControl/>
              <w:jc w:val="left"/>
              <w:rPr>
                <w:rFonts w:ascii="仿宋" w:hAnsi="仿宋" w:eastAsia="仿宋"/>
                <w:b/>
                <w:color w:val="000000" w:themeColor="text1"/>
                <w:sz w:val="24"/>
                <w:szCs w:val="24"/>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14:paraId="2B46DAE4">
            <w:pPr>
              <w:widowControl/>
              <w:jc w:val="left"/>
              <w:rPr>
                <w:rFonts w:ascii="仿宋" w:hAnsi="仿宋" w:eastAsia="仿宋"/>
                <w:b/>
                <w:color w:val="000000" w:themeColor="text1"/>
                <w:sz w:val="24"/>
                <w:szCs w:val="24"/>
                <w14:textFill>
                  <w14:solidFill>
                    <w14:schemeClr w14:val="tx1"/>
                  </w14:solidFill>
                </w14:textFill>
              </w:rPr>
            </w:pPr>
          </w:p>
        </w:tc>
        <w:tc>
          <w:tcPr>
            <w:tcW w:w="1748" w:type="dxa"/>
            <w:vMerge w:val="continue"/>
            <w:tcBorders>
              <w:top w:val="single" w:color="auto" w:sz="4" w:space="0"/>
              <w:left w:val="single" w:color="auto" w:sz="4" w:space="0"/>
              <w:bottom w:val="nil"/>
              <w:right w:val="single" w:color="auto" w:sz="4" w:space="0"/>
            </w:tcBorders>
            <w:vAlign w:val="center"/>
          </w:tcPr>
          <w:p w14:paraId="3B2641D3">
            <w:pPr>
              <w:widowControl/>
              <w:jc w:val="left"/>
              <w:rPr>
                <w:rFonts w:ascii="仿宋" w:hAnsi="仿宋" w:eastAsia="仿宋"/>
                <w:b/>
                <w:color w:val="000000" w:themeColor="text1"/>
                <w:sz w:val="24"/>
                <w:szCs w:val="24"/>
                <w14:textFill>
                  <w14:solidFill>
                    <w14:schemeClr w14:val="tx1"/>
                  </w14:solidFill>
                </w14:textFill>
              </w:rPr>
            </w:pPr>
          </w:p>
        </w:tc>
        <w:tc>
          <w:tcPr>
            <w:tcW w:w="1740" w:type="dxa"/>
            <w:vMerge w:val="continue"/>
            <w:tcBorders>
              <w:top w:val="single" w:color="auto" w:sz="4" w:space="0"/>
              <w:left w:val="single" w:color="auto" w:sz="4" w:space="0"/>
              <w:bottom w:val="nil"/>
              <w:right w:val="single" w:color="auto" w:sz="4" w:space="0"/>
            </w:tcBorders>
            <w:vAlign w:val="center"/>
          </w:tcPr>
          <w:p w14:paraId="1D574CE8">
            <w:pPr>
              <w:widowControl/>
              <w:jc w:val="left"/>
              <w:rPr>
                <w:rFonts w:ascii="仿宋" w:hAnsi="仿宋" w:eastAsia="仿宋"/>
                <w:b/>
                <w:color w:val="000000" w:themeColor="text1"/>
                <w:sz w:val="24"/>
                <w:szCs w:val="24"/>
                <w14:textFill>
                  <w14:solidFill>
                    <w14:schemeClr w14:val="tx1"/>
                  </w14:solidFill>
                </w14:textFill>
              </w:rPr>
            </w:pPr>
          </w:p>
        </w:tc>
        <w:tc>
          <w:tcPr>
            <w:tcW w:w="2043" w:type="dxa"/>
            <w:vMerge w:val="continue"/>
            <w:tcBorders>
              <w:top w:val="single" w:color="auto" w:sz="4" w:space="0"/>
              <w:left w:val="single" w:color="auto" w:sz="4" w:space="0"/>
              <w:bottom w:val="nil"/>
              <w:right w:val="single" w:color="auto" w:sz="4" w:space="0"/>
            </w:tcBorders>
            <w:vAlign w:val="center"/>
          </w:tcPr>
          <w:p w14:paraId="32A1EA7E">
            <w:pPr>
              <w:widowControl/>
              <w:jc w:val="left"/>
              <w:rPr>
                <w:rFonts w:ascii="仿宋" w:hAnsi="仿宋" w:eastAsia="仿宋"/>
                <w:b/>
                <w:color w:val="000000" w:themeColor="text1"/>
                <w:sz w:val="24"/>
                <w:szCs w:val="24"/>
                <w14:textFill>
                  <w14:solidFill>
                    <w14:schemeClr w14:val="tx1"/>
                  </w14:solidFill>
                </w14:textFill>
              </w:rPr>
            </w:pPr>
          </w:p>
        </w:tc>
      </w:tr>
      <w:tr w14:paraId="463AC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8D15E0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14:paraId="3916853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57D5263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705B026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vAlign w:val="center"/>
          </w:tcPr>
          <w:p w14:paraId="208236E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67DE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8B21B07">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575DB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4D35A87F">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vAlign w:val="center"/>
          </w:tcPr>
          <w:p w14:paraId="3622F32A">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4B28E898">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4072051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2F2B6B28">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72093D5C">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E776F43">
      <w:pPr>
        <w:snapToGrid w:val="0"/>
        <w:spacing w:line="360" w:lineRule="auto"/>
        <w:rPr>
          <w:rFonts w:ascii="仿宋" w:hAnsi="仿宋" w:eastAsia="仿宋"/>
          <w:color w:val="000000" w:themeColor="text1"/>
          <w:sz w:val="30"/>
          <w:szCs w:val="30"/>
          <w14:textFill>
            <w14:solidFill>
              <w14:schemeClr w14:val="tx1"/>
            </w14:solidFill>
          </w14:textFill>
        </w:rPr>
      </w:pPr>
    </w:p>
    <w:p w14:paraId="7BBF2EF9">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56FD6D1E">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71C5B5B1">
      <w:pPr>
        <w:pStyle w:val="13"/>
        <w:snapToGrid w:val="0"/>
        <w:spacing w:before="120" w:after="120" w:line="24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269078DF">
      <w:pPr>
        <w:pStyle w:val="13"/>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24EBAAB8">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DE178D2">
      <w:pPr>
        <w:snapToGrid w:val="0"/>
        <w:rPr>
          <w:rFonts w:ascii="仿宋" w:hAnsi="仿宋" w:eastAsia="仿宋"/>
          <w:color w:val="000000" w:themeColor="text1"/>
          <w:sz w:val="28"/>
          <w:szCs w:val="28"/>
          <w14:textFill>
            <w14:solidFill>
              <w14:schemeClr w14:val="tx1"/>
            </w14:solidFill>
          </w14:textFill>
        </w:rPr>
      </w:pPr>
    </w:p>
    <w:p w14:paraId="4279F126">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4CD5AD47">
      <w:pPr>
        <w:snapToGrid w:val="0"/>
        <w:rPr>
          <w:rFonts w:ascii="仿宋" w:hAnsi="仿宋" w:eastAsia="仿宋"/>
          <w:b/>
          <w:color w:val="000000" w:themeColor="text1"/>
          <w:sz w:val="24"/>
          <w:szCs w:val="24"/>
          <w:u w:val="single"/>
          <w14:textFill>
            <w14:solidFill>
              <w14:schemeClr w14:val="tx1"/>
            </w14:solidFill>
          </w14:textFill>
        </w:rPr>
      </w:pPr>
    </w:p>
    <w:tbl>
      <w:tblPr>
        <w:tblStyle w:val="19"/>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4F4C7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8BC977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工程类</w:t>
            </w:r>
          </w:p>
        </w:tc>
      </w:tr>
      <w:tr w14:paraId="70DB8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656A536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46A6CD5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vAlign w:val="center"/>
          </w:tcPr>
          <w:p w14:paraId="7A976FD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vAlign w:val="center"/>
          </w:tcPr>
          <w:p w14:paraId="08DF91C9">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vAlign w:val="center"/>
          </w:tcPr>
          <w:p w14:paraId="347712E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vAlign w:val="center"/>
          </w:tcPr>
          <w:p w14:paraId="2523C99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5151A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B6B6AC5">
            <w:pPr>
              <w:widowControl/>
              <w:jc w:val="left"/>
              <w:rPr>
                <w:rFonts w:ascii="仿宋" w:hAnsi="仿宋" w:eastAsia="仿宋"/>
                <w:b/>
                <w:color w:val="000000" w:themeColor="text1"/>
                <w:sz w:val="24"/>
                <w:szCs w:val="24"/>
                <w14:textFill>
                  <w14:solidFill>
                    <w14:schemeClr w14:val="tx1"/>
                  </w14:solidFill>
                </w14:textFill>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192DBD1A">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51DDA795">
            <w:pPr>
              <w:widowControl/>
              <w:jc w:val="left"/>
              <w:rPr>
                <w:rFonts w:ascii="仿宋" w:hAnsi="仿宋" w:eastAsia="仿宋"/>
                <w:b/>
                <w:color w:val="000000" w:themeColor="text1"/>
                <w:sz w:val="24"/>
                <w:szCs w:val="24"/>
                <w14:textFill>
                  <w14:solidFill>
                    <w14:schemeClr w14:val="tx1"/>
                  </w14:solidFill>
                </w14:textFill>
              </w:rPr>
            </w:pPr>
          </w:p>
        </w:tc>
        <w:tc>
          <w:tcPr>
            <w:tcW w:w="1560" w:type="dxa"/>
            <w:vMerge w:val="continue"/>
            <w:tcBorders>
              <w:top w:val="single" w:color="auto" w:sz="4" w:space="0"/>
              <w:left w:val="single" w:color="auto" w:sz="4" w:space="0"/>
              <w:bottom w:val="nil"/>
              <w:right w:val="single" w:color="auto" w:sz="4" w:space="0"/>
            </w:tcBorders>
            <w:vAlign w:val="center"/>
          </w:tcPr>
          <w:p w14:paraId="3E5F36E3">
            <w:pPr>
              <w:widowControl/>
              <w:jc w:val="left"/>
              <w:rPr>
                <w:rFonts w:ascii="仿宋" w:hAnsi="仿宋" w:eastAsia="仿宋"/>
                <w:b/>
                <w:color w:val="000000" w:themeColor="text1"/>
                <w:sz w:val="24"/>
                <w:szCs w:val="24"/>
                <w14:textFill>
                  <w14:solidFill>
                    <w14:schemeClr w14:val="tx1"/>
                  </w14:solidFill>
                </w14:textFill>
              </w:rPr>
            </w:pPr>
          </w:p>
        </w:tc>
        <w:tc>
          <w:tcPr>
            <w:tcW w:w="1710" w:type="dxa"/>
            <w:vMerge w:val="continue"/>
            <w:tcBorders>
              <w:top w:val="single" w:color="auto" w:sz="4" w:space="0"/>
              <w:left w:val="single" w:color="auto" w:sz="4" w:space="0"/>
              <w:bottom w:val="nil"/>
              <w:right w:val="single" w:color="auto" w:sz="4" w:space="0"/>
            </w:tcBorders>
            <w:vAlign w:val="center"/>
          </w:tcPr>
          <w:p w14:paraId="15357F34">
            <w:pPr>
              <w:widowControl/>
              <w:jc w:val="left"/>
              <w:rPr>
                <w:rFonts w:ascii="仿宋" w:hAnsi="仿宋" w:eastAsia="仿宋"/>
                <w:b/>
                <w:color w:val="000000" w:themeColor="text1"/>
                <w:sz w:val="24"/>
                <w:szCs w:val="24"/>
                <w14:textFill>
                  <w14:solidFill>
                    <w14:schemeClr w14:val="tx1"/>
                  </w14:solidFill>
                </w14:textFill>
              </w:rPr>
            </w:pPr>
          </w:p>
        </w:tc>
        <w:tc>
          <w:tcPr>
            <w:tcW w:w="1838" w:type="dxa"/>
            <w:vMerge w:val="continue"/>
            <w:tcBorders>
              <w:top w:val="single" w:color="auto" w:sz="4" w:space="0"/>
              <w:left w:val="single" w:color="auto" w:sz="4" w:space="0"/>
              <w:bottom w:val="nil"/>
              <w:right w:val="single" w:color="auto" w:sz="4" w:space="0"/>
            </w:tcBorders>
            <w:vAlign w:val="center"/>
          </w:tcPr>
          <w:p w14:paraId="68BCAA34">
            <w:pPr>
              <w:widowControl/>
              <w:jc w:val="left"/>
              <w:rPr>
                <w:rFonts w:ascii="仿宋" w:hAnsi="仿宋" w:eastAsia="仿宋"/>
                <w:b/>
                <w:color w:val="000000" w:themeColor="text1"/>
                <w:sz w:val="24"/>
                <w:szCs w:val="24"/>
                <w14:textFill>
                  <w14:solidFill>
                    <w14:schemeClr w14:val="tx1"/>
                  </w14:solidFill>
                </w14:textFill>
              </w:rPr>
            </w:pPr>
          </w:p>
        </w:tc>
      </w:tr>
      <w:tr w14:paraId="4D1A0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50BABD99">
            <w:pPr>
              <w:widowControl/>
              <w:jc w:val="left"/>
              <w:rPr>
                <w:rFonts w:ascii="仿宋" w:hAnsi="仿宋" w:eastAsia="仿宋"/>
                <w:b/>
                <w:color w:val="000000" w:themeColor="text1"/>
                <w:sz w:val="24"/>
                <w:szCs w:val="24"/>
                <w14:textFill>
                  <w14:solidFill>
                    <w14:schemeClr w14:val="tx1"/>
                  </w14:solidFill>
                </w14:textFill>
              </w:rPr>
            </w:pPr>
          </w:p>
        </w:tc>
        <w:tc>
          <w:tcPr>
            <w:tcW w:w="1332" w:type="dxa"/>
            <w:tcBorders>
              <w:top w:val="single" w:color="auto" w:sz="4" w:space="0"/>
              <w:left w:val="single" w:color="auto" w:sz="4" w:space="0"/>
              <w:bottom w:val="nil"/>
              <w:right w:val="single" w:color="auto" w:sz="4" w:space="0"/>
            </w:tcBorders>
            <w:vAlign w:val="center"/>
          </w:tcPr>
          <w:p w14:paraId="0313A94C">
            <w:pPr>
              <w:widowControl/>
              <w:jc w:val="left"/>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nil"/>
              <w:right w:val="single" w:color="auto" w:sz="4" w:space="0"/>
            </w:tcBorders>
            <w:vAlign w:val="center"/>
          </w:tcPr>
          <w:p w14:paraId="0D5CAF20">
            <w:pPr>
              <w:widowControl/>
              <w:jc w:val="left"/>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nil"/>
              <w:right w:val="single" w:color="auto" w:sz="4" w:space="0"/>
            </w:tcBorders>
            <w:vAlign w:val="center"/>
          </w:tcPr>
          <w:p w14:paraId="6FD42EA6">
            <w:pPr>
              <w:widowControl/>
              <w:jc w:val="left"/>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nil"/>
              <w:right w:val="single" w:color="auto" w:sz="4" w:space="0"/>
            </w:tcBorders>
            <w:vAlign w:val="center"/>
          </w:tcPr>
          <w:p w14:paraId="145910A9">
            <w:pPr>
              <w:widowControl/>
              <w:jc w:val="left"/>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nil"/>
              <w:right w:val="single" w:color="auto" w:sz="4" w:space="0"/>
            </w:tcBorders>
            <w:vAlign w:val="center"/>
          </w:tcPr>
          <w:p w14:paraId="4B993F0E">
            <w:pPr>
              <w:widowControl/>
              <w:jc w:val="left"/>
              <w:rPr>
                <w:rFonts w:ascii="仿宋" w:hAnsi="仿宋" w:eastAsia="仿宋"/>
                <w:b/>
                <w:color w:val="000000" w:themeColor="text1"/>
                <w:sz w:val="24"/>
                <w:szCs w:val="24"/>
                <w14:textFill>
                  <w14:solidFill>
                    <w14:schemeClr w14:val="tx1"/>
                  </w14:solidFill>
                </w14:textFill>
              </w:rPr>
            </w:pPr>
          </w:p>
        </w:tc>
      </w:tr>
      <w:tr w14:paraId="69EF3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CEC4BB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14:paraId="31654A5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269B63F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780E3D02">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14:paraId="0C64A93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vAlign w:val="center"/>
          </w:tcPr>
          <w:p w14:paraId="21F5B57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6DF51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43BD71D">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投标总价合计金额大写：小写：￥</w:t>
            </w:r>
          </w:p>
        </w:tc>
      </w:tr>
      <w:tr w14:paraId="65767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50A5F41B">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vAlign w:val="center"/>
          </w:tcPr>
          <w:p w14:paraId="1A33EDCE">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6BE17974">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32EAFDB1">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1E10A09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541B5116">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3DB373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3A82F296">
      <w:pPr>
        <w:widowControl/>
        <w:tabs>
          <w:tab w:val="center" w:pos="4755"/>
          <w:tab w:val="right" w:pos="9070"/>
        </w:tabs>
        <w:jc w:val="left"/>
        <w:rPr>
          <w:rFonts w:ascii="宋体" w:cs="Arial"/>
          <w:color w:val="000000" w:themeColor="text1"/>
          <w:kern w:val="0"/>
          <w:sz w:val="18"/>
          <w:szCs w:val="18"/>
          <w14:textFill>
            <w14:solidFill>
              <w14:schemeClr w14:val="tx1"/>
            </w14:solidFill>
          </w14:textFill>
        </w:rPr>
      </w:pPr>
    </w:p>
    <w:p w14:paraId="4335D9C7">
      <w:pPr>
        <w:pStyle w:val="17"/>
        <w:spacing w:after="120"/>
        <w:rPr>
          <w:color w:val="000000" w:themeColor="text1"/>
          <w14:textFill>
            <w14:solidFill>
              <w14:schemeClr w14:val="tx1"/>
            </w14:solidFill>
          </w14:textFill>
        </w:rPr>
      </w:pPr>
    </w:p>
    <w:p w14:paraId="3CD1B9AC">
      <w:pPr>
        <w:rPr>
          <w:color w:val="000000" w:themeColor="text1"/>
          <w14:textFill>
            <w14:solidFill>
              <w14:schemeClr w14:val="tx1"/>
            </w14:solidFill>
          </w14:textFill>
        </w:rPr>
      </w:pPr>
    </w:p>
    <w:p w14:paraId="61CCBFA4">
      <w:pPr>
        <w:snapToGrid w:val="0"/>
        <w:spacing w:line="360" w:lineRule="auto"/>
        <w:rPr>
          <w:rFonts w:ascii="仿宋" w:hAnsi="仿宋" w:eastAsia="仿宋"/>
          <w:color w:val="000000" w:themeColor="text1"/>
          <w:sz w:val="30"/>
          <w:szCs w:val="30"/>
          <w14:textFill>
            <w14:solidFill>
              <w14:schemeClr w14:val="tx1"/>
            </w14:solidFill>
          </w14:textFill>
        </w:rPr>
      </w:pPr>
    </w:p>
    <w:p w14:paraId="45D2C398">
      <w:pPr>
        <w:snapToGrid w:val="0"/>
        <w:spacing w:line="360" w:lineRule="auto"/>
        <w:rPr>
          <w:rFonts w:ascii="仿宋" w:hAnsi="仿宋" w:eastAsia="仿宋"/>
          <w:color w:val="000000" w:themeColor="text1"/>
          <w:sz w:val="30"/>
          <w:szCs w:val="30"/>
          <w14:textFill>
            <w14:solidFill>
              <w14:schemeClr w14:val="tx1"/>
            </w14:solidFill>
          </w14:textFill>
        </w:rPr>
      </w:pPr>
    </w:p>
    <w:p w14:paraId="319A6780">
      <w:pPr>
        <w:snapToGrid w:val="0"/>
        <w:spacing w:line="360" w:lineRule="auto"/>
        <w:rPr>
          <w:rFonts w:ascii="仿宋" w:hAnsi="仿宋" w:eastAsia="仿宋"/>
          <w:color w:val="000000" w:themeColor="text1"/>
          <w:sz w:val="30"/>
          <w:szCs w:val="30"/>
          <w14:textFill>
            <w14:solidFill>
              <w14:schemeClr w14:val="tx1"/>
            </w14:solidFill>
          </w14:textFill>
        </w:rPr>
      </w:pPr>
    </w:p>
    <w:p w14:paraId="3D3DC25E">
      <w:pPr>
        <w:rPr>
          <w:color w:val="000000" w:themeColor="text1"/>
          <w14:textFill>
            <w14:solidFill>
              <w14:schemeClr w14:val="tx1"/>
            </w14:solidFill>
          </w14:textFill>
        </w:rPr>
      </w:pPr>
    </w:p>
    <w:p w14:paraId="1F8E93E1">
      <w:pPr>
        <w:rPr>
          <w:color w:val="000000" w:themeColor="text1"/>
          <w14:textFill>
            <w14:solidFill>
              <w14:schemeClr w14:val="tx1"/>
            </w14:solidFill>
          </w14:textFill>
        </w:rPr>
      </w:pPr>
    </w:p>
    <w:p w14:paraId="1E380C87">
      <w:pPr>
        <w:rPr>
          <w:color w:val="000000" w:themeColor="text1"/>
          <w14:textFill>
            <w14:solidFill>
              <w14:schemeClr w14:val="tx1"/>
            </w14:solidFill>
          </w14:textFill>
        </w:rPr>
      </w:pPr>
    </w:p>
    <w:p w14:paraId="792653F9">
      <w:pPr>
        <w:rPr>
          <w:color w:val="000000" w:themeColor="text1"/>
          <w14:textFill>
            <w14:solidFill>
              <w14:schemeClr w14:val="tx1"/>
            </w14:solidFill>
          </w14:textFill>
        </w:rPr>
      </w:pPr>
    </w:p>
    <w:p w14:paraId="39A1B88C">
      <w:pPr>
        <w:snapToGrid w:val="0"/>
        <w:spacing w:before="50" w:after="50"/>
        <w:jc w:val="left"/>
        <w:rPr>
          <w:rFonts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16</w:t>
      </w:r>
      <w:r>
        <w:rPr>
          <w:rFonts w:hint="eastAsia" w:ascii="仿宋" w:hAnsi="仿宋" w:eastAsia="仿宋"/>
          <w:sz w:val="30"/>
          <w:szCs w:val="30"/>
        </w:rPr>
        <w:t>：</w:t>
      </w:r>
    </w:p>
    <w:p w14:paraId="0EB8A746">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14:paraId="5847C36F">
      <w:pPr>
        <w:snapToGrid w:val="0"/>
        <w:spacing w:line="360" w:lineRule="auto"/>
        <w:rPr>
          <w:rFonts w:ascii="仿宋" w:hAnsi="仿宋" w:eastAsia="仿宋"/>
          <w:sz w:val="28"/>
          <w:szCs w:val="28"/>
        </w:rPr>
      </w:pPr>
    </w:p>
    <w:p w14:paraId="4C8A784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6C34606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301CA33B">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41772328">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396C6592">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55BB98A3">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16133EB0">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63EF095C">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5EA155CA">
      <w:pPr>
        <w:pStyle w:val="13"/>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5C060927">
      <w:pPr>
        <w:snapToGrid w:val="0"/>
        <w:spacing w:line="360" w:lineRule="auto"/>
        <w:jc w:val="right"/>
        <w:rPr>
          <w:rFonts w:ascii="仿宋" w:hAnsi="仿宋" w:eastAsia="仿宋"/>
          <w:sz w:val="28"/>
          <w:szCs w:val="28"/>
        </w:rPr>
      </w:pPr>
    </w:p>
    <w:p w14:paraId="53A3AFD0">
      <w:pPr>
        <w:widowControl/>
        <w:jc w:val="left"/>
        <w:rPr>
          <w:rFonts w:ascii="仿宋" w:hAnsi="仿宋" w:eastAsia="仿宋"/>
          <w:b/>
          <w:sz w:val="36"/>
          <w:szCs w:val="36"/>
        </w:rPr>
      </w:pPr>
      <w:r>
        <w:rPr>
          <w:rFonts w:hint="eastAsia" w:ascii="仿宋" w:hAnsi="仿宋" w:eastAsia="仿宋"/>
          <w:b/>
          <w:kern w:val="0"/>
          <w:sz w:val="36"/>
          <w:szCs w:val="36"/>
        </w:rPr>
        <w:br w:type="page"/>
      </w:r>
    </w:p>
    <w:p w14:paraId="230D3AC3">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3D418A6E">
      <w:pPr>
        <w:snapToGrid w:val="0"/>
        <w:spacing w:line="312" w:lineRule="auto"/>
        <w:ind w:firstLine="560" w:firstLineChars="200"/>
        <w:rPr>
          <w:rFonts w:ascii="仿宋" w:hAnsi="仿宋" w:eastAsia="仿宋"/>
          <w:sz w:val="28"/>
          <w:szCs w:val="28"/>
        </w:rPr>
      </w:pPr>
    </w:p>
    <w:p w14:paraId="515C0B4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46BD5E52">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3223608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790BE74D">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135BFD67">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13F583B2">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4D016C54">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526A50DF">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2D353130">
      <w:pPr>
        <w:pStyle w:val="13"/>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686E16CD">
      <w:pPr>
        <w:widowControl/>
        <w:jc w:val="left"/>
        <w:rPr>
          <w:rFonts w:ascii="仿宋" w:hAnsi="仿宋" w:eastAsia="仿宋"/>
          <w:sz w:val="28"/>
          <w:szCs w:val="28"/>
        </w:rPr>
      </w:pPr>
      <w:r>
        <w:rPr>
          <w:rFonts w:ascii="仿宋" w:hAnsi="仿宋" w:eastAsia="仿宋"/>
          <w:sz w:val="28"/>
          <w:szCs w:val="28"/>
        </w:rPr>
        <w:br w:type="page"/>
      </w:r>
    </w:p>
    <w:p w14:paraId="77D757D1">
      <w:pPr>
        <w:widowControl/>
        <w:jc w:val="left"/>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14:paraId="61D1A1A8">
      <w:pPr>
        <w:jc w:val="left"/>
        <w:rPr>
          <w:rFonts w:ascii="仿宋" w:hAnsi="仿宋" w:eastAsia="仿宋"/>
        </w:rPr>
      </w:pPr>
      <w:r>
        <w:rPr>
          <w:rFonts w:hint="eastAsia" w:ascii="仿宋" w:hAnsi="仿宋" w:eastAsia="仿宋"/>
          <w:sz w:val="30"/>
          <w:szCs w:val="30"/>
        </w:rPr>
        <w:t>附件</w:t>
      </w:r>
      <w:r>
        <w:rPr>
          <w:rFonts w:hint="eastAsia" w:ascii="仿宋" w:hAnsi="仿宋" w:eastAsia="仿宋"/>
          <w:sz w:val="30"/>
          <w:szCs w:val="30"/>
          <w:lang w:val="en-US" w:eastAsia="zh-CN"/>
        </w:rPr>
        <w:t>17</w:t>
      </w:r>
      <w:r>
        <w:rPr>
          <w:rFonts w:hint="eastAsia" w:ascii="仿宋" w:hAnsi="仿宋" w:eastAsia="仿宋"/>
          <w:sz w:val="30"/>
          <w:szCs w:val="30"/>
        </w:rPr>
        <w:t>：</w:t>
      </w:r>
    </w:p>
    <w:p w14:paraId="05DB358B">
      <w:pPr>
        <w:rPr>
          <w:rFonts w:ascii="仿宋" w:hAnsi="仿宋" w:eastAsia="仿宋"/>
        </w:rPr>
      </w:pPr>
    </w:p>
    <w:p w14:paraId="0820448D">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45E1C333">
      <w:pPr>
        <w:spacing w:line="588" w:lineRule="exact"/>
        <w:rPr>
          <w:rFonts w:ascii="仿宋_GB2312" w:eastAsia="仿宋_GB2312"/>
          <w:b/>
          <w:spacing w:val="6"/>
          <w:sz w:val="30"/>
          <w:szCs w:val="30"/>
        </w:rPr>
      </w:pPr>
    </w:p>
    <w:p w14:paraId="20C381EA">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925E660">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5095BB59">
      <w:pPr>
        <w:snapToGrid w:val="0"/>
        <w:spacing w:line="360" w:lineRule="auto"/>
        <w:ind w:firstLine="560" w:firstLineChars="200"/>
        <w:rPr>
          <w:rFonts w:ascii="仿宋" w:hAnsi="仿宋" w:eastAsia="仿宋"/>
          <w:sz w:val="28"/>
          <w:szCs w:val="28"/>
        </w:rPr>
      </w:pPr>
    </w:p>
    <w:p w14:paraId="1F26A286">
      <w:pPr>
        <w:spacing w:line="588" w:lineRule="exact"/>
        <w:ind w:firstLine="624" w:firstLineChars="200"/>
        <w:rPr>
          <w:rFonts w:ascii="仿宋_GB2312" w:eastAsia="仿宋_GB2312"/>
          <w:spacing w:val="6"/>
          <w:sz w:val="30"/>
          <w:szCs w:val="30"/>
        </w:rPr>
      </w:pPr>
    </w:p>
    <w:p w14:paraId="31F5EF7F">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7A8095DC">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2BAC40C6">
      <w:pPr>
        <w:wordWrap w:val="0"/>
        <w:snapToGrid w:val="0"/>
        <w:spacing w:line="360" w:lineRule="auto"/>
        <w:ind w:firstLine="560" w:firstLineChars="200"/>
        <w:jc w:val="right"/>
        <w:rPr>
          <w:rFonts w:ascii="仿宋" w:hAnsi="仿宋" w:eastAsia="仿宋"/>
          <w:color w:val="000000" w:themeColor="text1"/>
          <w:sz w:val="28"/>
          <w:szCs w:val="28"/>
          <w:u w:val="single"/>
          <w14:textFill>
            <w14:solidFill>
              <w14:schemeClr w14:val="tx1"/>
            </w14:solidFill>
          </w14:textFill>
        </w:rPr>
      </w:pPr>
    </w:p>
    <w:p w14:paraId="794CC7C1">
      <w:pPr>
        <w:rPr>
          <w:color w:val="000000" w:themeColor="text1"/>
          <w14:textFill>
            <w14:solidFill>
              <w14:schemeClr w14:val="tx1"/>
            </w14:solidFill>
          </w14:textFill>
        </w:rPr>
      </w:pPr>
    </w:p>
    <w:p w14:paraId="1012AA86">
      <w:pPr>
        <w:rPr>
          <w:color w:val="000000" w:themeColor="text1"/>
          <w14:textFill>
            <w14:solidFill>
              <w14:schemeClr w14:val="tx1"/>
            </w14:solidFill>
          </w14:textFill>
        </w:rPr>
      </w:pPr>
    </w:p>
    <w:p w14:paraId="4B0B17C4">
      <w:pPr>
        <w:widowControl/>
        <w:jc w:val="left"/>
        <w:rPr>
          <w:rFonts w:ascii="仿宋" w:hAnsi="仿宋" w:eastAsia="仿宋"/>
          <w:color w:val="000000" w:themeColor="text1"/>
          <w:sz w:val="30"/>
          <w:szCs w:val="30"/>
          <w14:textFill>
            <w14:solidFill>
              <w14:schemeClr w14:val="tx1"/>
            </w14:solidFill>
          </w14:textFill>
        </w:rPr>
      </w:pPr>
    </w:p>
    <w:p w14:paraId="7F27F82F">
      <w:pPr>
        <w:widowControl/>
        <w:jc w:val="left"/>
      </w:pPr>
    </w:p>
    <w:p w14:paraId="535476F4"/>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utura Lt">
    <w:altName w:val="Courier New"/>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303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17A22">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B17A22">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EB7E">
    <w:pPr>
      <w:pStyle w:val="15"/>
      <w:framePr w:wrap="around" w:vAnchor="text" w:hAnchor="margin" w:xAlign="outside" w:y="1"/>
      <w:rPr>
        <w:rStyle w:val="22"/>
        <w:rFonts w:ascii="宋体" w:hAnsi="宋体"/>
        <w:sz w:val="28"/>
        <w:szCs w:val="28"/>
      </w:rPr>
    </w:pPr>
    <w:r>
      <w:rPr>
        <w:rStyle w:val="22"/>
        <w:rFonts w:hint="eastAsia"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66</w:t>
    </w:r>
    <w:r>
      <w:rPr>
        <w:rFonts w:ascii="宋体" w:hAnsi="宋体"/>
        <w:sz w:val="28"/>
        <w:szCs w:val="28"/>
      </w:rPr>
      <w:fldChar w:fldCharType="end"/>
    </w:r>
    <w:r>
      <w:rPr>
        <w:rStyle w:val="22"/>
        <w:rFonts w:hint="eastAsia" w:ascii="宋体" w:hAnsi="宋体"/>
        <w:sz w:val="28"/>
        <w:szCs w:val="28"/>
      </w:rPr>
      <w:t xml:space="preserve"> —</w:t>
    </w:r>
  </w:p>
  <w:p w14:paraId="63E60F4F">
    <w:pPr>
      <w:pStyle w:val="15"/>
      <w:ind w:right="720" w:firstLine="180" w:firstLineChars="100"/>
      <w:jc w:val="center"/>
    </w:pPr>
  </w:p>
  <w:p w14:paraId="063980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pStyle w:val="15"/>
      <w:framePr w:wrap="around" w:vAnchor="text" w:hAnchor="margin" w:xAlign="outside" w:y="1"/>
      <w:rPr>
        <w:rStyle w:val="22"/>
      </w:rPr>
    </w:pPr>
    <w:r>
      <w:fldChar w:fldCharType="begin"/>
    </w:r>
    <w:r>
      <w:rPr>
        <w:rStyle w:val="22"/>
      </w:rPr>
      <w:instrText xml:space="preserve">PAGE  </w:instrText>
    </w:r>
    <w:r>
      <w:fldChar w:fldCharType="end"/>
    </w:r>
  </w:p>
  <w:p w14:paraId="29A3214B">
    <w:pPr>
      <w:pStyle w:val="15"/>
      <w:ind w:right="360" w:firstLine="360"/>
    </w:pPr>
  </w:p>
  <w:p w14:paraId="743790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Pr>
      <w:pStyle w:val="31"/>
    </w:pPr>
  </w:p>
  <w:p w14:paraId="36B613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DACE5"/>
    <w:multiLevelType w:val="singleLevel"/>
    <w:tmpl w:val="821DACE5"/>
    <w:lvl w:ilvl="0" w:tentative="0">
      <w:start w:val="1"/>
      <w:numFmt w:val="decimal"/>
      <w:pStyle w:val="4"/>
      <w:lvlText w:val="%1."/>
      <w:lvlJc w:val="left"/>
      <w:pPr>
        <w:tabs>
          <w:tab w:val="left" w:pos="360"/>
        </w:tabs>
        <w:ind w:left="360" w:hanging="360"/>
      </w:pPr>
    </w:lvl>
  </w:abstractNum>
  <w:abstractNum w:abstractNumId="1">
    <w:nsid w:val="CDD50AA0"/>
    <w:multiLevelType w:val="singleLevel"/>
    <w:tmpl w:val="CDD50AA0"/>
    <w:lvl w:ilvl="0" w:tentative="0">
      <w:start w:val="1"/>
      <w:numFmt w:val="chineseCounting"/>
      <w:suff w:val="nothing"/>
      <w:lvlText w:val="%1、"/>
      <w:lvlJc w:val="left"/>
      <w:rPr>
        <w:rFonts w:hint="eastAsia"/>
      </w:rPr>
    </w:lvl>
  </w:abstractNum>
  <w:abstractNum w:abstractNumId="2">
    <w:nsid w:val="36E406B1"/>
    <w:multiLevelType w:val="multilevel"/>
    <w:tmpl w:val="36E40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2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04311D"/>
    <w:multiLevelType w:val="singleLevel"/>
    <w:tmpl w:val="5E04311D"/>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4">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709A0"/>
    <w:rsid w:val="0480744E"/>
    <w:rsid w:val="060A50C6"/>
    <w:rsid w:val="08704CD8"/>
    <w:rsid w:val="0BF709A0"/>
    <w:rsid w:val="0D117080"/>
    <w:rsid w:val="0F8C4C93"/>
    <w:rsid w:val="16FA71EA"/>
    <w:rsid w:val="1BAB6D68"/>
    <w:rsid w:val="21C17CAB"/>
    <w:rsid w:val="23A60B3A"/>
    <w:rsid w:val="2A5717BD"/>
    <w:rsid w:val="44AB3625"/>
    <w:rsid w:val="45783CFA"/>
    <w:rsid w:val="477977F5"/>
    <w:rsid w:val="48F553D0"/>
    <w:rsid w:val="4CF3052B"/>
    <w:rsid w:val="4E1F72B4"/>
    <w:rsid w:val="61EF6944"/>
    <w:rsid w:val="6869125A"/>
    <w:rsid w:val="6A613480"/>
    <w:rsid w:val="72C25050"/>
    <w:rsid w:val="778C4EC5"/>
    <w:rsid w:val="79F268B8"/>
    <w:rsid w:val="7C3D6149"/>
    <w:rsid w:val="7F8B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sz w:val="20"/>
      <w:szCs w:val="20"/>
    </w:rPr>
  </w:style>
  <w:style w:type="paragraph" w:styleId="7">
    <w:name w:val="annotation text"/>
    <w:basedOn w:val="1"/>
    <w:qFormat/>
    <w:uiPriority w:val="0"/>
    <w:pPr>
      <w:jc w:val="left"/>
    </w:pPr>
  </w:style>
  <w:style w:type="paragraph" w:styleId="8">
    <w:name w:val="Body Text 3"/>
    <w:basedOn w:val="1"/>
    <w:qFormat/>
    <w:uiPriority w:val="0"/>
    <w:pPr>
      <w:snapToGrid w:val="0"/>
      <w:spacing w:before="50" w:after="50"/>
    </w:pPr>
    <w:rPr>
      <w:rFonts w:ascii="Times New Roman" w:hAnsi="宋体" w:eastAsia="仿宋_GB2312"/>
      <w:b/>
      <w:bCs/>
      <w:sz w:val="24"/>
      <w:szCs w:val="20"/>
    </w:rPr>
  </w:style>
  <w:style w:type="paragraph" w:styleId="9">
    <w:name w:val="Body Text"/>
    <w:basedOn w:val="1"/>
    <w:qFormat/>
    <w:uiPriority w:val="99"/>
    <w:pPr>
      <w:spacing w:after="120"/>
    </w:pPr>
    <w:rPr>
      <w:sz w:val="28"/>
    </w:rPr>
  </w:style>
  <w:style w:type="paragraph" w:styleId="10">
    <w:name w:val="Body Text Indent"/>
    <w:basedOn w:val="1"/>
    <w:next w:val="11"/>
    <w:qFormat/>
    <w:uiPriority w:val="0"/>
    <w:pPr>
      <w:spacing w:line="200" w:lineRule="exact"/>
      <w:ind w:firstLine="301"/>
    </w:pPr>
    <w:rPr>
      <w:rFonts w:ascii="宋体" w:hAnsi="Courier New"/>
      <w:spacing w:val="-4"/>
      <w:sz w:val="18"/>
      <w:szCs w:val="20"/>
    </w:rPr>
  </w:style>
  <w:style w:type="paragraph" w:styleId="11">
    <w:name w:val="Body Text First Indent 2"/>
    <w:basedOn w:val="10"/>
    <w:qFormat/>
    <w:uiPriority w:val="0"/>
    <w:pPr>
      <w:spacing w:after="120" w:line="240" w:lineRule="auto"/>
      <w:ind w:left="420" w:leftChars="200" w:firstLine="420" w:firstLineChars="200"/>
    </w:pPr>
    <w:rPr>
      <w:rFonts w:ascii="Times New Roman" w:hAnsi="Times New Roman"/>
      <w:spacing w:val="0"/>
      <w:sz w:val="21"/>
    </w:rPr>
  </w:style>
  <w:style w:type="paragraph" w:styleId="12">
    <w:name w:val="List Bullet 2"/>
    <w:basedOn w:val="1"/>
    <w:qFormat/>
    <w:uiPriority w:val="0"/>
    <w:pPr>
      <w:numPr>
        <w:ilvl w:val="0"/>
        <w:numId w:val="2"/>
      </w:numPr>
    </w:pPr>
  </w:style>
  <w:style w:type="paragraph" w:styleId="13">
    <w:name w:val="Plain Text"/>
    <w:basedOn w:val="1"/>
    <w:qFormat/>
    <w:uiPriority w:val="0"/>
    <w:pPr>
      <w:spacing w:beforeLines="50" w:afterLines="50" w:line="400" w:lineRule="exact"/>
    </w:pPr>
    <w:rPr>
      <w:rFonts w:ascii="宋体" w:hAnsi="Courier New"/>
      <w:sz w:val="24"/>
      <w:szCs w:val="24"/>
    </w:rPr>
  </w:style>
  <w:style w:type="paragraph" w:styleId="14">
    <w:name w:val="Date"/>
    <w:basedOn w:val="1"/>
    <w:next w:val="1"/>
    <w:qFormat/>
    <w:uiPriority w:val="0"/>
    <w:pPr>
      <w:ind w:left="2500" w:leftChars="2500"/>
    </w:pPr>
    <w:rPr>
      <w:rFonts w:eastAsia="楷体_GB2312"/>
      <w:sz w:val="32"/>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qFormat/>
    <w:uiPriority w:val="0"/>
    <w:rPr>
      <w:rFonts w:ascii="Arial" w:hAnsi="Arial" w:cs="Times New Roman"/>
    </w:rPr>
  </w:style>
  <w:style w:type="paragraph" w:styleId="17">
    <w:name w:val="toc 1"/>
    <w:basedOn w:val="1"/>
    <w:next w:val="1"/>
    <w:qFormat/>
    <w:uiPriority w:val="0"/>
    <w:pPr>
      <w:spacing w:before="240" w:after="240"/>
    </w:pPr>
    <w:rPr>
      <w:rFonts w:ascii="Times New Roman" w:hAnsi="Times New Roman" w:eastAsia="仿宋"/>
      <w:sz w:val="36"/>
      <w:szCs w:val="24"/>
    </w:rPr>
  </w:style>
  <w:style w:type="paragraph" w:styleId="18">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paragraph" w:customStyle="1" w:styleId="24">
    <w:name w:val="首行缩进"/>
    <w:basedOn w:val="1"/>
    <w:qFormat/>
    <w:uiPriority w:val="99"/>
    <w:pPr>
      <w:widowControl/>
      <w:numPr>
        <w:ilvl w:val="6"/>
        <w:numId w:val="3"/>
      </w:numPr>
      <w:tabs>
        <w:tab w:val="left" w:pos="822"/>
      </w:tabs>
      <w:snapToGrid w:val="0"/>
      <w:spacing w:before="40" w:after="40" w:line="300" w:lineRule="atLeast"/>
    </w:pPr>
    <w:rPr>
      <w:rFonts w:ascii="Arial" w:hAnsi="Arial"/>
      <w:kern w:val="0"/>
      <w:szCs w:val="20"/>
    </w:rPr>
  </w:style>
  <w:style w:type="paragraph" w:customStyle="1" w:styleId="25">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table" w:customStyle="1" w:styleId="26">
    <w:name w:val="网格型2"/>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0"/>
    <w:pPr>
      <w:ind w:firstLine="420" w:firstLineChars="200"/>
    </w:pPr>
    <w:rPr>
      <w:rFonts w:asciiTheme="minorHAnsi" w:hAnsiTheme="minorHAnsi" w:eastAsiaTheme="minorEastAsia" w:cstheme="minorBidi"/>
    </w:rPr>
  </w:style>
  <w:style w:type="character" w:customStyle="1" w:styleId="28">
    <w:name w:val="heading 2 Char"/>
    <w:basedOn w:val="21"/>
    <w:link w:val="3"/>
    <w:qFormat/>
    <w:uiPriority w:val="0"/>
    <w:rPr>
      <w:rFonts w:ascii="Arial" w:hAnsi="Arial" w:eastAsia="黑体"/>
      <w:b/>
      <w:bCs/>
      <w:sz w:val="32"/>
      <w:szCs w:val="32"/>
    </w:rPr>
  </w:style>
  <w:style w:type="paragraph" w:customStyle="1" w:styleId="29">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30">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31">
    <w:name w:val="*Body Text"/>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32">
    <w:name w:val="标题 2 字符"/>
    <w:basedOn w:val="21"/>
    <w:link w:val="3"/>
    <w:qFormat/>
    <w:uiPriority w:val="0"/>
    <w:rPr>
      <w:rFonts w:ascii="Arial" w:hAnsi="Arial" w:eastAsia="黑体"/>
      <w:b/>
      <w:bCs/>
      <w:sz w:val="32"/>
      <w:szCs w:val="32"/>
    </w:rPr>
  </w:style>
  <w:style w:type="paragraph" w:customStyle="1" w:styleId="33">
    <w:name w:val="[Normal]"/>
    <w:basedOn w:val="1"/>
    <w:qFormat/>
    <w:uiPriority w:val="0"/>
    <w:pPr>
      <w:keepNext w:val="0"/>
      <w:keepLines w:val="0"/>
      <w:widowControl w:val="0"/>
      <w:suppressLineNumbers w:val="0"/>
      <w:autoSpaceDE w:val="0"/>
      <w:autoSpaceDN w:val="0"/>
      <w:adjustRightInd w:val="0"/>
      <w:spacing w:before="0" w:beforeAutospacing="0" w:after="160" w:afterAutospacing="0" w:line="276" w:lineRule="auto"/>
      <w:ind w:left="0" w:right="0"/>
      <w:jc w:val="left"/>
    </w:pPr>
    <w:rPr>
      <w:rFonts w:hint="eastAsia" w:ascii="宋体" w:hAnsi="宋体" w:eastAsia="仿宋_GB2312" w:cs="宋体"/>
      <w:kern w:val="0"/>
      <w:sz w:val="28"/>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8590</Words>
  <Characters>9578</Characters>
  <Lines>0</Lines>
  <Paragraphs>0</Paragraphs>
  <TotalTime>0</TotalTime>
  <ScaleCrop>false</ScaleCrop>
  <LinksUpToDate>false</LinksUpToDate>
  <CharactersWithSpaces>9654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2025-07-25T08:10:00Z</dcterms:created>
  <dc:creator>杜憨憨</dc:creator>
  <cp:lastModifiedBy>杜憨憨</cp:lastModifiedBy>
  <dcterms:modified xsi:type="dcterms:W3CDTF">2026-04-02T06:51:51Z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65D3CBA0349C480584926F2C314F2886_13</vt:lpwstr>
  </property>
  <property fmtid="{D5CDD505-2E9C-101B-9397-08002B2CF9AE}" pid="4" name="KSOTemplateDocerSaveRecord">
    <vt:lpwstr>eyJoZGlkIjoiOWU3YzQ0Y2FmOWY4ZDNiNGZlY2QxMWMwYjcyM2MxNWQiLCJ1c2VySWQiOiI3NTY1NTk4MTkifQ==</vt:lpwstr>
  </property>
</Properties>
</file>