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37A52B">
      <w:pPr>
        <w:rPr>
          <w:rFonts w:hint="eastAsia" w:ascii="黑体" w:hAnsi="黑体" w:eastAsia="黑体"/>
          <w:color w:val="auto"/>
          <w:sz w:val="32"/>
          <w:szCs w:val="32"/>
          <w:highlight w:val="none"/>
          <w:lang w:eastAsia="zh-CN"/>
        </w:rPr>
      </w:pPr>
    </w:p>
    <w:p w14:paraId="06C72DAE">
      <w:pPr>
        <w:jc w:val="center"/>
        <w:rPr>
          <w:rFonts w:hint="eastAsia" w:ascii="黑体" w:hAnsi="黑体" w:eastAsia="黑体"/>
          <w:color w:val="auto"/>
          <w:spacing w:val="5760"/>
          <w:w w:val="100"/>
          <w:kern w:val="0"/>
          <w:sz w:val="36"/>
          <w:szCs w:val="36"/>
          <w:highlight w:val="none"/>
          <w:fitText w:val="6120" w:id="-1002138880"/>
          <w:lang w:val="en-US" w:eastAsia="zh-CN"/>
        </w:rPr>
      </w:pPr>
    </w:p>
    <w:p w14:paraId="7757DFAA">
      <w:pPr>
        <w:spacing w:line="240" w:lineRule="auto"/>
        <w:jc w:val="center"/>
        <w:rPr>
          <w:rFonts w:hint="eastAsia" w:ascii="黑体" w:hAnsi="黑体" w:eastAsia="黑体"/>
          <w:color w:val="0000FF"/>
          <w:sz w:val="96"/>
          <w:szCs w:val="96"/>
          <w:highlight w:val="none"/>
          <w:lang w:val="en-US" w:eastAsia="zh-CN"/>
        </w:rPr>
      </w:pPr>
      <w:r>
        <w:rPr>
          <w:rFonts w:hint="eastAsia" w:ascii="黑体" w:hAnsi="黑体" w:eastAsia="黑体"/>
          <w:color w:val="auto"/>
          <w:sz w:val="96"/>
          <w:szCs w:val="96"/>
          <w:highlight w:val="none"/>
          <w:lang w:val="en-US" w:eastAsia="zh-CN"/>
        </w:rPr>
        <w:t>公开招标文件</w:t>
      </w:r>
    </w:p>
    <w:p w14:paraId="3F2240D2">
      <w:pPr>
        <w:spacing w:line="240" w:lineRule="auto"/>
        <w:jc w:val="center"/>
        <w:rPr>
          <w:rFonts w:hint="eastAsia" w:ascii="黑体" w:hAnsi="黑体" w:eastAsia="黑体"/>
          <w:color w:val="auto"/>
          <w:sz w:val="44"/>
          <w:szCs w:val="44"/>
          <w:highlight w:val="none"/>
          <w:lang w:val="en-US" w:eastAsia="zh-CN"/>
        </w:rPr>
      </w:pPr>
    </w:p>
    <w:p w14:paraId="5947617D">
      <w:pPr>
        <w:spacing w:line="240" w:lineRule="auto"/>
        <w:jc w:val="center"/>
        <w:rPr>
          <w:rFonts w:hint="default" w:ascii="黑体" w:hAnsi="黑体" w:eastAsia="黑体"/>
          <w:color w:val="auto"/>
          <w:sz w:val="72"/>
          <w:szCs w:val="72"/>
          <w:highlight w:val="none"/>
          <w:lang w:val="en-US" w:eastAsia="zh-CN"/>
        </w:rPr>
      </w:pPr>
      <w:r>
        <w:rPr>
          <w:rFonts w:hint="eastAsia" w:ascii="黑体" w:hAnsi="黑体" w:eastAsia="黑体"/>
          <w:color w:val="auto"/>
          <w:sz w:val="72"/>
          <w:szCs w:val="72"/>
          <w:highlight w:val="none"/>
          <w:lang w:val="en-US" w:eastAsia="zh-CN"/>
        </w:rPr>
        <w:t>（服务）</w:t>
      </w:r>
    </w:p>
    <w:p w14:paraId="67E856E7">
      <w:pPr>
        <w:spacing w:line="240" w:lineRule="auto"/>
        <w:jc w:val="center"/>
        <w:rPr>
          <w:rFonts w:ascii="黑体" w:hAnsi="黑体" w:eastAsia="黑体"/>
          <w:color w:val="auto"/>
          <w:sz w:val="52"/>
          <w:szCs w:val="52"/>
          <w:highlight w:val="none"/>
        </w:rPr>
      </w:pPr>
    </w:p>
    <w:p w14:paraId="6E97F6A4">
      <w:pPr>
        <w:spacing w:line="240" w:lineRule="auto"/>
        <w:jc w:val="center"/>
        <w:rPr>
          <w:rFonts w:ascii="黑体" w:hAnsi="黑体" w:eastAsia="黑体"/>
          <w:color w:val="auto"/>
          <w:sz w:val="52"/>
          <w:szCs w:val="52"/>
          <w:highlight w:val="none"/>
        </w:rPr>
      </w:pPr>
    </w:p>
    <w:p w14:paraId="5B5CFFCE">
      <w:pPr>
        <w:ind w:left="420" w:leftChars="175"/>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t>项目编号：</w:t>
      </w:r>
      <w:r>
        <w:rPr>
          <w:rFonts w:hint="eastAsia" w:ascii="宋体" w:hAnsi="宋体" w:eastAsia="宋体" w:cs="宋体"/>
          <w:color w:val="auto"/>
          <w:sz w:val="36"/>
          <w:szCs w:val="36"/>
          <w:highlight w:val="none"/>
          <w:u w:val="single"/>
        </w:rPr>
        <w:t xml:space="preserve"> </w:t>
      </w:r>
      <w:r>
        <w:rPr>
          <w:rFonts w:hint="eastAsia" w:cs="宋体"/>
          <w:color w:val="auto"/>
          <w:sz w:val="36"/>
          <w:szCs w:val="36"/>
          <w:highlight w:val="none"/>
          <w:u w:val="single"/>
          <w:lang w:val="en-US" w:eastAsia="zh-CN"/>
        </w:rPr>
        <w:t>XSH-2026-4-28</w:t>
      </w:r>
      <w:r>
        <w:rPr>
          <w:rFonts w:hint="eastAsia" w:ascii="宋体" w:hAnsi="宋体" w:eastAsia="宋体" w:cs="宋体"/>
          <w:color w:val="auto"/>
          <w:sz w:val="36"/>
          <w:szCs w:val="36"/>
          <w:highlight w:val="none"/>
          <w:u w:val="single"/>
        </w:rPr>
        <w:t xml:space="preserve"> </w:t>
      </w:r>
    </w:p>
    <w:p w14:paraId="099C4CDE">
      <w:pPr>
        <w:ind w:left="420" w:leftChars="175"/>
        <w:rPr>
          <w:rFonts w:hint="default" w:ascii="宋体" w:hAnsi="宋体" w:eastAsia="宋体" w:cs="宋体"/>
          <w:color w:val="auto"/>
          <w:sz w:val="36"/>
          <w:szCs w:val="36"/>
          <w:highlight w:val="none"/>
          <w:lang w:val="en-US" w:eastAsia="zh-CN"/>
        </w:rPr>
      </w:pPr>
      <w:r>
        <w:rPr>
          <w:rFonts w:hint="eastAsia" w:ascii="宋体" w:hAnsi="宋体" w:eastAsia="宋体" w:cs="宋体"/>
          <w:color w:val="auto"/>
          <w:sz w:val="36"/>
          <w:szCs w:val="36"/>
          <w:highlight w:val="none"/>
        </w:rPr>
        <w:t>项目名称：</w:t>
      </w:r>
      <w:r>
        <w:rPr>
          <w:rFonts w:hint="eastAsia" w:ascii="宋体" w:hAnsi="宋体" w:eastAsia="宋体" w:cs="宋体"/>
          <w:color w:val="auto"/>
          <w:sz w:val="36"/>
          <w:szCs w:val="36"/>
          <w:highlight w:val="none"/>
          <w:u w:val="single"/>
        </w:rPr>
        <w:t>伊犁州妇幼保健院安保洗涤外包服务采购项目</w:t>
      </w:r>
      <w:r>
        <w:rPr>
          <w:rFonts w:hint="eastAsia" w:cs="宋体"/>
          <w:color w:val="auto"/>
          <w:sz w:val="36"/>
          <w:szCs w:val="36"/>
          <w:highlight w:val="none"/>
          <w:u w:val="single"/>
          <w:lang w:eastAsia="zh-CN"/>
        </w:rPr>
        <w:t>（</w:t>
      </w:r>
      <w:r>
        <w:rPr>
          <w:rFonts w:hint="eastAsia" w:cs="宋体"/>
          <w:color w:val="auto"/>
          <w:sz w:val="36"/>
          <w:szCs w:val="36"/>
          <w:highlight w:val="none"/>
          <w:u w:val="single"/>
          <w:lang w:val="en-US" w:eastAsia="zh-CN"/>
        </w:rPr>
        <w:t>二标段</w:t>
      </w:r>
      <w:r>
        <w:rPr>
          <w:rFonts w:hint="eastAsia" w:cs="宋体"/>
          <w:color w:val="auto"/>
          <w:sz w:val="36"/>
          <w:szCs w:val="36"/>
          <w:highlight w:val="none"/>
          <w:u w:val="single"/>
          <w:lang w:eastAsia="zh-CN"/>
        </w:rPr>
        <w:t>）</w:t>
      </w:r>
      <w:r>
        <w:rPr>
          <w:rFonts w:hint="eastAsia" w:cs="宋体"/>
          <w:color w:val="auto"/>
          <w:sz w:val="36"/>
          <w:szCs w:val="36"/>
          <w:highlight w:val="none"/>
          <w:u w:val="single"/>
          <w:lang w:val="en-US" w:eastAsia="zh-CN"/>
        </w:rPr>
        <w:t>二次</w:t>
      </w:r>
    </w:p>
    <w:p w14:paraId="316ED0D4">
      <w:pPr>
        <w:ind w:left="420" w:leftChars="175"/>
        <w:rPr>
          <w:rFonts w:hint="default" w:ascii="宋体" w:hAnsi="宋体" w:eastAsia="宋体" w:cs="宋体"/>
          <w:color w:val="auto"/>
          <w:sz w:val="36"/>
          <w:szCs w:val="36"/>
          <w:highlight w:val="none"/>
          <w:lang w:val="en-US" w:eastAsia="zh-CN"/>
        </w:rPr>
      </w:pPr>
      <w:r>
        <w:rPr>
          <w:rFonts w:hint="eastAsia" w:ascii="宋体" w:hAnsi="宋体" w:eastAsia="宋体" w:cs="宋体"/>
          <w:color w:val="auto"/>
          <w:sz w:val="36"/>
          <w:szCs w:val="36"/>
          <w:highlight w:val="none"/>
        </w:rPr>
        <w:t>采</w:t>
      </w:r>
      <w:r>
        <w:rPr>
          <w:rFonts w:hint="eastAsia" w:ascii="宋体" w:hAnsi="宋体" w:eastAsia="宋体" w:cs="宋体"/>
          <w:color w:val="auto"/>
          <w:sz w:val="36"/>
          <w:szCs w:val="36"/>
          <w:highlight w:val="none"/>
          <w:lang w:val="en-US" w:eastAsia="zh-CN"/>
        </w:rPr>
        <w:t xml:space="preserve"> </w:t>
      </w:r>
      <w:r>
        <w:rPr>
          <w:rFonts w:hint="eastAsia" w:ascii="宋体" w:hAnsi="宋体" w:eastAsia="宋体" w:cs="宋体"/>
          <w:color w:val="auto"/>
          <w:sz w:val="36"/>
          <w:szCs w:val="36"/>
          <w:highlight w:val="none"/>
        </w:rPr>
        <w:t>购</w:t>
      </w:r>
      <w:r>
        <w:rPr>
          <w:rFonts w:hint="eastAsia" w:ascii="宋体" w:hAnsi="宋体" w:eastAsia="宋体" w:cs="宋体"/>
          <w:color w:val="auto"/>
          <w:sz w:val="36"/>
          <w:szCs w:val="36"/>
          <w:highlight w:val="none"/>
          <w:lang w:val="en-US" w:eastAsia="zh-CN"/>
        </w:rPr>
        <w:t xml:space="preserve"> </w:t>
      </w:r>
      <w:r>
        <w:rPr>
          <w:rFonts w:hint="eastAsia" w:ascii="宋体" w:hAnsi="宋体" w:eastAsia="宋体" w:cs="宋体"/>
          <w:color w:val="auto"/>
          <w:sz w:val="36"/>
          <w:szCs w:val="36"/>
          <w:highlight w:val="none"/>
        </w:rPr>
        <w:t>人：</w:t>
      </w:r>
      <w:r>
        <w:rPr>
          <w:rFonts w:hint="eastAsia" w:ascii="宋体" w:hAnsi="宋体" w:eastAsia="宋体" w:cs="宋体"/>
          <w:color w:val="auto"/>
          <w:sz w:val="36"/>
          <w:szCs w:val="36"/>
          <w:highlight w:val="none"/>
          <w:u w:val="single"/>
        </w:rPr>
        <w:t>伊犁哈萨克自治州妇幼保健院</w:t>
      </w:r>
      <w:r>
        <w:rPr>
          <w:rFonts w:hint="eastAsia" w:cs="宋体"/>
          <w:color w:val="auto"/>
          <w:sz w:val="36"/>
          <w:szCs w:val="36"/>
          <w:highlight w:val="none"/>
          <w:u w:val="single"/>
          <w:lang w:val="en-US" w:eastAsia="zh-CN"/>
        </w:rPr>
        <w:t xml:space="preserve">    </w:t>
      </w:r>
    </w:p>
    <w:p w14:paraId="55B2AE18">
      <w:pPr>
        <w:ind w:left="420" w:leftChars="175"/>
        <w:rPr>
          <w:rFonts w:hint="eastAsia" w:cs="宋体"/>
          <w:color w:val="auto"/>
          <w:sz w:val="36"/>
          <w:szCs w:val="36"/>
          <w:highlight w:val="none"/>
          <w:u w:val="single"/>
          <w:lang w:val="en-US" w:eastAsia="zh-CN"/>
        </w:rPr>
      </w:pPr>
      <w:r>
        <w:rPr>
          <w:rFonts w:hint="eastAsia" w:ascii="宋体" w:hAnsi="宋体" w:eastAsia="宋体" w:cs="宋体"/>
          <w:color w:val="auto"/>
          <w:sz w:val="36"/>
          <w:szCs w:val="36"/>
          <w:highlight w:val="none"/>
        </w:rPr>
        <w:t>采购代理机构：</w:t>
      </w:r>
      <w:r>
        <w:rPr>
          <w:rFonts w:hint="eastAsia" w:cs="宋体"/>
          <w:color w:val="auto"/>
          <w:sz w:val="36"/>
          <w:szCs w:val="36"/>
          <w:highlight w:val="none"/>
          <w:u w:val="single"/>
          <w:lang w:val="en-US" w:eastAsia="zh-CN"/>
        </w:rPr>
        <w:t>新疆星世豪项目管理有限公司</w:t>
      </w:r>
    </w:p>
    <w:p w14:paraId="3D00CE0E">
      <w:pPr>
        <w:ind w:left="420" w:leftChars="175"/>
        <w:rPr>
          <w:rFonts w:hint="default" w:cs="宋体"/>
          <w:color w:val="auto"/>
          <w:sz w:val="36"/>
          <w:szCs w:val="36"/>
          <w:highlight w:val="none"/>
          <w:u w:val="single"/>
          <w:lang w:val="en-US" w:eastAsia="zh-CN"/>
        </w:rPr>
      </w:pPr>
      <w:r>
        <w:rPr>
          <w:rFonts w:hint="eastAsia" w:cs="宋体"/>
          <w:color w:val="auto"/>
          <w:sz w:val="36"/>
          <w:szCs w:val="36"/>
          <w:highlight w:val="none"/>
          <w:u w:val="none"/>
          <w:lang w:val="en-US" w:eastAsia="zh-CN"/>
        </w:rPr>
        <w:t>编制日期：</w:t>
      </w:r>
      <w:r>
        <w:rPr>
          <w:rFonts w:hint="eastAsia" w:cs="宋体"/>
          <w:color w:val="auto"/>
          <w:sz w:val="36"/>
          <w:szCs w:val="36"/>
          <w:highlight w:val="none"/>
          <w:u w:val="single"/>
          <w:lang w:val="en-US" w:eastAsia="zh-CN"/>
        </w:rPr>
        <w:t>2026年4月27日</w:t>
      </w:r>
    </w:p>
    <w:p w14:paraId="351C4D59">
      <w:pPr>
        <w:rPr>
          <w:rFonts w:ascii="黑体" w:hAnsi="黑体" w:eastAsia="黑体"/>
          <w:color w:val="auto"/>
          <w:highlight w:val="none"/>
        </w:rPr>
      </w:pPr>
    </w:p>
    <w:p w14:paraId="320C1BF6">
      <w:pPr>
        <w:ind w:left="420" w:leftChars="175" w:firstLine="640" w:firstLineChars="200"/>
        <w:jc w:val="center"/>
        <w:rPr>
          <w:rFonts w:ascii="黑体" w:hAnsi="黑体" w:eastAsia="黑体"/>
          <w:color w:val="auto"/>
          <w:sz w:val="32"/>
          <w:szCs w:val="32"/>
          <w:highlight w:val="none"/>
        </w:rPr>
      </w:pPr>
      <w:r>
        <w:rPr>
          <w:rFonts w:hint="eastAsia" w:ascii="黑体" w:hAnsi="黑体" w:eastAsia="黑体"/>
          <w:color w:val="auto"/>
          <w:sz w:val="32"/>
          <w:szCs w:val="32"/>
          <w:highlight w:val="none"/>
        </w:rPr>
        <w:t xml:space="preserve"> </w:t>
      </w:r>
      <w:r>
        <w:rPr>
          <w:rFonts w:ascii="黑体" w:hAnsi="黑体" w:eastAsia="黑体"/>
          <w:color w:val="auto"/>
          <w:sz w:val="32"/>
          <w:szCs w:val="32"/>
          <w:highlight w:val="none"/>
        </w:rPr>
        <w:t xml:space="preserve">   </w:t>
      </w:r>
    </w:p>
    <w:p w14:paraId="3B2CDAF9">
      <w:pPr>
        <w:jc w:val="center"/>
        <w:rPr>
          <w:rFonts w:hint="eastAsia" w:ascii="黑体" w:hAnsi="黑体" w:eastAsia="黑体"/>
          <w:color w:val="auto"/>
          <w:sz w:val="48"/>
          <w:szCs w:val="48"/>
          <w:highlight w:val="none"/>
        </w:rPr>
      </w:pPr>
    </w:p>
    <w:p w14:paraId="309B13BD">
      <w:pPr>
        <w:jc w:val="center"/>
        <w:rPr>
          <w:rFonts w:hint="eastAsia" w:ascii="黑体" w:hAnsi="黑体" w:eastAsia="黑体"/>
          <w:color w:val="auto"/>
          <w:sz w:val="48"/>
          <w:szCs w:val="48"/>
          <w:highlight w:val="none"/>
        </w:rPr>
      </w:pPr>
    </w:p>
    <w:p w14:paraId="67540CEC">
      <w:pPr>
        <w:jc w:val="center"/>
        <w:rPr>
          <w:rFonts w:hint="eastAsia" w:ascii="黑体" w:hAnsi="黑体" w:eastAsia="黑体"/>
          <w:color w:val="auto"/>
          <w:sz w:val="48"/>
          <w:szCs w:val="48"/>
          <w:highlight w:val="none"/>
        </w:rPr>
      </w:pPr>
    </w:p>
    <w:p w14:paraId="0BD23774">
      <w:pPr>
        <w:jc w:val="center"/>
        <w:rPr>
          <w:rFonts w:hint="eastAsia" w:ascii="黑体" w:hAnsi="黑体" w:eastAsia="黑体"/>
          <w:color w:val="auto"/>
          <w:sz w:val="48"/>
          <w:szCs w:val="48"/>
          <w:highlight w:val="none"/>
        </w:rPr>
      </w:pPr>
    </w:p>
    <w:p w14:paraId="4F6641E2">
      <w:pPr>
        <w:jc w:val="center"/>
        <w:rPr>
          <w:rFonts w:hint="eastAsia" w:ascii="黑体" w:hAnsi="黑体" w:eastAsia="黑体"/>
          <w:color w:val="auto"/>
          <w:sz w:val="48"/>
          <w:szCs w:val="48"/>
          <w:highlight w:val="none"/>
        </w:rPr>
      </w:pPr>
    </w:p>
    <w:p w14:paraId="2E6E0FD2">
      <w:pPr>
        <w:jc w:val="center"/>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t>目 录</w:t>
      </w:r>
    </w:p>
    <w:p w14:paraId="7FD7999F">
      <w:pPr>
        <w:pStyle w:val="21"/>
        <w:keepNext w:val="0"/>
        <w:keepLines w:val="0"/>
        <w:pageBreakBefore w:val="0"/>
        <w:widowControl w:val="0"/>
        <w:tabs>
          <w:tab w:val="right" w:leader="dot" w:pos="8306"/>
        </w:tabs>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z w:val="24"/>
          <w:szCs w:val="24"/>
          <w:highlight w:val="none"/>
        </w:rPr>
      </w:pPr>
      <w:bookmarkStart w:id="0" w:name="_Toc155185859"/>
      <w:bookmarkStart w:id="1" w:name="_Toc10815"/>
      <w:bookmarkStart w:id="2" w:name="_Hlk130458318"/>
      <w:r>
        <w:rPr>
          <w:rFonts w:hint="eastAsia" w:ascii="宋体" w:hAnsi="宋体" w:eastAsia="宋体" w:cs="宋体"/>
          <w:caps w:val="0"/>
          <w:smallCaps w:val="0"/>
          <w:color w:val="auto"/>
          <w:spacing w:val="0"/>
          <w:sz w:val="24"/>
          <w:szCs w:val="24"/>
          <w:highlight w:val="none"/>
        </w:rPr>
        <w:fldChar w:fldCharType="begin"/>
      </w:r>
      <w:r>
        <w:rPr>
          <w:rFonts w:hint="eastAsia" w:ascii="宋体" w:hAnsi="宋体" w:eastAsia="宋体" w:cs="宋体"/>
          <w:caps w:val="0"/>
          <w:smallCaps w:val="0"/>
          <w:color w:val="auto"/>
          <w:spacing w:val="0"/>
          <w:sz w:val="24"/>
          <w:szCs w:val="24"/>
          <w:highlight w:val="none"/>
        </w:rPr>
        <w:instrText xml:space="preserve">TOC \o "1-2" \h \u </w:instrText>
      </w:r>
      <w:r>
        <w:rPr>
          <w:rFonts w:hint="eastAsia" w:ascii="宋体" w:hAnsi="宋体" w:eastAsia="宋体" w:cs="宋体"/>
          <w:caps w:val="0"/>
          <w:smallCaps w:val="0"/>
          <w:color w:val="auto"/>
          <w:spacing w:val="0"/>
          <w:sz w:val="24"/>
          <w:szCs w:val="24"/>
          <w:highlight w:val="none"/>
        </w:rPr>
        <w:fldChar w:fldCharType="separate"/>
      </w:r>
      <w:r>
        <w:rPr>
          <w:rFonts w:hint="eastAsia" w:ascii="宋体" w:hAnsi="宋体" w:eastAsia="宋体" w:cs="宋体"/>
          <w:caps w:val="0"/>
          <w:smallCaps w:val="0"/>
          <w:color w:val="auto"/>
          <w:spacing w:val="0"/>
          <w:sz w:val="24"/>
          <w:szCs w:val="24"/>
          <w:highlight w:val="none"/>
        </w:rPr>
        <w:fldChar w:fldCharType="begin"/>
      </w:r>
      <w:r>
        <w:rPr>
          <w:rFonts w:hint="eastAsia" w:ascii="宋体" w:hAnsi="宋体" w:eastAsia="宋体" w:cs="宋体"/>
          <w:caps w:val="0"/>
          <w:smallCaps w:val="0"/>
          <w:color w:val="auto"/>
          <w:spacing w:val="0"/>
          <w:sz w:val="24"/>
          <w:szCs w:val="24"/>
          <w:highlight w:val="none"/>
        </w:rPr>
        <w:instrText xml:space="preserve"> HYPERLINK \l _Toc11922 </w:instrText>
      </w:r>
      <w:r>
        <w:rPr>
          <w:rFonts w:hint="eastAsia" w:ascii="宋体" w:hAnsi="宋体" w:eastAsia="宋体" w:cs="宋体"/>
          <w:caps w:val="0"/>
          <w:smallCaps w:val="0"/>
          <w:color w:val="auto"/>
          <w:spacing w:val="0"/>
          <w:sz w:val="24"/>
          <w:szCs w:val="24"/>
          <w:highlight w:val="none"/>
        </w:rPr>
        <w:fldChar w:fldCharType="separate"/>
      </w:r>
      <w:r>
        <w:rPr>
          <w:rFonts w:hint="eastAsia" w:ascii="宋体" w:hAnsi="宋体" w:eastAsia="宋体" w:cs="宋体"/>
          <w:bCs/>
          <w:color w:val="auto"/>
          <w:kern w:val="44"/>
          <w:sz w:val="24"/>
          <w:szCs w:val="24"/>
          <w:highlight w:val="none"/>
          <w:lang w:val="en-US" w:eastAsia="zh-CN" w:bidi="ar-SA"/>
        </w:rPr>
        <w:t xml:space="preserve">第一章 </w:t>
      </w:r>
      <w:r>
        <w:rPr>
          <w:rFonts w:hint="eastAsia" w:ascii="宋体" w:hAnsi="宋体" w:eastAsia="宋体" w:cs="宋体"/>
          <w:color w:val="auto"/>
          <w:sz w:val="24"/>
          <w:szCs w:val="24"/>
          <w:highlight w:val="none"/>
          <w:lang w:val="en-US" w:eastAsia="zh-CN"/>
        </w:rPr>
        <w:t>招标公告</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_Toc11922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- 1 -</w:t>
      </w:r>
      <w:r>
        <w:rPr>
          <w:rFonts w:hint="eastAsia" w:ascii="宋体" w:hAnsi="宋体" w:eastAsia="宋体" w:cs="宋体"/>
          <w:color w:val="auto"/>
          <w:sz w:val="24"/>
          <w:szCs w:val="24"/>
          <w:highlight w:val="none"/>
        </w:rPr>
        <w:fldChar w:fldCharType="end"/>
      </w:r>
      <w:r>
        <w:rPr>
          <w:rFonts w:hint="eastAsia" w:ascii="宋体" w:hAnsi="宋体" w:eastAsia="宋体" w:cs="宋体"/>
          <w:caps w:val="0"/>
          <w:smallCaps w:val="0"/>
          <w:color w:val="auto"/>
          <w:spacing w:val="0"/>
          <w:sz w:val="24"/>
          <w:szCs w:val="24"/>
          <w:highlight w:val="none"/>
        </w:rPr>
        <w:fldChar w:fldCharType="end"/>
      </w:r>
    </w:p>
    <w:p w14:paraId="6C8D2383">
      <w:pPr>
        <w:pStyle w:val="25"/>
        <w:keepNext w:val="0"/>
        <w:keepLines w:val="0"/>
        <w:pageBreakBefore w:val="0"/>
        <w:widowControl w:val="0"/>
        <w:tabs>
          <w:tab w:val="right" w:leader="dot" w:pos="8306"/>
        </w:tabs>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aps w:val="0"/>
          <w:smallCaps w:val="0"/>
          <w:color w:val="auto"/>
          <w:spacing w:val="0"/>
          <w:sz w:val="24"/>
          <w:szCs w:val="24"/>
          <w:highlight w:val="none"/>
        </w:rPr>
        <w:fldChar w:fldCharType="begin"/>
      </w:r>
      <w:r>
        <w:rPr>
          <w:rFonts w:hint="eastAsia" w:ascii="宋体" w:hAnsi="宋体" w:eastAsia="宋体" w:cs="宋体"/>
          <w:caps w:val="0"/>
          <w:smallCaps w:val="0"/>
          <w:color w:val="auto"/>
          <w:spacing w:val="0"/>
          <w:sz w:val="24"/>
          <w:szCs w:val="24"/>
          <w:highlight w:val="none"/>
        </w:rPr>
        <w:instrText xml:space="preserve"> HYPERLINK \l _Toc1899 </w:instrText>
      </w:r>
      <w:r>
        <w:rPr>
          <w:rFonts w:hint="eastAsia" w:ascii="宋体" w:hAnsi="宋体" w:eastAsia="宋体" w:cs="宋体"/>
          <w:caps w:val="0"/>
          <w:smallCaps w:val="0"/>
          <w:color w:val="auto"/>
          <w:spacing w:val="0"/>
          <w:sz w:val="24"/>
          <w:szCs w:val="24"/>
          <w:highlight w:val="none"/>
        </w:rPr>
        <w:fldChar w:fldCharType="separate"/>
      </w:r>
      <w:r>
        <w:rPr>
          <w:rFonts w:hint="eastAsia" w:ascii="宋体" w:hAnsi="宋体" w:eastAsia="宋体" w:cs="宋体"/>
          <w:color w:val="auto"/>
          <w:sz w:val="24"/>
          <w:szCs w:val="24"/>
          <w:highlight w:val="none"/>
          <w:lang w:val="en-US" w:eastAsia="zh-CN"/>
        </w:rPr>
        <w:t>项目概况：</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_Toc1899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- 1 -</w:t>
      </w:r>
      <w:r>
        <w:rPr>
          <w:rFonts w:hint="eastAsia" w:ascii="宋体" w:hAnsi="宋体" w:eastAsia="宋体" w:cs="宋体"/>
          <w:color w:val="auto"/>
          <w:sz w:val="24"/>
          <w:szCs w:val="24"/>
          <w:highlight w:val="none"/>
        </w:rPr>
        <w:fldChar w:fldCharType="end"/>
      </w:r>
      <w:r>
        <w:rPr>
          <w:rFonts w:hint="eastAsia" w:ascii="宋体" w:hAnsi="宋体" w:eastAsia="宋体" w:cs="宋体"/>
          <w:caps w:val="0"/>
          <w:smallCaps w:val="0"/>
          <w:color w:val="auto"/>
          <w:spacing w:val="0"/>
          <w:sz w:val="24"/>
          <w:szCs w:val="24"/>
          <w:highlight w:val="none"/>
        </w:rPr>
        <w:fldChar w:fldCharType="end"/>
      </w:r>
    </w:p>
    <w:p w14:paraId="3C385554">
      <w:pPr>
        <w:pStyle w:val="25"/>
        <w:keepNext w:val="0"/>
        <w:keepLines w:val="0"/>
        <w:pageBreakBefore w:val="0"/>
        <w:widowControl w:val="0"/>
        <w:tabs>
          <w:tab w:val="right" w:leader="dot" w:pos="8306"/>
        </w:tabs>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aps w:val="0"/>
          <w:smallCaps w:val="0"/>
          <w:color w:val="auto"/>
          <w:spacing w:val="0"/>
          <w:sz w:val="24"/>
          <w:szCs w:val="24"/>
          <w:highlight w:val="none"/>
        </w:rPr>
        <w:fldChar w:fldCharType="begin"/>
      </w:r>
      <w:r>
        <w:rPr>
          <w:rFonts w:hint="eastAsia" w:ascii="宋体" w:hAnsi="宋体" w:eastAsia="宋体" w:cs="宋体"/>
          <w:caps w:val="0"/>
          <w:smallCaps w:val="0"/>
          <w:color w:val="auto"/>
          <w:spacing w:val="0"/>
          <w:sz w:val="24"/>
          <w:szCs w:val="24"/>
          <w:highlight w:val="none"/>
        </w:rPr>
        <w:instrText xml:space="preserve"> HYPERLINK \l _Toc6854 </w:instrText>
      </w:r>
      <w:r>
        <w:rPr>
          <w:rFonts w:hint="eastAsia" w:ascii="宋体" w:hAnsi="宋体" w:eastAsia="宋体" w:cs="宋体"/>
          <w:caps w:val="0"/>
          <w:smallCaps w:val="0"/>
          <w:color w:val="auto"/>
          <w:spacing w:val="0"/>
          <w:sz w:val="24"/>
          <w:szCs w:val="24"/>
          <w:highlight w:val="none"/>
        </w:rPr>
        <w:fldChar w:fldCharType="separate"/>
      </w:r>
      <w:r>
        <w:rPr>
          <w:rFonts w:hint="eastAsia" w:ascii="宋体" w:hAnsi="宋体" w:eastAsia="宋体" w:cs="宋体"/>
          <w:bCs/>
          <w:color w:val="auto"/>
          <w:kern w:val="2"/>
          <w:sz w:val="24"/>
          <w:szCs w:val="24"/>
          <w:highlight w:val="none"/>
          <w:lang w:val="hr-HR" w:eastAsia="zh-CN" w:bidi="ar-SA"/>
        </w:rPr>
        <w:t>一、项目基本情况</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_Toc6854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- 1 -</w:t>
      </w:r>
      <w:r>
        <w:rPr>
          <w:rFonts w:hint="eastAsia" w:ascii="宋体" w:hAnsi="宋体" w:eastAsia="宋体" w:cs="宋体"/>
          <w:color w:val="auto"/>
          <w:sz w:val="24"/>
          <w:szCs w:val="24"/>
          <w:highlight w:val="none"/>
        </w:rPr>
        <w:fldChar w:fldCharType="end"/>
      </w:r>
      <w:r>
        <w:rPr>
          <w:rFonts w:hint="eastAsia" w:ascii="宋体" w:hAnsi="宋体" w:eastAsia="宋体" w:cs="宋体"/>
          <w:caps w:val="0"/>
          <w:smallCaps w:val="0"/>
          <w:color w:val="auto"/>
          <w:spacing w:val="0"/>
          <w:sz w:val="24"/>
          <w:szCs w:val="24"/>
          <w:highlight w:val="none"/>
        </w:rPr>
        <w:fldChar w:fldCharType="end"/>
      </w:r>
    </w:p>
    <w:p w14:paraId="0FAE08A9">
      <w:pPr>
        <w:pStyle w:val="25"/>
        <w:keepNext w:val="0"/>
        <w:keepLines w:val="0"/>
        <w:pageBreakBefore w:val="0"/>
        <w:widowControl w:val="0"/>
        <w:tabs>
          <w:tab w:val="right" w:leader="dot" w:pos="8306"/>
        </w:tabs>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aps w:val="0"/>
          <w:smallCaps w:val="0"/>
          <w:color w:val="auto"/>
          <w:spacing w:val="0"/>
          <w:sz w:val="24"/>
          <w:szCs w:val="24"/>
          <w:highlight w:val="none"/>
        </w:rPr>
        <w:fldChar w:fldCharType="begin"/>
      </w:r>
      <w:r>
        <w:rPr>
          <w:rFonts w:hint="eastAsia" w:ascii="宋体" w:hAnsi="宋体" w:eastAsia="宋体" w:cs="宋体"/>
          <w:caps w:val="0"/>
          <w:smallCaps w:val="0"/>
          <w:color w:val="auto"/>
          <w:spacing w:val="0"/>
          <w:sz w:val="24"/>
          <w:szCs w:val="24"/>
          <w:highlight w:val="none"/>
        </w:rPr>
        <w:instrText xml:space="preserve"> HYPERLINK \l _Toc17328 </w:instrText>
      </w:r>
      <w:r>
        <w:rPr>
          <w:rFonts w:hint="eastAsia" w:ascii="宋体" w:hAnsi="宋体" w:eastAsia="宋体" w:cs="宋体"/>
          <w:caps w:val="0"/>
          <w:smallCaps w:val="0"/>
          <w:color w:val="auto"/>
          <w:spacing w:val="0"/>
          <w:sz w:val="24"/>
          <w:szCs w:val="24"/>
          <w:highlight w:val="none"/>
        </w:rPr>
        <w:fldChar w:fldCharType="separate"/>
      </w:r>
      <w:r>
        <w:rPr>
          <w:rFonts w:hint="eastAsia" w:ascii="宋体" w:hAnsi="宋体" w:eastAsia="宋体" w:cs="宋体"/>
          <w:bCs/>
          <w:color w:val="auto"/>
          <w:kern w:val="2"/>
          <w:sz w:val="24"/>
          <w:szCs w:val="24"/>
          <w:highlight w:val="none"/>
          <w:lang w:val="en-US" w:eastAsia="zh-CN" w:bidi="ar-SA"/>
        </w:rPr>
        <w:t>二、申请</w:t>
      </w:r>
      <w:r>
        <w:rPr>
          <w:rFonts w:hint="eastAsia" w:ascii="宋体" w:hAnsi="宋体" w:eastAsia="宋体" w:cs="宋体"/>
          <w:bCs/>
          <w:color w:val="auto"/>
          <w:kern w:val="2"/>
          <w:sz w:val="24"/>
          <w:szCs w:val="24"/>
          <w:highlight w:val="none"/>
          <w:lang w:val="hr-HR" w:eastAsia="zh-CN" w:bidi="ar-SA"/>
        </w:rPr>
        <w:t>人</w:t>
      </w:r>
      <w:r>
        <w:rPr>
          <w:rFonts w:hint="eastAsia" w:ascii="宋体" w:hAnsi="宋体" w:eastAsia="宋体" w:cs="宋体"/>
          <w:bCs/>
          <w:color w:val="auto"/>
          <w:kern w:val="2"/>
          <w:sz w:val="24"/>
          <w:szCs w:val="24"/>
          <w:highlight w:val="none"/>
          <w:lang w:val="en-US" w:eastAsia="zh-CN" w:bidi="ar-SA"/>
        </w:rPr>
        <w:t>的</w:t>
      </w:r>
      <w:r>
        <w:rPr>
          <w:rFonts w:hint="eastAsia" w:ascii="宋体" w:hAnsi="宋体" w:eastAsia="宋体" w:cs="宋体"/>
          <w:bCs/>
          <w:color w:val="auto"/>
          <w:kern w:val="2"/>
          <w:sz w:val="24"/>
          <w:szCs w:val="24"/>
          <w:highlight w:val="none"/>
          <w:lang w:val="hr-HR" w:eastAsia="zh-CN" w:bidi="ar-SA"/>
        </w:rPr>
        <w:t>资格要求</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_Toc17328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- 2 -</w:t>
      </w:r>
      <w:r>
        <w:rPr>
          <w:rFonts w:hint="eastAsia" w:ascii="宋体" w:hAnsi="宋体" w:eastAsia="宋体" w:cs="宋体"/>
          <w:color w:val="auto"/>
          <w:sz w:val="24"/>
          <w:szCs w:val="24"/>
          <w:highlight w:val="none"/>
        </w:rPr>
        <w:fldChar w:fldCharType="end"/>
      </w:r>
      <w:r>
        <w:rPr>
          <w:rFonts w:hint="eastAsia" w:ascii="宋体" w:hAnsi="宋体" w:eastAsia="宋体" w:cs="宋体"/>
          <w:caps w:val="0"/>
          <w:smallCaps w:val="0"/>
          <w:color w:val="auto"/>
          <w:spacing w:val="0"/>
          <w:sz w:val="24"/>
          <w:szCs w:val="24"/>
          <w:highlight w:val="none"/>
        </w:rPr>
        <w:fldChar w:fldCharType="end"/>
      </w:r>
    </w:p>
    <w:p w14:paraId="323A0F08">
      <w:pPr>
        <w:pStyle w:val="25"/>
        <w:keepNext w:val="0"/>
        <w:keepLines w:val="0"/>
        <w:pageBreakBefore w:val="0"/>
        <w:widowControl w:val="0"/>
        <w:tabs>
          <w:tab w:val="right" w:leader="dot" w:pos="8306"/>
        </w:tabs>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aps w:val="0"/>
          <w:smallCaps w:val="0"/>
          <w:color w:val="auto"/>
          <w:spacing w:val="0"/>
          <w:sz w:val="24"/>
          <w:szCs w:val="24"/>
          <w:highlight w:val="none"/>
        </w:rPr>
        <w:fldChar w:fldCharType="begin"/>
      </w:r>
      <w:r>
        <w:rPr>
          <w:rFonts w:hint="eastAsia" w:ascii="宋体" w:hAnsi="宋体" w:eastAsia="宋体" w:cs="宋体"/>
          <w:caps w:val="0"/>
          <w:smallCaps w:val="0"/>
          <w:color w:val="auto"/>
          <w:spacing w:val="0"/>
          <w:sz w:val="24"/>
          <w:szCs w:val="24"/>
          <w:highlight w:val="none"/>
        </w:rPr>
        <w:instrText xml:space="preserve"> HYPERLINK \l _Toc10741 </w:instrText>
      </w:r>
      <w:r>
        <w:rPr>
          <w:rFonts w:hint="eastAsia" w:ascii="宋体" w:hAnsi="宋体" w:eastAsia="宋体" w:cs="宋体"/>
          <w:caps w:val="0"/>
          <w:smallCaps w:val="0"/>
          <w:color w:val="auto"/>
          <w:spacing w:val="0"/>
          <w:sz w:val="24"/>
          <w:szCs w:val="24"/>
          <w:highlight w:val="none"/>
        </w:rPr>
        <w:fldChar w:fldCharType="separate"/>
      </w:r>
      <w:r>
        <w:rPr>
          <w:rFonts w:hint="eastAsia" w:ascii="宋体" w:hAnsi="宋体" w:eastAsia="宋体" w:cs="宋体"/>
          <w:bCs/>
          <w:color w:val="auto"/>
          <w:kern w:val="2"/>
          <w:sz w:val="24"/>
          <w:szCs w:val="24"/>
          <w:highlight w:val="none"/>
          <w:lang w:val="en-US" w:eastAsia="zh-CN" w:bidi="ar-SA"/>
        </w:rPr>
        <w:t>三、</w:t>
      </w:r>
      <w:r>
        <w:rPr>
          <w:rFonts w:hint="eastAsia" w:ascii="宋体" w:hAnsi="宋体" w:eastAsia="宋体" w:cs="宋体"/>
          <w:bCs/>
          <w:color w:val="auto"/>
          <w:kern w:val="2"/>
          <w:sz w:val="24"/>
          <w:szCs w:val="24"/>
          <w:highlight w:val="none"/>
          <w:lang w:val="hr-HR" w:eastAsia="zh-CN" w:bidi="ar-SA"/>
        </w:rPr>
        <w:t>获取招标文件</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_Toc10741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- 2 -</w:t>
      </w:r>
      <w:r>
        <w:rPr>
          <w:rFonts w:hint="eastAsia" w:ascii="宋体" w:hAnsi="宋体" w:eastAsia="宋体" w:cs="宋体"/>
          <w:color w:val="auto"/>
          <w:sz w:val="24"/>
          <w:szCs w:val="24"/>
          <w:highlight w:val="none"/>
        </w:rPr>
        <w:fldChar w:fldCharType="end"/>
      </w:r>
      <w:r>
        <w:rPr>
          <w:rFonts w:hint="eastAsia" w:ascii="宋体" w:hAnsi="宋体" w:eastAsia="宋体" w:cs="宋体"/>
          <w:caps w:val="0"/>
          <w:smallCaps w:val="0"/>
          <w:color w:val="auto"/>
          <w:spacing w:val="0"/>
          <w:sz w:val="24"/>
          <w:szCs w:val="24"/>
          <w:highlight w:val="none"/>
        </w:rPr>
        <w:fldChar w:fldCharType="end"/>
      </w:r>
    </w:p>
    <w:p w14:paraId="2BB2573B">
      <w:pPr>
        <w:pStyle w:val="25"/>
        <w:keepNext w:val="0"/>
        <w:keepLines w:val="0"/>
        <w:pageBreakBefore w:val="0"/>
        <w:widowControl w:val="0"/>
        <w:tabs>
          <w:tab w:val="right" w:leader="dot" w:pos="8306"/>
        </w:tabs>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aps w:val="0"/>
          <w:smallCaps w:val="0"/>
          <w:color w:val="auto"/>
          <w:spacing w:val="0"/>
          <w:sz w:val="24"/>
          <w:szCs w:val="24"/>
          <w:highlight w:val="none"/>
        </w:rPr>
        <w:fldChar w:fldCharType="begin"/>
      </w:r>
      <w:r>
        <w:rPr>
          <w:rFonts w:hint="eastAsia" w:ascii="宋体" w:hAnsi="宋体" w:eastAsia="宋体" w:cs="宋体"/>
          <w:caps w:val="0"/>
          <w:smallCaps w:val="0"/>
          <w:color w:val="auto"/>
          <w:spacing w:val="0"/>
          <w:sz w:val="24"/>
          <w:szCs w:val="24"/>
          <w:highlight w:val="none"/>
        </w:rPr>
        <w:instrText xml:space="preserve"> HYPERLINK \l _Toc30285 </w:instrText>
      </w:r>
      <w:r>
        <w:rPr>
          <w:rFonts w:hint="eastAsia" w:ascii="宋体" w:hAnsi="宋体" w:eastAsia="宋体" w:cs="宋体"/>
          <w:caps w:val="0"/>
          <w:smallCaps w:val="0"/>
          <w:color w:val="auto"/>
          <w:spacing w:val="0"/>
          <w:sz w:val="24"/>
          <w:szCs w:val="24"/>
          <w:highlight w:val="none"/>
        </w:rPr>
        <w:fldChar w:fldCharType="separate"/>
      </w:r>
      <w:r>
        <w:rPr>
          <w:rFonts w:hint="eastAsia" w:ascii="宋体" w:hAnsi="宋体" w:eastAsia="宋体" w:cs="宋体"/>
          <w:bCs/>
          <w:color w:val="auto"/>
          <w:kern w:val="2"/>
          <w:sz w:val="24"/>
          <w:szCs w:val="24"/>
          <w:highlight w:val="none"/>
          <w:lang w:val="en-US" w:eastAsia="zh-CN" w:bidi="ar-SA"/>
        </w:rPr>
        <w:t>四、</w:t>
      </w:r>
      <w:r>
        <w:rPr>
          <w:rFonts w:hint="eastAsia" w:ascii="宋体" w:hAnsi="宋体" w:eastAsia="宋体" w:cs="宋体"/>
          <w:bCs/>
          <w:color w:val="auto"/>
          <w:kern w:val="2"/>
          <w:sz w:val="24"/>
          <w:szCs w:val="24"/>
          <w:highlight w:val="none"/>
          <w:lang w:val="hr-HR" w:eastAsia="zh-CN" w:bidi="ar-SA"/>
        </w:rPr>
        <w:t>提交投标文件截止时间</w:t>
      </w:r>
      <w:r>
        <w:rPr>
          <w:rFonts w:hint="eastAsia" w:ascii="宋体" w:hAnsi="宋体" w:eastAsia="宋体" w:cs="宋体"/>
          <w:bCs/>
          <w:color w:val="auto"/>
          <w:kern w:val="2"/>
          <w:sz w:val="24"/>
          <w:szCs w:val="24"/>
          <w:highlight w:val="none"/>
          <w:lang w:val="en-US" w:eastAsia="zh-CN" w:bidi="ar-SA"/>
        </w:rPr>
        <w:t>/</w:t>
      </w:r>
      <w:r>
        <w:rPr>
          <w:rFonts w:hint="eastAsia" w:ascii="宋体" w:hAnsi="宋体" w:eastAsia="宋体" w:cs="宋体"/>
          <w:bCs/>
          <w:color w:val="auto"/>
          <w:kern w:val="2"/>
          <w:sz w:val="24"/>
          <w:szCs w:val="24"/>
          <w:highlight w:val="none"/>
          <w:lang w:val="hr-HR" w:eastAsia="zh-CN" w:bidi="ar-SA"/>
        </w:rPr>
        <w:t>开标时间、递交方式和</w:t>
      </w:r>
      <w:r>
        <w:rPr>
          <w:rFonts w:hint="eastAsia" w:ascii="宋体" w:hAnsi="宋体" w:eastAsia="宋体" w:cs="宋体"/>
          <w:bCs/>
          <w:color w:val="auto"/>
          <w:kern w:val="2"/>
          <w:sz w:val="24"/>
          <w:szCs w:val="24"/>
          <w:highlight w:val="none"/>
          <w:lang w:val="en-US" w:eastAsia="zh-CN" w:bidi="ar-SA"/>
        </w:rPr>
        <w:t>开标</w:t>
      </w:r>
      <w:r>
        <w:rPr>
          <w:rFonts w:hint="eastAsia" w:ascii="宋体" w:hAnsi="宋体" w:eastAsia="宋体" w:cs="宋体"/>
          <w:bCs/>
          <w:color w:val="auto"/>
          <w:kern w:val="2"/>
          <w:sz w:val="24"/>
          <w:szCs w:val="24"/>
          <w:highlight w:val="none"/>
          <w:lang w:val="hr-HR" w:eastAsia="zh-CN" w:bidi="ar-SA"/>
        </w:rPr>
        <w:t>地点</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_Toc30285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- 2 -</w:t>
      </w:r>
      <w:r>
        <w:rPr>
          <w:rFonts w:hint="eastAsia" w:ascii="宋体" w:hAnsi="宋体" w:eastAsia="宋体" w:cs="宋体"/>
          <w:color w:val="auto"/>
          <w:sz w:val="24"/>
          <w:szCs w:val="24"/>
          <w:highlight w:val="none"/>
        </w:rPr>
        <w:fldChar w:fldCharType="end"/>
      </w:r>
      <w:r>
        <w:rPr>
          <w:rFonts w:hint="eastAsia" w:ascii="宋体" w:hAnsi="宋体" w:eastAsia="宋体" w:cs="宋体"/>
          <w:caps w:val="0"/>
          <w:smallCaps w:val="0"/>
          <w:color w:val="auto"/>
          <w:spacing w:val="0"/>
          <w:sz w:val="24"/>
          <w:szCs w:val="24"/>
          <w:highlight w:val="none"/>
        </w:rPr>
        <w:fldChar w:fldCharType="end"/>
      </w:r>
    </w:p>
    <w:p w14:paraId="01FDEE88">
      <w:pPr>
        <w:pStyle w:val="25"/>
        <w:keepNext w:val="0"/>
        <w:keepLines w:val="0"/>
        <w:pageBreakBefore w:val="0"/>
        <w:widowControl w:val="0"/>
        <w:tabs>
          <w:tab w:val="right" w:leader="dot" w:pos="8306"/>
        </w:tabs>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aps w:val="0"/>
          <w:smallCaps w:val="0"/>
          <w:color w:val="auto"/>
          <w:spacing w:val="0"/>
          <w:sz w:val="24"/>
          <w:szCs w:val="24"/>
          <w:highlight w:val="none"/>
        </w:rPr>
        <w:fldChar w:fldCharType="begin"/>
      </w:r>
      <w:r>
        <w:rPr>
          <w:rFonts w:hint="eastAsia" w:ascii="宋体" w:hAnsi="宋体" w:eastAsia="宋体" w:cs="宋体"/>
          <w:caps w:val="0"/>
          <w:smallCaps w:val="0"/>
          <w:color w:val="auto"/>
          <w:spacing w:val="0"/>
          <w:sz w:val="24"/>
          <w:szCs w:val="24"/>
          <w:highlight w:val="none"/>
        </w:rPr>
        <w:instrText xml:space="preserve"> HYPERLINK \l _Toc27965 </w:instrText>
      </w:r>
      <w:r>
        <w:rPr>
          <w:rFonts w:hint="eastAsia" w:ascii="宋体" w:hAnsi="宋体" w:eastAsia="宋体" w:cs="宋体"/>
          <w:caps w:val="0"/>
          <w:smallCaps w:val="0"/>
          <w:color w:val="auto"/>
          <w:spacing w:val="0"/>
          <w:sz w:val="24"/>
          <w:szCs w:val="24"/>
          <w:highlight w:val="none"/>
        </w:rPr>
        <w:fldChar w:fldCharType="separate"/>
      </w:r>
      <w:r>
        <w:rPr>
          <w:rFonts w:hint="eastAsia" w:ascii="宋体" w:hAnsi="宋体" w:eastAsia="宋体" w:cs="宋体"/>
          <w:bCs/>
          <w:color w:val="auto"/>
          <w:kern w:val="2"/>
          <w:sz w:val="24"/>
          <w:szCs w:val="24"/>
          <w:highlight w:val="none"/>
          <w:lang w:val="en-US" w:eastAsia="zh-CN" w:bidi="ar-SA"/>
        </w:rPr>
        <w:t>五、</w:t>
      </w:r>
      <w:r>
        <w:rPr>
          <w:rFonts w:hint="eastAsia" w:ascii="宋体" w:hAnsi="宋体" w:eastAsia="宋体" w:cs="宋体"/>
          <w:bCs/>
          <w:color w:val="auto"/>
          <w:kern w:val="2"/>
          <w:sz w:val="24"/>
          <w:szCs w:val="24"/>
          <w:highlight w:val="none"/>
          <w:lang w:val="hr-HR" w:eastAsia="zh-CN" w:bidi="ar-SA"/>
        </w:rPr>
        <w:t>公告期限</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_Toc27965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- 3 -</w:t>
      </w:r>
      <w:r>
        <w:rPr>
          <w:rFonts w:hint="eastAsia" w:ascii="宋体" w:hAnsi="宋体" w:eastAsia="宋体" w:cs="宋体"/>
          <w:color w:val="auto"/>
          <w:sz w:val="24"/>
          <w:szCs w:val="24"/>
          <w:highlight w:val="none"/>
        </w:rPr>
        <w:fldChar w:fldCharType="end"/>
      </w:r>
      <w:r>
        <w:rPr>
          <w:rFonts w:hint="eastAsia" w:ascii="宋体" w:hAnsi="宋体" w:eastAsia="宋体" w:cs="宋体"/>
          <w:caps w:val="0"/>
          <w:smallCaps w:val="0"/>
          <w:color w:val="auto"/>
          <w:spacing w:val="0"/>
          <w:sz w:val="24"/>
          <w:szCs w:val="24"/>
          <w:highlight w:val="none"/>
        </w:rPr>
        <w:fldChar w:fldCharType="end"/>
      </w:r>
    </w:p>
    <w:p w14:paraId="2ECC5748">
      <w:pPr>
        <w:pStyle w:val="25"/>
        <w:keepNext w:val="0"/>
        <w:keepLines w:val="0"/>
        <w:pageBreakBefore w:val="0"/>
        <w:widowControl w:val="0"/>
        <w:tabs>
          <w:tab w:val="right" w:leader="dot" w:pos="8306"/>
        </w:tabs>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aps w:val="0"/>
          <w:smallCaps w:val="0"/>
          <w:color w:val="auto"/>
          <w:spacing w:val="0"/>
          <w:sz w:val="24"/>
          <w:szCs w:val="24"/>
          <w:highlight w:val="none"/>
        </w:rPr>
        <w:fldChar w:fldCharType="begin"/>
      </w:r>
      <w:r>
        <w:rPr>
          <w:rFonts w:hint="eastAsia" w:ascii="宋体" w:hAnsi="宋体" w:eastAsia="宋体" w:cs="宋体"/>
          <w:caps w:val="0"/>
          <w:smallCaps w:val="0"/>
          <w:color w:val="auto"/>
          <w:spacing w:val="0"/>
          <w:sz w:val="24"/>
          <w:szCs w:val="24"/>
          <w:highlight w:val="none"/>
        </w:rPr>
        <w:instrText xml:space="preserve"> HYPERLINK \l _Toc10290 </w:instrText>
      </w:r>
      <w:r>
        <w:rPr>
          <w:rFonts w:hint="eastAsia" w:ascii="宋体" w:hAnsi="宋体" w:eastAsia="宋体" w:cs="宋体"/>
          <w:caps w:val="0"/>
          <w:smallCaps w:val="0"/>
          <w:color w:val="auto"/>
          <w:spacing w:val="0"/>
          <w:sz w:val="24"/>
          <w:szCs w:val="24"/>
          <w:highlight w:val="none"/>
        </w:rPr>
        <w:fldChar w:fldCharType="separate"/>
      </w:r>
      <w:r>
        <w:rPr>
          <w:rFonts w:hint="eastAsia" w:ascii="宋体" w:hAnsi="宋体" w:eastAsia="宋体" w:cs="宋体"/>
          <w:bCs/>
          <w:color w:val="auto"/>
          <w:kern w:val="2"/>
          <w:sz w:val="24"/>
          <w:szCs w:val="24"/>
          <w:highlight w:val="none"/>
          <w:lang w:val="en-US" w:eastAsia="zh-CN" w:bidi="ar-SA"/>
        </w:rPr>
        <w:t>六、</w:t>
      </w:r>
      <w:r>
        <w:rPr>
          <w:rFonts w:hint="eastAsia" w:ascii="宋体" w:hAnsi="宋体" w:eastAsia="宋体" w:cs="宋体"/>
          <w:bCs/>
          <w:color w:val="auto"/>
          <w:kern w:val="2"/>
          <w:sz w:val="24"/>
          <w:szCs w:val="24"/>
          <w:highlight w:val="none"/>
          <w:lang w:val="hr-HR" w:eastAsia="zh-CN" w:bidi="ar-SA"/>
        </w:rPr>
        <w:t>其他补充事宜【如政采云平台信息内容更新，按最新内容自行修改】</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_Toc10290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- 3 -</w:t>
      </w:r>
      <w:r>
        <w:rPr>
          <w:rFonts w:hint="eastAsia" w:ascii="宋体" w:hAnsi="宋体" w:eastAsia="宋体" w:cs="宋体"/>
          <w:color w:val="auto"/>
          <w:sz w:val="24"/>
          <w:szCs w:val="24"/>
          <w:highlight w:val="none"/>
        </w:rPr>
        <w:fldChar w:fldCharType="end"/>
      </w:r>
      <w:r>
        <w:rPr>
          <w:rFonts w:hint="eastAsia" w:ascii="宋体" w:hAnsi="宋体" w:eastAsia="宋体" w:cs="宋体"/>
          <w:caps w:val="0"/>
          <w:smallCaps w:val="0"/>
          <w:color w:val="auto"/>
          <w:spacing w:val="0"/>
          <w:sz w:val="24"/>
          <w:szCs w:val="24"/>
          <w:highlight w:val="none"/>
        </w:rPr>
        <w:fldChar w:fldCharType="end"/>
      </w:r>
    </w:p>
    <w:p w14:paraId="18B6E56B">
      <w:pPr>
        <w:pStyle w:val="25"/>
        <w:keepNext w:val="0"/>
        <w:keepLines w:val="0"/>
        <w:pageBreakBefore w:val="0"/>
        <w:widowControl w:val="0"/>
        <w:tabs>
          <w:tab w:val="right" w:leader="dot" w:pos="8306"/>
        </w:tabs>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aps w:val="0"/>
          <w:smallCaps w:val="0"/>
          <w:color w:val="auto"/>
          <w:spacing w:val="0"/>
          <w:sz w:val="24"/>
          <w:szCs w:val="24"/>
          <w:highlight w:val="none"/>
        </w:rPr>
        <w:fldChar w:fldCharType="begin"/>
      </w:r>
      <w:r>
        <w:rPr>
          <w:rFonts w:hint="eastAsia" w:ascii="宋体" w:hAnsi="宋体" w:eastAsia="宋体" w:cs="宋体"/>
          <w:caps w:val="0"/>
          <w:smallCaps w:val="0"/>
          <w:color w:val="auto"/>
          <w:spacing w:val="0"/>
          <w:sz w:val="24"/>
          <w:szCs w:val="24"/>
          <w:highlight w:val="none"/>
        </w:rPr>
        <w:instrText xml:space="preserve"> HYPERLINK \l _Toc15605 </w:instrText>
      </w:r>
      <w:r>
        <w:rPr>
          <w:rFonts w:hint="eastAsia" w:ascii="宋体" w:hAnsi="宋体" w:eastAsia="宋体" w:cs="宋体"/>
          <w:caps w:val="0"/>
          <w:smallCaps w:val="0"/>
          <w:color w:val="auto"/>
          <w:spacing w:val="0"/>
          <w:sz w:val="24"/>
          <w:szCs w:val="24"/>
          <w:highlight w:val="none"/>
        </w:rPr>
        <w:fldChar w:fldCharType="separate"/>
      </w:r>
      <w:r>
        <w:rPr>
          <w:rFonts w:hint="eastAsia" w:ascii="宋体" w:hAnsi="宋体" w:eastAsia="宋体" w:cs="宋体"/>
          <w:bCs/>
          <w:color w:val="auto"/>
          <w:kern w:val="2"/>
          <w:sz w:val="24"/>
          <w:szCs w:val="24"/>
          <w:highlight w:val="none"/>
          <w:lang w:val="en-US" w:eastAsia="zh-CN" w:bidi="ar-SA"/>
        </w:rPr>
        <w:t>七、</w:t>
      </w:r>
      <w:r>
        <w:rPr>
          <w:rFonts w:hint="eastAsia" w:ascii="宋体" w:hAnsi="宋体" w:eastAsia="宋体" w:cs="宋体"/>
          <w:bCs/>
          <w:color w:val="auto"/>
          <w:kern w:val="2"/>
          <w:sz w:val="24"/>
          <w:szCs w:val="24"/>
          <w:highlight w:val="none"/>
          <w:lang w:val="hr-HR" w:eastAsia="zh-CN" w:bidi="ar-SA"/>
        </w:rPr>
        <w:t>对本次</w:t>
      </w:r>
      <w:r>
        <w:rPr>
          <w:rFonts w:hint="eastAsia" w:ascii="宋体" w:hAnsi="宋体" w:eastAsia="宋体" w:cs="宋体"/>
          <w:bCs/>
          <w:color w:val="auto"/>
          <w:kern w:val="2"/>
          <w:sz w:val="24"/>
          <w:szCs w:val="24"/>
          <w:highlight w:val="none"/>
          <w:lang w:val="en-US" w:eastAsia="zh-CN" w:bidi="ar-SA"/>
        </w:rPr>
        <w:t>招标</w:t>
      </w:r>
      <w:r>
        <w:rPr>
          <w:rFonts w:hint="eastAsia" w:ascii="宋体" w:hAnsi="宋体" w:eastAsia="宋体" w:cs="宋体"/>
          <w:bCs/>
          <w:color w:val="auto"/>
          <w:kern w:val="2"/>
          <w:sz w:val="24"/>
          <w:szCs w:val="24"/>
          <w:highlight w:val="none"/>
          <w:lang w:val="hr-HR" w:eastAsia="zh-CN" w:bidi="ar-SA"/>
        </w:rPr>
        <w:t>提出询问，请按以下方式联系</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_Toc15605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- 3 -</w:t>
      </w:r>
      <w:r>
        <w:rPr>
          <w:rFonts w:hint="eastAsia" w:ascii="宋体" w:hAnsi="宋体" w:eastAsia="宋体" w:cs="宋体"/>
          <w:color w:val="auto"/>
          <w:sz w:val="24"/>
          <w:szCs w:val="24"/>
          <w:highlight w:val="none"/>
        </w:rPr>
        <w:fldChar w:fldCharType="end"/>
      </w:r>
      <w:r>
        <w:rPr>
          <w:rFonts w:hint="eastAsia" w:ascii="宋体" w:hAnsi="宋体" w:eastAsia="宋体" w:cs="宋体"/>
          <w:caps w:val="0"/>
          <w:smallCaps w:val="0"/>
          <w:color w:val="auto"/>
          <w:spacing w:val="0"/>
          <w:sz w:val="24"/>
          <w:szCs w:val="24"/>
          <w:highlight w:val="none"/>
        </w:rPr>
        <w:fldChar w:fldCharType="end"/>
      </w:r>
    </w:p>
    <w:p w14:paraId="31FDE347">
      <w:pPr>
        <w:pStyle w:val="21"/>
        <w:keepNext w:val="0"/>
        <w:keepLines w:val="0"/>
        <w:pageBreakBefore w:val="0"/>
        <w:widowControl w:val="0"/>
        <w:tabs>
          <w:tab w:val="right" w:leader="dot" w:pos="8306"/>
        </w:tabs>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aps w:val="0"/>
          <w:smallCaps w:val="0"/>
          <w:color w:val="auto"/>
          <w:spacing w:val="0"/>
          <w:sz w:val="24"/>
          <w:szCs w:val="24"/>
          <w:highlight w:val="none"/>
        </w:rPr>
        <w:fldChar w:fldCharType="begin"/>
      </w:r>
      <w:r>
        <w:rPr>
          <w:rFonts w:hint="eastAsia" w:ascii="宋体" w:hAnsi="宋体" w:eastAsia="宋体" w:cs="宋体"/>
          <w:caps w:val="0"/>
          <w:smallCaps w:val="0"/>
          <w:color w:val="auto"/>
          <w:spacing w:val="0"/>
          <w:sz w:val="24"/>
          <w:szCs w:val="24"/>
          <w:highlight w:val="none"/>
        </w:rPr>
        <w:instrText xml:space="preserve"> HYPERLINK \l _Toc32500 </w:instrText>
      </w:r>
      <w:r>
        <w:rPr>
          <w:rFonts w:hint="eastAsia" w:ascii="宋体" w:hAnsi="宋体" w:eastAsia="宋体" w:cs="宋体"/>
          <w:caps w:val="0"/>
          <w:smallCaps w:val="0"/>
          <w:color w:val="auto"/>
          <w:spacing w:val="0"/>
          <w:sz w:val="24"/>
          <w:szCs w:val="24"/>
          <w:highlight w:val="none"/>
        </w:rPr>
        <w:fldChar w:fldCharType="separate"/>
      </w:r>
      <w:r>
        <w:rPr>
          <w:rFonts w:hint="eastAsia" w:ascii="宋体" w:hAnsi="宋体" w:eastAsia="宋体" w:cs="宋体"/>
          <w:bCs/>
          <w:color w:val="auto"/>
          <w:kern w:val="44"/>
          <w:sz w:val="24"/>
          <w:szCs w:val="24"/>
          <w:highlight w:val="none"/>
          <w:lang w:val="en-US" w:eastAsia="zh-CN" w:bidi="ar-SA"/>
        </w:rPr>
        <w:t>第二章 投标人须知</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_Toc32500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- 4 -</w:t>
      </w:r>
      <w:r>
        <w:rPr>
          <w:rFonts w:hint="eastAsia" w:ascii="宋体" w:hAnsi="宋体" w:eastAsia="宋体" w:cs="宋体"/>
          <w:color w:val="auto"/>
          <w:sz w:val="24"/>
          <w:szCs w:val="24"/>
          <w:highlight w:val="none"/>
        </w:rPr>
        <w:fldChar w:fldCharType="end"/>
      </w:r>
      <w:r>
        <w:rPr>
          <w:rFonts w:hint="eastAsia" w:ascii="宋体" w:hAnsi="宋体" w:eastAsia="宋体" w:cs="宋体"/>
          <w:caps w:val="0"/>
          <w:smallCaps w:val="0"/>
          <w:color w:val="auto"/>
          <w:spacing w:val="0"/>
          <w:sz w:val="24"/>
          <w:szCs w:val="24"/>
          <w:highlight w:val="none"/>
        </w:rPr>
        <w:fldChar w:fldCharType="end"/>
      </w:r>
    </w:p>
    <w:p w14:paraId="201687B1">
      <w:pPr>
        <w:pStyle w:val="25"/>
        <w:keepNext w:val="0"/>
        <w:keepLines w:val="0"/>
        <w:pageBreakBefore w:val="0"/>
        <w:widowControl w:val="0"/>
        <w:tabs>
          <w:tab w:val="right" w:leader="dot" w:pos="8306"/>
        </w:tabs>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aps w:val="0"/>
          <w:smallCaps w:val="0"/>
          <w:color w:val="auto"/>
          <w:spacing w:val="0"/>
          <w:sz w:val="24"/>
          <w:szCs w:val="24"/>
          <w:highlight w:val="none"/>
        </w:rPr>
        <w:fldChar w:fldCharType="begin"/>
      </w:r>
      <w:r>
        <w:rPr>
          <w:rFonts w:hint="eastAsia" w:ascii="宋体" w:hAnsi="宋体" w:eastAsia="宋体" w:cs="宋体"/>
          <w:caps w:val="0"/>
          <w:smallCaps w:val="0"/>
          <w:color w:val="auto"/>
          <w:spacing w:val="0"/>
          <w:sz w:val="24"/>
          <w:szCs w:val="24"/>
          <w:highlight w:val="none"/>
        </w:rPr>
        <w:instrText xml:space="preserve"> HYPERLINK \l _Toc1168 </w:instrText>
      </w:r>
      <w:r>
        <w:rPr>
          <w:rFonts w:hint="eastAsia" w:ascii="宋体" w:hAnsi="宋体" w:eastAsia="宋体" w:cs="宋体"/>
          <w:caps w:val="0"/>
          <w:smallCaps w:val="0"/>
          <w:color w:val="auto"/>
          <w:spacing w:val="0"/>
          <w:sz w:val="24"/>
          <w:szCs w:val="24"/>
          <w:highlight w:val="none"/>
        </w:rPr>
        <w:fldChar w:fldCharType="separate"/>
      </w:r>
      <w:r>
        <w:rPr>
          <w:rFonts w:hint="eastAsia" w:ascii="宋体" w:hAnsi="宋体" w:eastAsia="宋体" w:cs="宋体"/>
          <w:bCs/>
          <w:color w:val="auto"/>
          <w:kern w:val="2"/>
          <w:sz w:val="24"/>
          <w:szCs w:val="24"/>
          <w:highlight w:val="none"/>
          <w:lang w:val="en-US" w:eastAsia="zh-CN" w:bidi="ar-SA"/>
        </w:rPr>
        <w:t>一、投标人须知前附表</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_Toc1168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- 4 -</w:t>
      </w:r>
      <w:r>
        <w:rPr>
          <w:rFonts w:hint="eastAsia" w:ascii="宋体" w:hAnsi="宋体" w:eastAsia="宋体" w:cs="宋体"/>
          <w:color w:val="auto"/>
          <w:sz w:val="24"/>
          <w:szCs w:val="24"/>
          <w:highlight w:val="none"/>
        </w:rPr>
        <w:fldChar w:fldCharType="end"/>
      </w:r>
      <w:r>
        <w:rPr>
          <w:rFonts w:hint="eastAsia" w:ascii="宋体" w:hAnsi="宋体" w:eastAsia="宋体" w:cs="宋体"/>
          <w:caps w:val="0"/>
          <w:smallCaps w:val="0"/>
          <w:color w:val="auto"/>
          <w:spacing w:val="0"/>
          <w:sz w:val="24"/>
          <w:szCs w:val="24"/>
          <w:highlight w:val="none"/>
        </w:rPr>
        <w:fldChar w:fldCharType="end"/>
      </w:r>
    </w:p>
    <w:p w14:paraId="3E8B1BD8">
      <w:pPr>
        <w:pStyle w:val="25"/>
        <w:keepNext w:val="0"/>
        <w:keepLines w:val="0"/>
        <w:pageBreakBefore w:val="0"/>
        <w:widowControl w:val="0"/>
        <w:tabs>
          <w:tab w:val="right" w:leader="dot" w:pos="8306"/>
        </w:tabs>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aps w:val="0"/>
          <w:smallCaps w:val="0"/>
          <w:color w:val="auto"/>
          <w:spacing w:val="0"/>
          <w:sz w:val="24"/>
          <w:szCs w:val="24"/>
          <w:highlight w:val="none"/>
        </w:rPr>
        <w:fldChar w:fldCharType="begin"/>
      </w:r>
      <w:r>
        <w:rPr>
          <w:rFonts w:hint="eastAsia" w:ascii="宋体" w:hAnsi="宋体" w:eastAsia="宋体" w:cs="宋体"/>
          <w:caps w:val="0"/>
          <w:smallCaps w:val="0"/>
          <w:color w:val="auto"/>
          <w:spacing w:val="0"/>
          <w:sz w:val="24"/>
          <w:szCs w:val="24"/>
          <w:highlight w:val="none"/>
        </w:rPr>
        <w:instrText xml:space="preserve"> HYPERLINK \l _Toc27559 </w:instrText>
      </w:r>
      <w:r>
        <w:rPr>
          <w:rFonts w:hint="eastAsia" w:ascii="宋体" w:hAnsi="宋体" w:eastAsia="宋体" w:cs="宋体"/>
          <w:caps w:val="0"/>
          <w:smallCaps w:val="0"/>
          <w:color w:val="auto"/>
          <w:spacing w:val="0"/>
          <w:sz w:val="24"/>
          <w:szCs w:val="24"/>
          <w:highlight w:val="none"/>
        </w:rPr>
        <w:fldChar w:fldCharType="separate"/>
      </w:r>
      <w:r>
        <w:rPr>
          <w:rFonts w:hint="eastAsia" w:ascii="宋体" w:hAnsi="宋体" w:eastAsia="宋体" w:cs="宋体"/>
          <w:bCs/>
          <w:color w:val="auto"/>
          <w:kern w:val="2"/>
          <w:sz w:val="24"/>
          <w:szCs w:val="24"/>
          <w:highlight w:val="none"/>
          <w:lang w:val="en-US" w:eastAsia="zh-CN" w:bidi="ar-SA"/>
        </w:rPr>
        <w:t>二、投标人须知</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_Toc27559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- 12 -</w:t>
      </w:r>
      <w:r>
        <w:rPr>
          <w:rFonts w:hint="eastAsia" w:ascii="宋体" w:hAnsi="宋体" w:eastAsia="宋体" w:cs="宋体"/>
          <w:color w:val="auto"/>
          <w:sz w:val="24"/>
          <w:szCs w:val="24"/>
          <w:highlight w:val="none"/>
        </w:rPr>
        <w:fldChar w:fldCharType="end"/>
      </w:r>
      <w:r>
        <w:rPr>
          <w:rFonts w:hint="eastAsia" w:ascii="宋体" w:hAnsi="宋体" w:eastAsia="宋体" w:cs="宋体"/>
          <w:caps w:val="0"/>
          <w:smallCaps w:val="0"/>
          <w:color w:val="auto"/>
          <w:spacing w:val="0"/>
          <w:sz w:val="24"/>
          <w:szCs w:val="24"/>
          <w:highlight w:val="none"/>
        </w:rPr>
        <w:fldChar w:fldCharType="end"/>
      </w:r>
    </w:p>
    <w:p w14:paraId="4746736B">
      <w:pPr>
        <w:pStyle w:val="21"/>
        <w:keepNext w:val="0"/>
        <w:keepLines w:val="0"/>
        <w:pageBreakBefore w:val="0"/>
        <w:widowControl w:val="0"/>
        <w:tabs>
          <w:tab w:val="right" w:leader="dot" w:pos="8306"/>
        </w:tabs>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aps w:val="0"/>
          <w:smallCaps w:val="0"/>
          <w:color w:val="auto"/>
          <w:spacing w:val="0"/>
          <w:sz w:val="24"/>
          <w:szCs w:val="24"/>
          <w:highlight w:val="none"/>
        </w:rPr>
        <w:fldChar w:fldCharType="begin"/>
      </w:r>
      <w:r>
        <w:rPr>
          <w:rFonts w:hint="eastAsia" w:ascii="宋体" w:hAnsi="宋体" w:eastAsia="宋体" w:cs="宋体"/>
          <w:caps w:val="0"/>
          <w:smallCaps w:val="0"/>
          <w:color w:val="auto"/>
          <w:spacing w:val="0"/>
          <w:sz w:val="24"/>
          <w:szCs w:val="24"/>
          <w:highlight w:val="none"/>
        </w:rPr>
        <w:instrText xml:space="preserve"> HYPERLINK \l _Toc32401 </w:instrText>
      </w:r>
      <w:r>
        <w:rPr>
          <w:rFonts w:hint="eastAsia" w:ascii="宋体" w:hAnsi="宋体" w:eastAsia="宋体" w:cs="宋体"/>
          <w:caps w:val="0"/>
          <w:smallCaps w:val="0"/>
          <w:color w:val="auto"/>
          <w:spacing w:val="0"/>
          <w:sz w:val="24"/>
          <w:szCs w:val="24"/>
          <w:highlight w:val="none"/>
        </w:rPr>
        <w:fldChar w:fldCharType="separate"/>
      </w:r>
      <w:r>
        <w:rPr>
          <w:rFonts w:hint="eastAsia" w:ascii="宋体" w:hAnsi="宋体" w:eastAsia="宋体" w:cs="宋体"/>
          <w:bCs/>
          <w:color w:val="auto"/>
          <w:kern w:val="44"/>
          <w:sz w:val="24"/>
          <w:szCs w:val="24"/>
          <w:highlight w:val="none"/>
          <w:lang w:val="en-US" w:eastAsia="zh-CN" w:bidi="ar-SA"/>
        </w:rPr>
        <w:t>第三章 采购需求</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_Toc32401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- 38 -</w:t>
      </w:r>
      <w:r>
        <w:rPr>
          <w:rFonts w:hint="eastAsia" w:ascii="宋体" w:hAnsi="宋体" w:eastAsia="宋体" w:cs="宋体"/>
          <w:color w:val="auto"/>
          <w:sz w:val="24"/>
          <w:szCs w:val="24"/>
          <w:highlight w:val="none"/>
        </w:rPr>
        <w:fldChar w:fldCharType="end"/>
      </w:r>
      <w:r>
        <w:rPr>
          <w:rFonts w:hint="eastAsia" w:ascii="宋体" w:hAnsi="宋体" w:eastAsia="宋体" w:cs="宋体"/>
          <w:caps w:val="0"/>
          <w:smallCaps w:val="0"/>
          <w:color w:val="auto"/>
          <w:spacing w:val="0"/>
          <w:sz w:val="24"/>
          <w:szCs w:val="24"/>
          <w:highlight w:val="none"/>
        </w:rPr>
        <w:fldChar w:fldCharType="end"/>
      </w:r>
    </w:p>
    <w:p w14:paraId="27B3BC53">
      <w:pPr>
        <w:pStyle w:val="21"/>
        <w:keepNext w:val="0"/>
        <w:keepLines w:val="0"/>
        <w:pageBreakBefore w:val="0"/>
        <w:widowControl w:val="0"/>
        <w:tabs>
          <w:tab w:val="right" w:leader="dot" w:pos="8306"/>
        </w:tabs>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aps w:val="0"/>
          <w:smallCaps w:val="0"/>
          <w:color w:val="auto"/>
          <w:spacing w:val="0"/>
          <w:sz w:val="24"/>
          <w:szCs w:val="24"/>
          <w:highlight w:val="none"/>
        </w:rPr>
        <w:fldChar w:fldCharType="begin"/>
      </w:r>
      <w:r>
        <w:rPr>
          <w:rFonts w:hint="eastAsia" w:ascii="宋体" w:hAnsi="宋体" w:eastAsia="宋体" w:cs="宋体"/>
          <w:caps w:val="0"/>
          <w:smallCaps w:val="0"/>
          <w:color w:val="auto"/>
          <w:spacing w:val="0"/>
          <w:sz w:val="24"/>
          <w:szCs w:val="24"/>
          <w:highlight w:val="none"/>
        </w:rPr>
        <w:instrText xml:space="preserve"> HYPERLINK \l _Toc7544 </w:instrText>
      </w:r>
      <w:r>
        <w:rPr>
          <w:rFonts w:hint="eastAsia" w:ascii="宋体" w:hAnsi="宋体" w:eastAsia="宋体" w:cs="宋体"/>
          <w:caps w:val="0"/>
          <w:smallCaps w:val="0"/>
          <w:color w:val="auto"/>
          <w:spacing w:val="0"/>
          <w:sz w:val="24"/>
          <w:szCs w:val="24"/>
          <w:highlight w:val="none"/>
        </w:rPr>
        <w:fldChar w:fldCharType="separate"/>
      </w:r>
      <w:r>
        <w:rPr>
          <w:rFonts w:hint="eastAsia" w:ascii="宋体" w:hAnsi="宋体" w:eastAsia="宋体" w:cs="宋体"/>
          <w:bCs/>
          <w:color w:val="auto"/>
          <w:kern w:val="44"/>
          <w:sz w:val="24"/>
          <w:szCs w:val="24"/>
          <w:highlight w:val="none"/>
          <w:lang w:val="en-US" w:eastAsia="zh-CN" w:bidi="ar-SA"/>
        </w:rPr>
        <w:t>第四章 资格审查</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_Toc7544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- 49 -</w:t>
      </w:r>
      <w:r>
        <w:rPr>
          <w:rFonts w:hint="eastAsia" w:ascii="宋体" w:hAnsi="宋体" w:eastAsia="宋体" w:cs="宋体"/>
          <w:color w:val="auto"/>
          <w:sz w:val="24"/>
          <w:szCs w:val="24"/>
          <w:highlight w:val="none"/>
        </w:rPr>
        <w:fldChar w:fldCharType="end"/>
      </w:r>
      <w:r>
        <w:rPr>
          <w:rFonts w:hint="eastAsia" w:ascii="宋体" w:hAnsi="宋体" w:eastAsia="宋体" w:cs="宋体"/>
          <w:caps w:val="0"/>
          <w:smallCaps w:val="0"/>
          <w:color w:val="auto"/>
          <w:spacing w:val="0"/>
          <w:sz w:val="24"/>
          <w:szCs w:val="24"/>
          <w:highlight w:val="none"/>
        </w:rPr>
        <w:fldChar w:fldCharType="end"/>
      </w:r>
    </w:p>
    <w:p w14:paraId="2452B597">
      <w:pPr>
        <w:pStyle w:val="25"/>
        <w:keepNext w:val="0"/>
        <w:keepLines w:val="0"/>
        <w:pageBreakBefore w:val="0"/>
        <w:widowControl w:val="0"/>
        <w:tabs>
          <w:tab w:val="right" w:leader="dot" w:pos="8306"/>
        </w:tabs>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aps w:val="0"/>
          <w:smallCaps w:val="0"/>
          <w:color w:val="auto"/>
          <w:spacing w:val="0"/>
          <w:sz w:val="24"/>
          <w:szCs w:val="24"/>
          <w:highlight w:val="none"/>
        </w:rPr>
        <w:fldChar w:fldCharType="begin"/>
      </w:r>
      <w:r>
        <w:rPr>
          <w:rFonts w:hint="eastAsia" w:ascii="宋体" w:hAnsi="宋体" w:eastAsia="宋体" w:cs="宋体"/>
          <w:caps w:val="0"/>
          <w:smallCaps w:val="0"/>
          <w:color w:val="auto"/>
          <w:spacing w:val="0"/>
          <w:sz w:val="24"/>
          <w:szCs w:val="24"/>
          <w:highlight w:val="none"/>
        </w:rPr>
        <w:instrText xml:space="preserve"> HYPERLINK \l _Toc26947 </w:instrText>
      </w:r>
      <w:r>
        <w:rPr>
          <w:rFonts w:hint="eastAsia" w:ascii="宋体" w:hAnsi="宋体" w:eastAsia="宋体" w:cs="宋体"/>
          <w:caps w:val="0"/>
          <w:smallCaps w:val="0"/>
          <w:color w:val="auto"/>
          <w:spacing w:val="0"/>
          <w:sz w:val="24"/>
          <w:szCs w:val="24"/>
          <w:highlight w:val="none"/>
        </w:rPr>
        <w:fldChar w:fldCharType="separate"/>
      </w:r>
      <w:r>
        <w:rPr>
          <w:rFonts w:hint="eastAsia" w:ascii="宋体" w:hAnsi="宋体" w:eastAsia="宋体" w:cs="宋体"/>
          <w:color w:val="auto"/>
          <w:sz w:val="24"/>
          <w:szCs w:val="24"/>
          <w:highlight w:val="none"/>
          <w:lang w:val="en-US" w:eastAsia="zh-CN"/>
        </w:rPr>
        <w:t>一、资格审查程序</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_Toc26947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- 49 -</w:t>
      </w:r>
      <w:r>
        <w:rPr>
          <w:rFonts w:hint="eastAsia" w:ascii="宋体" w:hAnsi="宋体" w:eastAsia="宋体" w:cs="宋体"/>
          <w:color w:val="auto"/>
          <w:sz w:val="24"/>
          <w:szCs w:val="24"/>
          <w:highlight w:val="none"/>
        </w:rPr>
        <w:fldChar w:fldCharType="end"/>
      </w:r>
      <w:r>
        <w:rPr>
          <w:rFonts w:hint="eastAsia" w:ascii="宋体" w:hAnsi="宋体" w:eastAsia="宋体" w:cs="宋体"/>
          <w:caps w:val="0"/>
          <w:smallCaps w:val="0"/>
          <w:color w:val="auto"/>
          <w:spacing w:val="0"/>
          <w:sz w:val="24"/>
          <w:szCs w:val="24"/>
          <w:highlight w:val="none"/>
        </w:rPr>
        <w:fldChar w:fldCharType="end"/>
      </w:r>
    </w:p>
    <w:p w14:paraId="2A9AA85D">
      <w:pPr>
        <w:pStyle w:val="25"/>
        <w:keepNext w:val="0"/>
        <w:keepLines w:val="0"/>
        <w:pageBreakBefore w:val="0"/>
        <w:widowControl w:val="0"/>
        <w:tabs>
          <w:tab w:val="right" w:leader="dot" w:pos="8306"/>
        </w:tabs>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aps w:val="0"/>
          <w:smallCaps w:val="0"/>
          <w:color w:val="auto"/>
          <w:spacing w:val="0"/>
          <w:sz w:val="24"/>
          <w:szCs w:val="24"/>
          <w:highlight w:val="none"/>
        </w:rPr>
        <w:fldChar w:fldCharType="begin"/>
      </w:r>
      <w:r>
        <w:rPr>
          <w:rFonts w:hint="eastAsia" w:ascii="宋体" w:hAnsi="宋体" w:eastAsia="宋体" w:cs="宋体"/>
          <w:caps w:val="0"/>
          <w:smallCaps w:val="0"/>
          <w:color w:val="auto"/>
          <w:spacing w:val="0"/>
          <w:sz w:val="24"/>
          <w:szCs w:val="24"/>
          <w:highlight w:val="none"/>
        </w:rPr>
        <w:instrText xml:space="preserve"> HYPERLINK \l _Toc15886 </w:instrText>
      </w:r>
      <w:r>
        <w:rPr>
          <w:rFonts w:hint="eastAsia" w:ascii="宋体" w:hAnsi="宋体" w:eastAsia="宋体" w:cs="宋体"/>
          <w:caps w:val="0"/>
          <w:smallCaps w:val="0"/>
          <w:color w:val="auto"/>
          <w:spacing w:val="0"/>
          <w:sz w:val="24"/>
          <w:szCs w:val="24"/>
          <w:highlight w:val="none"/>
        </w:rPr>
        <w:fldChar w:fldCharType="separate"/>
      </w:r>
      <w:r>
        <w:rPr>
          <w:rFonts w:hint="eastAsia" w:ascii="宋体" w:hAnsi="宋体" w:eastAsia="宋体" w:cs="宋体"/>
          <w:color w:val="auto"/>
          <w:sz w:val="24"/>
          <w:szCs w:val="24"/>
          <w:highlight w:val="none"/>
          <w:lang w:val="en-US" w:eastAsia="zh-CN"/>
        </w:rPr>
        <w:t>二、资格审查要求</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_Toc15886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- 49 -</w:t>
      </w:r>
      <w:r>
        <w:rPr>
          <w:rFonts w:hint="eastAsia" w:ascii="宋体" w:hAnsi="宋体" w:eastAsia="宋体" w:cs="宋体"/>
          <w:color w:val="auto"/>
          <w:sz w:val="24"/>
          <w:szCs w:val="24"/>
          <w:highlight w:val="none"/>
        </w:rPr>
        <w:fldChar w:fldCharType="end"/>
      </w:r>
      <w:r>
        <w:rPr>
          <w:rFonts w:hint="eastAsia" w:ascii="宋体" w:hAnsi="宋体" w:eastAsia="宋体" w:cs="宋体"/>
          <w:caps w:val="0"/>
          <w:smallCaps w:val="0"/>
          <w:color w:val="auto"/>
          <w:spacing w:val="0"/>
          <w:sz w:val="24"/>
          <w:szCs w:val="24"/>
          <w:highlight w:val="none"/>
        </w:rPr>
        <w:fldChar w:fldCharType="end"/>
      </w:r>
    </w:p>
    <w:p w14:paraId="2F4AC75B">
      <w:pPr>
        <w:pStyle w:val="21"/>
        <w:keepNext w:val="0"/>
        <w:keepLines w:val="0"/>
        <w:pageBreakBefore w:val="0"/>
        <w:widowControl w:val="0"/>
        <w:tabs>
          <w:tab w:val="right" w:leader="dot" w:pos="8306"/>
        </w:tabs>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aps w:val="0"/>
          <w:smallCaps w:val="0"/>
          <w:color w:val="auto"/>
          <w:spacing w:val="0"/>
          <w:sz w:val="24"/>
          <w:szCs w:val="24"/>
          <w:highlight w:val="none"/>
        </w:rPr>
        <w:fldChar w:fldCharType="begin"/>
      </w:r>
      <w:r>
        <w:rPr>
          <w:rFonts w:hint="eastAsia" w:ascii="宋体" w:hAnsi="宋体" w:eastAsia="宋体" w:cs="宋体"/>
          <w:caps w:val="0"/>
          <w:smallCaps w:val="0"/>
          <w:color w:val="auto"/>
          <w:spacing w:val="0"/>
          <w:sz w:val="24"/>
          <w:szCs w:val="24"/>
          <w:highlight w:val="none"/>
        </w:rPr>
        <w:instrText xml:space="preserve"> HYPERLINK \l _Toc28158 </w:instrText>
      </w:r>
      <w:r>
        <w:rPr>
          <w:rFonts w:hint="eastAsia" w:ascii="宋体" w:hAnsi="宋体" w:eastAsia="宋体" w:cs="宋体"/>
          <w:caps w:val="0"/>
          <w:smallCaps w:val="0"/>
          <w:color w:val="auto"/>
          <w:spacing w:val="0"/>
          <w:sz w:val="24"/>
          <w:szCs w:val="24"/>
          <w:highlight w:val="none"/>
        </w:rPr>
        <w:fldChar w:fldCharType="separate"/>
      </w:r>
      <w:r>
        <w:rPr>
          <w:rFonts w:hint="eastAsia" w:ascii="宋体" w:hAnsi="宋体" w:eastAsia="宋体" w:cs="宋体"/>
          <w:bCs/>
          <w:color w:val="auto"/>
          <w:kern w:val="44"/>
          <w:sz w:val="24"/>
          <w:szCs w:val="24"/>
          <w:highlight w:val="none"/>
          <w:lang w:val="en-US" w:eastAsia="zh-CN" w:bidi="ar-SA"/>
        </w:rPr>
        <w:t>第五章 评标方法及标准(综合评分法)</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_Toc28158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- 53 -</w:t>
      </w:r>
      <w:r>
        <w:rPr>
          <w:rFonts w:hint="eastAsia" w:ascii="宋体" w:hAnsi="宋体" w:eastAsia="宋体" w:cs="宋体"/>
          <w:color w:val="auto"/>
          <w:sz w:val="24"/>
          <w:szCs w:val="24"/>
          <w:highlight w:val="none"/>
        </w:rPr>
        <w:fldChar w:fldCharType="end"/>
      </w:r>
      <w:r>
        <w:rPr>
          <w:rFonts w:hint="eastAsia" w:ascii="宋体" w:hAnsi="宋体" w:eastAsia="宋体" w:cs="宋体"/>
          <w:caps w:val="0"/>
          <w:smallCaps w:val="0"/>
          <w:color w:val="auto"/>
          <w:spacing w:val="0"/>
          <w:sz w:val="24"/>
          <w:szCs w:val="24"/>
          <w:highlight w:val="none"/>
        </w:rPr>
        <w:fldChar w:fldCharType="end"/>
      </w:r>
    </w:p>
    <w:p w14:paraId="3790DA00">
      <w:pPr>
        <w:pStyle w:val="25"/>
        <w:keepNext w:val="0"/>
        <w:keepLines w:val="0"/>
        <w:pageBreakBefore w:val="0"/>
        <w:widowControl w:val="0"/>
        <w:tabs>
          <w:tab w:val="right" w:leader="dot" w:pos="8306"/>
        </w:tabs>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aps w:val="0"/>
          <w:smallCaps w:val="0"/>
          <w:color w:val="auto"/>
          <w:spacing w:val="0"/>
          <w:sz w:val="24"/>
          <w:szCs w:val="24"/>
          <w:highlight w:val="none"/>
        </w:rPr>
        <w:fldChar w:fldCharType="begin"/>
      </w:r>
      <w:r>
        <w:rPr>
          <w:rFonts w:hint="eastAsia" w:ascii="宋体" w:hAnsi="宋体" w:eastAsia="宋体" w:cs="宋体"/>
          <w:caps w:val="0"/>
          <w:smallCaps w:val="0"/>
          <w:color w:val="auto"/>
          <w:spacing w:val="0"/>
          <w:sz w:val="24"/>
          <w:szCs w:val="24"/>
          <w:highlight w:val="none"/>
        </w:rPr>
        <w:instrText xml:space="preserve"> HYPERLINK \l _Toc17592 </w:instrText>
      </w:r>
      <w:r>
        <w:rPr>
          <w:rFonts w:hint="eastAsia" w:ascii="宋体" w:hAnsi="宋体" w:eastAsia="宋体" w:cs="宋体"/>
          <w:caps w:val="0"/>
          <w:smallCaps w:val="0"/>
          <w:color w:val="auto"/>
          <w:spacing w:val="0"/>
          <w:sz w:val="24"/>
          <w:szCs w:val="24"/>
          <w:highlight w:val="none"/>
        </w:rPr>
        <w:fldChar w:fldCharType="separate"/>
      </w:r>
      <w:r>
        <w:rPr>
          <w:rFonts w:hint="eastAsia" w:ascii="宋体" w:hAnsi="宋体" w:eastAsia="宋体" w:cs="宋体"/>
          <w:color w:val="auto"/>
          <w:sz w:val="24"/>
          <w:szCs w:val="24"/>
          <w:highlight w:val="none"/>
          <w:lang w:val="zh-CN" w:eastAsia="zh-CN"/>
        </w:rPr>
        <w:t>一、评标</w:t>
      </w:r>
      <w:r>
        <w:rPr>
          <w:rFonts w:hint="eastAsia" w:ascii="宋体" w:hAnsi="宋体" w:eastAsia="宋体" w:cs="宋体"/>
          <w:color w:val="auto"/>
          <w:sz w:val="24"/>
          <w:szCs w:val="24"/>
          <w:highlight w:val="none"/>
          <w:lang w:val="en-US" w:eastAsia="zh-CN"/>
        </w:rPr>
        <w:t>方</w:t>
      </w:r>
      <w:r>
        <w:rPr>
          <w:rFonts w:hint="eastAsia" w:ascii="宋体" w:hAnsi="宋体" w:eastAsia="宋体" w:cs="宋体"/>
          <w:color w:val="auto"/>
          <w:sz w:val="24"/>
          <w:szCs w:val="24"/>
          <w:highlight w:val="none"/>
          <w:lang w:val="zh-CN" w:eastAsia="zh-CN"/>
        </w:rPr>
        <w:t>法</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_Toc17592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- 53 -</w:t>
      </w:r>
      <w:r>
        <w:rPr>
          <w:rFonts w:hint="eastAsia" w:ascii="宋体" w:hAnsi="宋体" w:eastAsia="宋体" w:cs="宋体"/>
          <w:color w:val="auto"/>
          <w:sz w:val="24"/>
          <w:szCs w:val="24"/>
          <w:highlight w:val="none"/>
        </w:rPr>
        <w:fldChar w:fldCharType="end"/>
      </w:r>
      <w:r>
        <w:rPr>
          <w:rFonts w:hint="eastAsia" w:ascii="宋体" w:hAnsi="宋体" w:eastAsia="宋体" w:cs="宋体"/>
          <w:caps w:val="0"/>
          <w:smallCaps w:val="0"/>
          <w:color w:val="auto"/>
          <w:spacing w:val="0"/>
          <w:sz w:val="24"/>
          <w:szCs w:val="24"/>
          <w:highlight w:val="none"/>
        </w:rPr>
        <w:fldChar w:fldCharType="end"/>
      </w:r>
    </w:p>
    <w:p w14:paraId="1A72A385">
      <w:pPr>
        <w:pStyle w:val="25"/>
        <w:keepNext w:val="0"/>
        <w:keepLines w:val="0"/>
        <w:pageBreakBefore w:val="0"/>
        <w:widowControl w:val="0"/>
        <w:tabs>
          <w:tab w:val="right" w:leader="dot" w:pos="8306"/>
        </w:tabs>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aps w:val="0"/>
          <w:smallCaps w:val="0"/>
          <w:color w:val="auto"/>
          <w:spacing w:val="0"/>
          <w:sz w:val="24"/>
          <w:szCs w:val="24"/>
          <w:highlight w:val="none"/>
        </w:rPr>
        <w:fldChar w:fldCharType="begin"/>
      </w:r>
      <w:r>
        <w:rPr>
          <w:rFonts w:hint="eastAsia" w:ascii="宋体" w:hAnsi="宋体" w:eastAsia="宋体" w:cs="宋体"/>
          <w:caps w:val="0"/>
          <w:smallCaps w:val="0"/>
          <w:color w:val="auto"/>
          <w:spacing w:val="0"/>
          <w:sz w:val="24"/>
          <w:szCs w:val="24"/>
          <w:highlight w:val="none"/>
        </w:rPr>
        <w:instrText xml:space="preserve"> HYPERLINK \l _Toc27095 </w:instrText>
      </w:r>
      <w:r>
        <w:rPr>
          <w:rFonts w:hint="eastAsia" w:ascii="宋体" w:hAnsi="宋体" w:eastAsia="宋体" w:cs="宋体"/>
          <w:caps w:val="0"/>
          <w:smallCaps w:val="0"/>
          <w:color w:val="auto"/>
          <w:spacing w:val="0"/>
          <w:sz w:val="24"/>
          <w:szCs w:val="24"/>
          <w:highlight w:val="none"/>
        </w:rPr>
        <w:fldChar w:fldCharType="separate"/>
      </w:r>
      <w:r>
        <w:rPr>
          <w:rFonts w:hint="eastAsia" w:ascii="宋体" w:hAnsi="宋体" w:eastAsia="宋体" w:cs="宋体"/>
          <w:color w:val="auto"/>
          <w:sz w:val="24"/>
          <w:szCs w:val="24"/>
          <w:highlight w:val="none"/>
          <w:lang w:val="en-US" w:eastAsia="zh-CN"/>
        </w:rPr>
        <w:t>二</w:t>
      </w:r>
      <w:r>
        <w:rPr>
          <w:rFonts w:hint="eastAsia" w:ascii="宋体" w:hAnsi="宋体" w:eastAsia="宋体" w:cs="宋体"/>
          <w:color w:val="auto"/>
          <w:sz w:val="24"/>
          <w:szCs w:val="24"/>
          <w:highlight w:val="none"/>
          <w:lang w:val="zh-CN" w:eastAsia="zh-CN"/>
        </w:rPr>
        <w:t>、评标程序</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_Toc27095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- 53 -</w:t>
      </w:r>
      <w:r>
        <w:rPr>
          <w:rFonts w:hint="eastAsia" w:ascii="宋体" w:hAnsi="宋体" w:eastAsia="宋体" w:cs="宋体"/>
          <w:color w:val="auto"/>
          <w:sz w:val="24"/>
          <w:szCs w:val="24"/>
          <w:highlight w:val="none"/>
        </w:rPr>
        <w:fldChar w:fldCharType="end"/>
      </w:r>
      <w:r>
        <w:rPr>
          <w:rFonts w:hint="eastAsia" w:ascii="宋体" w:hAnsi="宋体" w:eastAsia="宋体" w:cs="宋体"/>
          <w:caps w:val="0"/>
          <w:smallCaps w:val="0"/>
          <w:color w:val="auto"/>
          <w:spacing w:val="0"/>
          <w:sz w:val="24"/>
          <w:szCs w:val="24"/>
          <w:highlight w:val="none"/>
        </w:rPr>
        <w:fldChar w:fldCharType="end"/>
      </w:r>
    </w:p>
    <w:p w14:paraId="3AE775DF">
      <w:pPr>
        <w:pStyle w:val="25"/>
        <w:keepNext w:val="0"/>
        <w:keepLines w:val="0"/>
        <w:pageBreakBefore w:val="0"/>
        <w:widowControl w:val="0"/>
        <w:tabs>
          <w:tab w:val="right" w:leader="dot" w:pos="8306"/>
        </w:tabs>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aps w:val="0"/>
          <w:smallCaps w:val="0"/>
          <w:color w:val="auto"/>
          <w:spacing w:val="0"/>
          <w:sz w:val="24"/>
          <w:szCs w:val="24"/>
          <w:highlight w:val="none"/>
        </w:rPr>
        <w:fldChar w:fldCharType="begin"/>
      </w:r>
      <w:r>
        <w:rPr>
          <w:rFonts w:hint="eastAsia" w:ascii="宋体" w:hAnsi="宋体" w:eastAsia="宋体" w:cs="宋体"/>
          <w:caps w:val="0"/>
          <w:smallCaps w:val="0"/>
          <w:color w:val="auto"/>
          <w:spacing w:val="0"/>
          <w:sz w:val="24"/>
          <w:szCs w:val="24"/>
          <w:highlight w:val="none"/>
        </w:rPr>
        <w:instrText xml:space="preserve"> HYPERLINK \l _Toc5253 </w:instrText>
      </w:r>
      <w:r>
        <w:rPr>
          <w:rFonts w:hint="eastAsia" w:ascii="宋体" w:hAnsi="宋体" w:eastAsia="宋体" w:cs="宋体"/>
          <w:caps w:val="0"/>
          <w:smallCaps w:val="0"/>
          <w:color w:val="auto"/>
          <w:spacing w:val="0"/>
          <w:sz w:val="24"/>
          <w:szCs w:val="24"/>
          <w:highlight w:val="none"/>
        </w:rPr>
        <w:fldChar w:fldCharType="separate"/>
      </w:r>
      <w:r>
        <w:rPr>
          <w:rFonts w:hint="eastAsia" w:ascii="宋体" w:hAnsi="宋体" w:eastAsia="宋体" w:cs="宋体"/>
          <w:color w:val="auto"/>
          <w:sz w:val="24"/>
          <w:szCs w:val="24"/>
          <w:highlight w:val="none"/>
          <w:lang w:val="zh-CN" w:eastAsia="zh-CN"/>
        </w:rPr>
        <w:t>三、评标</w:t>
      </w:r>
      <w:r>
        <w:rPr>
          <w:rFonts w:hint="eastAsia" w:ascii="宋体" w:hAnsi="宋体" w:eastAsia="宋体" w:cs="宋体"/>
          <w:color w:val="auto"/>
          <w:sz w:val="24"/>
          <w:szCs w:val="24"/>
          <w:highlight w:val="none"/>
          <w:lang w:val="en-US" w:eastAsia="zh-CN"/>
        </w:rPr>
        <w:t>其他要求</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_Toc5253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- 60 -</w:t>
      </w:r>
      <w:r>
        <w:rPr>
          <w:rFonts w:hint="eastAsia" w:ascii="宋体" w:hAnsi="宋体" w:eastAsia="宋体" w:cs="宋体"/>
          <w:color w:val="auto"/>
          <w:sz w:val="24"/>
          <w:szCs w:val="24"/>
          <w:highlight w:val="none"/>
        </w:rPr>
        <w:fldChar w:fldCharType="end"/>
      </w:r>
      <w:r>
        <w:rPr>
          <w:rFonts w:hint="eastAsia" w:ascii="宋体" w:hAnsi="宋体" w:eastAsia="宋体" w:cs="宋体"/>
          <w:caps w:val="0"/>
          <w:smallCaps w:val="0"/>
          <w:color w:val="auto"/>
          <w:spacing w:val="0"/>
          <w:sz w:val="24"/>
          <w:szCs w:val="24"/>
          <w:highlight w:val="none"/>
        </w:rPr>
        <w:fldChar w:fldCharType="end"/>
      </w:r>
    </w:p>
    <w:p w14:paraId="7DB5213B">
      <w:pPr>
        <w:pStyle w:val="25"/>
        <w:keepNext w:val="0"/>
        <w:keepLines w:val="0"/>
        <w:pageBreakBefore w:val="0"/>
        <w:widowControl w:val="0"/>
        <w:tabs>
          <w:tab w:val="right" w:leader="dot" w:pos="8306"/>
        </w:tabs>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aps w:val="0"/>
          <w:smallCaps w:val="0"/>
          <w:color w:val="auto"/>
          <w:spacing w:val="0"/>
          <w:sz w:val="24"/>
          <w:szCs w:val="24"/>
          <w:highlight w:val="none"/>
        </w:rPr>
        <w:fldChar w:fldCharType="begin"/>
      </w:r>
      <w:r>
        <w:rPr>
          <w:rFonts w:hint="eastAsia" w:ascii="宋体" w:hAnsi="宋体" w:eastAsia="宋体" w:cs="宋体"/>
          <w:caps w:val="0"/>
          <w:smallCaps w:val="0"/>
          <w:color w:val="auto"/>
          <w:spacing w:val="0"/>
          <w:sz w:val="24"/>
          <w:szCs w:val="24"/>
          <w:highlight w:val="none"/>
        </w:rPr>
        <w:instrText xml:space="preserve"> HYPERLINK \l _Toc17549 </w:instrText>
      </w:r>
      <w:r>
        <w:rPr>
          <w:rFonts w:hint="eastAsia" w:ascii="宋体" w:hAnsi="宋体" w:eastAsia="宋体" w:cs="宋体"/>
          <w:caps w:val="0"/>
          <w:smallCaps w:val="0"/>
          <w:color w:val="auto"/>
          <w:spacing w:val="0"/>
          <w:sz w:val="24"/>
          <w:szCs w:val="24"/>
          <w:highlight w:val="none"/>
        </w:rPr>
        <w:fldChar w:fldCharType="separate"/>
      </w:r>
      <w:r>
        <w:rPr>
          <w:rFonts w:hint="eastAsia" w:ascii="宋体" w:hAnsi="宋体" w:eastAsia="宋体" w:cs="宋体"/>
          <w:color w:val="auto"/>
          <w:sz w:val="24"/>
          <w:szCs w:val="24"/>
          <w:highlight w:val="none"/>
          <w:lang w:val="en-US" w:eastAsia="zh-CN"/>
        </w:rPr>
        <w:t>四</w:t>
      </w:r>
      <w:r>
        <w:rPr>
          <w:rFonts w:hint="eastAsia" w:ascii="宋体" w:hAnsi="宋体" w:eastAsia="宋体" w:cs="宋体"/>
          <w:color w:val="auto"/>
          <w:sz w:val="24"/>
          <w:szCs w:val="24"/>
          <w:highlight w:val="none"/>
          <w:lang w:val="zh-CN" w:eastAsia="zh-CN"/>
        </w:rPr>
        <w:t>、评标标准</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_Toc17549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- 61 -</w:t>
      </w:r>
      <w:r>
        <w:rPr>
          <w:rFonts w:hint="eastAsia" w:ascii="宋体" w:hAnsi="宋体" w:eastAsia="宋体" w:cs="宋体"/>
          <w:color w:val="auto"/>
          <w:sz w:val="24"/>
          <w:szCs w:val="24"/>
          <w:highlight w:val="none"/>
        </w:rPr>
        <w:fldChar w:fldCharType="end"/>
      </w:r>
      <w:r>
        <w:rPr>
          <w:rFonts w:hint="eastAsia" w:ascii="宋体" w:hAnsi="宋体" w:eastAsia="宋体" w:cs="宋体"/>
          <w:caps w:val="0"/>
          <w:smallCaps w:val="0"/>
          <w:color w:val="auto"/>
          <w:spacing w:val="0"/>
          <w:sz w:val="24"/>
          <w:szCs w:val="24"/>
          <w:highlight w:val="none"/>
        </w:rPr>
        <w:fldChar w:fldCharType="end"/>
      </w:r>
    </w:p>
    <w:p w14:paraId="306CF536">
      <w:pPr>
        <w:pStyle w:val="21"/>
        <w:keepNext w:val="0"/>
        <w:keepLines w:val="0"/>
        <w:pageBreakBefore w:val="0"/>
        <w:widowControl w:val="0"/>
        <w:tabs>
          <w:tab w:val="right" w:leader="dot" w:pos="8306"/>
        </w:tabs>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aps w:val="0"/>
          <w:smallCaps w:val="0"/>
          <w:color w:val="auto"/>
          <w:spacing w:val="0"/>
          <w:sz w:val="24"/>
          <w:szCs w:val="24"/>
          <w:highlight w:val="none"/>
        </w:rPr>
        <w:fldChar w:fldCharType="begin"/>
      </w:r>
      <w:r>
        <w:rPr>
          <w:rFonts w:hint="eastAsia" w:ascii="宋体" w:hAnsi="宋体" w:eastAsia="宋体" w:cs="宋体"/>
          <w:caps w:val="0"/>
          <w:smallCaps w:val="0"/>
          <w:color w:val="auto"/>
          <w:spacing w:val="0"/>
          <w:sz w:val="24"/>
          <w:szCs w:val="24"/>
          <w:highlight w:val="none"/>
        </w:rPr>
        <w:instrText xml:space="preserve"> HYPERLINK \l _Toc1640 </w:instrText>
      </w:r>
      <w:r>
        <w:rPr>
          <w:rFonts w:hint="eastAsia" w:ascii="宋体" w:hAnsi="宋体" w:eastAsia="宋体" w:cs="宋体"/>
          <w:caps w:val="0"/>
          <w:smallCaps w:val="0"/>
          <w:color w:val="auto"/>
          <w:spacing w:val="0"/>
          <w:sz w:val="24"/>
          <w:szCs w:val="24"/>
          <w:highlight w:val="none"/>
        </w:rPr>
        <w:fldChar w:fldCharType="separate"/>
      </w:r>
      <w:r>
        <w:rPr>
          <w:rFonts w:hint="eastAsia" w:ascii="宋体" w:hAnsi="宋体" w:eastAsia="宋体" w:cs="宋体"/>
          <w:bCs/>
          <w:color w:val="auto"/>
          <w:kern w:val="44"/>
          <w:sz w:val="24"/>
          <w:szCs w:val="24"/>
          <w:highlight w:val="none"/>
          <w:lang w:val="zh-CN" w:eastAsia="zh-CN" w:bidi="ar-SA"/>
        </w:rPr>
        <w:t>第六章 合同草案</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_Toc1640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- 69 -</w:t>
      </w:r>
      <w:r>
        <w:rPr>
          <w:rFonts w:hint="eastAsia" w:ascii="宋体" w:hAnsi="宋体" w:eastAsia="宋体" w:cs="宋体"/>
          <w:color w:val="auto"/>
          <w:sz w:val="24"/>
          <w:szCs w:val="24"/>
          <w:highlight w:val="none"/>
        </w:rPr>
        <w:fldChar w:fldCharType="end"/>
      </w:r>
      <w:r>
        <w:rPr>
          <w:rFonts w:hint="eastAsia" w:ascii="宋体" w:hAnsi="宋体" w:eastAsia="宋体" w:cs="宋体"/>
          <w:caps w:val="0"/>
          <w:smallCaps w:val="0"/>
          <w:color w:val="auto"/>
          <w:spacing w:val="0"/>
          <w:sz w:val="24"/>
          <w:szCs w:val="24"/>
          <w:highlight w:val="none"/>
        </w:rPr>
        <w:fldChar w:fldCharType="end"/>
      </w:r>
    </w:p>
    <w:p w14:paraId="56218827">
      <w:pPr>
        <w:pStyle w:val="25"/>
        <w:keepNext w:val="0"/>
        <w:keepLines w:val="0"/>
        <w:pageBreakBefore w:val="0"/>
        <w:widowControl w:val="0"/>
        <w:tabs>
          <w:tab w:val="right" w:leader="dot" w:pos="8306"/>
        </w:tabs>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aps w:val="0"/>
          <w:smallCaps w:val="0"/>
          <w:color w:val="auto"/>
          <w:spacing w:val="0"/>
          <w:sz w:val="24"/>
          <w:szCs w:val="24"/>
          <w:highlight w:val="none"/>
        </w:rPr>
        <w:fldChar w:fldCharType="begin"/>
      </w:r>
      <w:r>
        <w:rPr>
          <w:rFonts w:hint="eastAsia" w:ascii="宋体" w:hAnsi="宋体" w:eastAsia="宋体" w:cs="宋体"/>
          <w:caps w:val="0"/>
          <w:smallCaps w:val="0"/>
          <w:color w:val="auto"/>
          <w:spacing w:val="0"/>
          <w:sz w:val="24"/>
          <w:szCs w:val="24"/>
          <w:highlight w:val="none"/>
        </w:rPr>
        <w:instrText xml:space="preserve"> HYPERLINK \l _Toc31195 </w:instrText>
      </w:r>
      <w:r>
        <w:rPr>
          <w:rFonts w:hint="eastAsia" w:ascii="宋体" w:hAnsi="宋体" w:eastAsia="宋体" w:cs="宋体"/>
          <w:caps w:val="0"/>
          <w:smallCaps w:val="0"/>
          <w:color w:val="auto"/>
          <w:spacing w:val="0"/>
          <w:sz w:val="24"/>
          <w:szCs w:val="24"/>
          <w:highlight w:val="none"/>
        </w:rPr>
        <w:fldChar w:fldCharType="separate"/>
      </w:r>
      <w:r>
        <w:rPr>
          <w:rFonts w:hint="eastAsia" w:ascii="宋体" w:hAnsi="宋体" w:eastAsia="宋体" w:cs="宋体"/>
          <w:bCs/>
          <w:color w:val="auto"/>
          <w:spacing w:val="-20"/>
          <w:kern w:val="44"/>
          <w:sz w:val="24"/>
          <w:szCs w:val="24"/>
          <w:highlight w:val="none"/>
          <w:lang w:val="en-US" w:eastAsia="zh-CN" w:bidi="ar-SA"/>
        </w:rPr>
        <w:t>政府采购合同参考范本</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_Toc31195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- 69 -</w:t>
      </w:r>
      <w:r>
        <w:rPr>
          <w:rFonts w:hint="eastAsia" w:ascii="宋体" w:hAnsi="宋体" w:eastAsia="宋体" w:cs="宋体"/>
          <w:color w:val="auto"/>
          <w:sz w:val="24"/>
          <w:szCs w:val="24"/>
          <w:highlight w:val="none"/>
        </w:rPr>
        <w:fldChar w:fldCharType="end"/>
      </w:r>
      <w:r>
        <w:rPr>
          <w:rFonts w:hint="eastAsia" w:ascii="宋体" w:hAnsi="宋体" w:eastAsia="宋体" w:cs="宋体"/>
          <w:caps w:val="0"/>
          <w:smallCaps w:val="0"/>
          <w:color w:val="auto"/>
          <w:spacing w:val="0"/>
          <w:sz w:val="24"/>
          <w:szCs w:val="24"/>
          <w:highlight w:val="none"/>
        </w:rPr>
        <w:fldChar w:fldCharType="end"/>
      </w:r>
    </w:p>
    <w:p w14:paraId="24F6F4B7">
      <w:pPr>
        <w:pStyle w:val="25"/>
        <w:keepNext w:val="0"/>
        <w:keepLines w:val="0"/>
        <w:pageBreakBefore w:val="0"/>
        <w:widowControl w:val="0"/>
        <w:tabs>
          <w:tab w:val="right" w:leader="dot" w:pos="8306"/>
        </w:tabs>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aps w:val="0"/>
          <w:smallCaps w:val="0"/>
          <w:color w:val="auto"/>
          <w:spacing w:val="0"/>
          <w:sz w:val="24"/>
          <w:szCs w:val="24"/>
          <w:highlight w:val="none"/>
        </w:rPr>
        <w:fldChar w:fldCharType="begin"/>
      </w:r>
      <w:r>
        <w:rPr>
          <w:rFonts w:hint="eastAsia" w:ascii="宋体" w:hAnsi="宋体" w:eastAsia="宋体" w:cs="宋体"/>
          <w:caps w:val="0"/>
          <w:smallCaps w:val="0"/>
          <w:color w:val="auto"/>
          <w:spacing w:val="0"/>
          <w:sz w:val="24"/>
          <w:szCs w:val="24"/>
          <w:highlight w:val="none"/>
        </w:rPr>
        <w:instrText xml:space="preserve"> HYPERLINK \l _Toc3569 </w:instrText>
      </w:r>
      <w:r>
        <w:rPr>
          <w:rFonts w:hint="eastAsia" w:ascii="宋体" w:hAnsi="宋体" w:eastAsia="宋体" w:cs="宋体"/>
          <w:caps w:val="0"/>
          <w:smallCaps w:val="0"/>
          <w:color w:val="auto"/>
          <w:spacing w:val="0"/>
          <w:sz w:val="24"/>
          <w:szCs w:val="24"/>
          <w:highlight w:val="none"/>
        </w:rPr>
        <w:fldChar w:fldCharType="separate"/>
      </w:r>
      <w:r>
        <w:rPr>
          <w:rFonts w:hint="eastAsia" w:ascii="宋体" w:hAnsi="宋体" w:eastAsia="宋体" w:cs="宋体"/>
          <w:bCs/>
          <w:color w:val="auto"/>
          <w:spacing w:val="-20"/>
          <w:kern w:val="44"/>
          <w:sz w:val="24"/>
          <w:szCs w:val="24"/>
          <w:highlight w:val="none"/>
          <w:lang w:val="en-US" w:eastAsia="zh-CN" w:bidi="ar-SA"/>
        </w:rPr>
        <w:t>（服务类）</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_Toc3569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- 69 -</w:t>
      </w:r>
      <w:r>
        <w:rPr>
          <w:rFonts w:hint="eastAsia" w:ascii="宋体" w:hAnsi="宋体" w:eastAsia="宋体" w:cs="宋体"/>
          <w:color w:val="auto"/>
          <w:sz w:val="24"/>
          <w:szCs w:val="24"/>
          <w:highlight w:val="none"/>
        </w:rPr>
        <w:fldChar w:fldCharType="end"/>
      </w:r>
      <w:r>
        <w:rPr>
          <w:rFonts w:hint="eastAsia" w:ascii="宋体" w:hAnsi="宋体" w:eastAsia="宋体" w:cs="宋体"/>
          <w:caps w:val="0"/>
          <w:smallCaps w:val="0"/>
          <w:color w:val="auto"/>
          <w:spacing w:val="0"/>
          <w:sz w:val="24"/>
          <w:szCs w:val="24"/>
          <w:highlight w:val="none"/>
        </w:rPr>
        <w:fldChar w:fldCharType="end"/>
      </w:r>
    </w:p>
    <w:p w14:paraId="02086125">
      <w:pPr>
        <w:pStyle w:val="25"/>
        <w:keepNext w:val="0"/>
        <w:keepLines w:val="0"/>
        <w:pageBreakBefore w:val="0"/>
        <w:widowControl w:val="0"/>
        <w:tabs>
          <w:tab w:val="right" w:leader="dot" w:pos="8306"/>
        </w:tabs>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aps w:val="0"/>
          <w:smallCaps w:val="0"/>
          <w:color w:val="auto"/>
          <w:spacing w:val="0"/>
          <w:sz w:val="24"/>
          <w:szCs w:val="24"/>
          <w:highlight w:val="none"/>
        </w:rPr>
        <w:fldChar w:fldCharType="begin"/>
      </w:r>
      <w:r>
        <w:rPr>
          <w:rFonts w:hint="eastAsia" w:ascii="宋体" w:hAnsi="宋体" w:eastAsia="宋体" w:cs="宋体"/>
          <w:caps w:val="0"/>
          <w:smallCaps w:val="0"/>
          <w:color w:val="auto"/>
          <w:spacing w:val="0"/>
          <w:sz w:val="24"/>
          <w:szCs w:val="24"/>
          <w:highlight w:val="none"/>
        </w:rPr>
        <w:instrText xml:space="preserve"> HYPERLINK \l _Toc8654 </w:instrText>
      </w:r>
      <w:r>
        <w:rPr>
          <w:rFonts w:hint="eastAsia" w:ascii="宋体" w:hAnsi="宋体" w:eastAsia="宋体" w:cs="宋体"/>
          <w:caps w:val="0"/>
          <w:smallCaps w:val="0"/>
          <w:color w:val="auto"/>
          <w:spacing w:val="0"/>
          <w:sz w:val="24"/>
          <w:szCs w:val="24"/>
          <w:highlight w:val="none"/>
        </w:rPr>
        <w:fldChar w:fldCharType="separate"/>
      </w:r>
      <w:r>
        <w:rPr>
          <w:rFonts w:hint="eastAsia" w:ascii="宋体" w:hAnsi="宋体" w:eastAsia="宋体" w:cs="宋体"/>
          <w:color w:val="auto"/>
          <w:sz w:val="24"/>
          <w:szCs w:val="24"/>
          <w:highlight w:val="none"/>
        </w:rPr>
        <w:t>第一部分 合同书</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_Toc8654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- 69 -</w:t>
      </w:r>
      <w:r>
        <w:rPr>
          <w:rFonts w:hint="eastAsia" w:ascii="宋体" w:hAnsi="宋体" w:eastAsia="宋体" w:cs="宋体"/>
          <w:color w:val="auto"/>
          <w:sz w:val="24"/>
          <w:szCs w:val="24"/>
          <w:highlight w:val="none"/>
        </w:rPr>
        <w:fldChar w:fldCharType="end"/>
      </w:r>
      <w:r>
        <w:rPr>
          <w:rFonts w:hint="eastAsia" w:ascii="宋体" w:hAnsi="宋体" w:eastAsia="宋体" w:cs="宋体"/>
          <w:caps w:val="0"/>
          <w:smallCaps w:val="0"/>
          <w:color w:val="auto"/>
          <w:spacing w:val="0"/>
          <w:sz w:val="24"/>
          <w:szCs w:val="24"/>
          <w:highlight w:val="none"/>
        </w:rPr>
        <w:fldChar w:fldCharType="end"/>
      </w:r>
    </w:p>
    <w:p w14:paraId="77100021">
      <w:pPr>
        <w:pStyle w:val="25"/>
        <w:keepNext w:val="0"/>
        <w:keepLines w:val="0"/>
        <w:pageBreakBefore w:val="0"/>
        <w:widowControl w:val="0"/>
        <w:tabs>
          <w:tab w:val="right" w:leader="dot" w:pos="8306"/>
        </w:tabs>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aps w:val="0"/>
          <w:smallCaps w:val="0"/>
          <w:color w:val="auto"/>
          <w:spacing w:val="0"/>
          <w:sz w:val="24"/>
          <w:szCs w:val="24"/>
          <w:highlight w:val="none"/>
        </w:rPr>
        <w:fldChar w:fldCharType="begin"/>
      </w:r>
      <w:r>
        <w:rPr>
          <w:rFonts w:hint="eastAsia" w:ascii="宋体" w:hAnsi="宋体" w:eastAsia="宋体" w:cs="宋体"/>
          <w:caps w:val="0"/>
          <w:smallCaps w:val="0"/>
          <w:color w:val="auto"/>
          <w:spacing w:val="0"/>
          <w:sz w:val="24"/>
          <w:szCs w:val="24"/>
          <w:highlight w:val="none"/>
        </w:rPr>
        <w:instrText xml:space="preserve"> HYPERLINK \l _Toc25481 </w:instrText>
      </w:r>
      <w:r>
        <w:rPr>
          <w:rFonts w:hint="eastAsia" w:ascii="宋体" w:hAnsi="宋体" w:eastAsia="宋体" w:cs="宋体"/>
          <w:caps w:val="0"/>
          <w:smallCaps w:val="0"/>
          <w:color w:val="auto"/>
          <w:spacing w:val="0"/>
          <w:sz w:val="24"/>
          <w:szCs w:val="24"/>
          <w:highlight w:val="none"/>
        </w:rPr>
        <w:fldChar w:fldCharType="separate"/>
      </w:r>
      <w:r>
        <w:rPr>
          <w:rFonts w:hint="eastAsia" w:ascii="宋体" w:hAnsi="宋体" w:eastAsia="宋体" w:cs="宋体"/>
          <w:color w:val="auto"/>
          <w:sz w:val="24"/>
          <w:szCs w:val="24"/>
          <w:highlight w:val="none"/>
        </w:rPr>
        <w:t>第二部分 合同一般条款</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_Toc25481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- 73 -</w:t>
      </w:r>
      <w:r>
        <w:rPr>
          <w:rFonts w:hint="eastAsia" w:ascii="宋体" w:hAnsi="宋体" w:eastAsia="宋体" w:cs="宋体"/>
          <w:color w:val="auto"/>
          <w:sz w:val="24"/>
          <w:szCs w:val="24"/>
          <w:highlight w:val="none"/>
        </w:rPr>
        <w:fldChar w:fldCharType="end"/>
      </w:r>
      <w:r>
        <w:rPr>
          <w:rFonts w:hint="eastAsia" w:ascii="宋体" w:hAnsi="宋体" w:eastAsia="宋体" w:cs="宋体"/>
          <w:caps w:val="0"/>
          <w:smallCaps w:val="0"/>
          <w:color w:val="auto"/>
          <w:spacing w:val="0"/>
          <w:sz w:val="24"/>
          <w:szCs w:val="24"/>
          <w:highlight w:val="none"/>
        </w:rPr>
        <w:fldChar w:fldCharType="end"/>
      </w:r>
    </w:p>
    <w:p w14:paraId="3EA09367">
      <w:pPr>
        <w:pStyle w:val="25"/>
        <w:keepNext w:val="0"/>
        <w:keepLines w:val="0"/>
        <w:pageBreakBefore w:val="0"/>
        <w:widowControl w:val="0"/>
        <w:tabs>
          <w:tab w:val="right" w:leader="dot" w:pos="8306"/>
        </w:tabs>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aps w:val="0"/>
          <w:smallCaps w:val="0"/>
          <w:color w:val="auto"/>
          <w:spacing w:val="0"/>
          <w:sz w:val="24"/>
          <w:szCs w:val="24"/>
          <w:highlight w:val="none"/>
        </w:rPr>
        <w:fldChar w:fldCharType="begin"/>
      </w:r>
      <w:r>
        <w:rPr>
          <w:rFonts w:hint="eastAsia" w:ascii="宋体" w:hAnsi="宋体" w:eastAsia="宋体" w:cs="宋体"/>
          <w:caps w:val="0"/>
          <w:smallCaps w:val="0"/>
          <w:color w:val="auto"/>
          <w:spacing w:val="0"/>
          <w:sz w:val="24"/>
          <w:szCs w:val="24"/>
          <w:highlight w:val="none"/>
        </w:rPr>
        <w:instrText xml:space="preserve"> HYPERLINK \l _Toc7510 </w:instrText>
      </w:r>
      <w:r>
        <w:rPr>
          <w:rFonts w:hint="eastAsia" w:ascii="宋体" w:hAnsi="宋体" w:eastAsia="宋体" w:cs="宋体"/>
          <w:caps w:val="0"/>
          <w:smallCaps w:val="0"/>
          <w:color w:val="auto"/>
          <w:spacing w:val="0"/>
          <w:sz w:val="24"/>
          <w:szCs w:val="24"/>
          <w:highlight w:val="none"/>
        </w:rPr>
        <w:fldChar w:fldCharType="separate"/>
      </w:r>
      <w:r>
        <w:rPr>
          <w:rFonts w:hint="eastAsia" w:ascii="宋体" w:hAnsi="宋体" w:eastAsia="宋体" w:cs="宋体"/>
          <w:color w:val="auto"/>
          <w:sz w:val="24"/>
          <w:szCs w:val="24"/>
          <w:highlight w:val="none"/>
        </w:rPr>
        <w:t>第三部分 合同专用条款</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_Toc7510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- 77 -</w:t>
      </w:r>
      <w:r>
        <w:rPr>
          <w:rFonts w:hint="eastAsia" w:ascii="宋体" w:hAnsi="宋体" w:eastAsia="宋体" w:cs="宋体"/>
          <w:color w:val="auto"/>
          <w:sz w:val="24"/>
          <w:szCs w:val="24"/>
          <w:highlight w:val="none"/>
        </w:rPr>
        <w:fldChar w:fldCharType="end"/>
      </w:r>
      <w:r>
        <w:rPr>
          <w:rFonts w:hint="eastAsia" w:ascii="宋体" w:hAnsi="宋体" w:eastAsia="宋体" w:cs="宋体"/>
          <w:caps w:val="0"/>
          <w:smallCaps w:val="0"/>
          <w:color w:val="auto"/>
          <w:spacing w:val="0"/>
          <w:sz w:val="24"/>
          <w:szCs w:val="24"/>
          <w:highlight w:val="none"/>
        </w:rPr>
        <w:fldChar w:fldCharType="end"/>
      </w:r>
    </w:p>
    <w:p w14:paraId="6A9A025B">
      <w:pPr>
        <w:pStyle w:val="21"/>
        <w:keepNext w:val="0"/>
        <w:keepLines w:val="0"/>
        <w:pageBreakBefore w:val="0"/>
        <w:widowControl w:val="0"/>
        <w:tabs>
          <w:tab w:val="right" w:leader="dot" w:pos="8306"/>
        </w:tabs>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aps w:val="0"/>
          <w:smallCaps w:val="0"/>
          <w:color w:val="auto"/>
          <w:spacing w:val="0"/>
          <w:sz w:val="24"/>
          <w:szCs w:val="24"/>
          <w:highlight w:val="none"/>
        </w:rPr>
        <w:fldChar w:fldCharType="begin"/>
      </w:r>
      <w:r>
        <w:rPr>
          <w:rFonts w:hint="eastAsia" w:ascii="宋体" w:hAnsi="宋体" w:eastAsia="宋体" w:cs="宋体"/>
          <w:caps w:val="0"/>
          <w:smallCaps w:val="0"/>
          <w:color w:val="auto"/>
          <w:spacing w:val="0"/>
          <w:sz w:val="24"/>
          <w:szCs w:val="24"/>
          <w:highlight w:val="none"/>
        </w:rPr>
        <w:instrText xml:space="preserve"> HYPERLINK \l _Toc20007 </w:instrText>
      </w:r>
      <w:r>
        <w:rPr>
          <w:rFonts w:hint="eastAsia" w:ascii="宋体" w:hAnsi="宋体" w:eastAsia="宋体" w:cs="宋体"/>
          <w:caps w:val="0"/>
          <w:smallCaps w:val="0"/>
          <w:color w:val="auto"/>
          <w:spacing w:val="0"/>
          <w:sz w:val="24"/>
          <w:szCs w:val="24"/>
          <w:highlight w:val="none"/>
        </w:rPr>
        <w:fldChar w:fldCharType="separate"/>
      </w:r>
      <w:r>
        <w:rPr>
          <w:rFonts w:hint="eastAsia" w:ascii="宋体" w:hAnsi="宋体" w:eastAsia="宋体" w:cs="宋体"/>
          <w:bCs/>
          <w:color w:val="auto"/>
          <w:kern w:val="44"/>
          <w:sz w:val="24"/>
          <w:szCs w:val="24"/>
          <w:highlight w:val="none"/>
          <w:lang w:val="en-US" w:eastAsia="zh-CN" w:bidi="ar-SA"/>
        </w:rPr>
        <w:t>第七章 投标文件格式</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_Toc20007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- 78 -</w:t>
      </w:r>
      <w:r>
        <w:rPr>
          <w:rFonts w:hint="eastAsia" w:ascii="宋体" w:hAnsi="宋体" w:eastAsia="宋体" w:cs="宋体"/>
          <w:color w:val="auto"/>
          <w:sz w:val="24"/>
          <w:szCs w:val="24"/>
          <w:highlight w:val="none"/>
        </w:rPr>
        <w:fldChar w:fldCharType="end"/>
      </w:r>
      <w:r>
        <w:rPr>
          <w:rFonts w:hint="eastAsia" w:ascii="宋体" w:hAnsi="宋体" w:eastAsia="宋体" w:cs="宋体"/>
          <w:caps w:val="0"/>
          <w:smallCaps w:val="0"/>
          <w:color w:val="auto"/>
          <w:spacing w:val="0"/>
          <w:sz w:val="24"/>
          <w:szCs w:val="24"/>
          <w:highlight w:val="none"/>
        </w:rPr>
        <w:fldChar w:fldCharType="end"/>
      </w:r>
    </w:p>
    <w:p w14:paraId="388F318D">
      <w:pPr>
        <w:pStyle w:val="21"/>
        <w:keepNext w:val="0"/>
        <w:keepLines w:val="0"/>
        <w:pageBreakBefore w:val="0"/>
        <w:widowControl w:val="0"/>
        <w:tabs>
          <w:tab w:val="right" w:leader="dot" w:pos="8306"/>
        </w:tabs>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aps w:val="0"/>
          <w:smallCaps w:val="0"/>
          <w:color w:val="auto"/>
          <w:spacing w:val="0"/>
          <w:sz w:val="24"/>
          <w:szCs w:val="24"/>
          <w:highlight w:val="none"/>
        </w:rPr>
        <w:fldChar w:fldCharType="begin"/>
      </w:r>
      <w:r>
        <w:rPr>
          <w:rFonts w:hint="eastAsia" w:ascii="宋体" w:hAnsi="宋体" w:eastAsia="宋体" w:cs="宋体"/>
          <w:caps w:val="0"/>
          <w:smallCaps w:val="0"/>
          <w:color w:val="auto"/>
          <w:spacing w:val="0"/>
          <w:sz w:val="24"/>
          <w:szCs w:val="24"/>
          <w:highlight w:val="none"/>
        </w:rPr>
        <w:instrText xml:space="preserve"> HYPERLINK \l _Toc20344 </w:instrText>
      </w:r>
      <w:r>
        <w:rPr>
          <w:rFonts w:hint="eastAsia" w:ascii="宋体" w:hAnsi="宋体" w:eastAsia="宋体" w:cs="宋体"/>
          <w:caps w:val="0"/>
          <w:smallCaps w:val="0"/>
          <w:color w:val="auto"/>
          <w:spacing w:val="0"/>
          <w:sz w:val="24"/>
          <w:szCs w:val="24"/>
          <w:highlight w:val="none"/>
        </w:rPr>
        <w:fldChar w:fldCharType="separate"/>
      </w:r>
      <w:r>
        <w:rPr>
          <w:rFonts w:hint="eastAsia" w:ascii="宋体" w:hAnsi="宋体" w:eastAsia="宋体" w:cs="宋体"/>
          <w:color w:val="auto"/>
          <w:sz w:val="24"/>
          <w:szCs w:val="24"/>
          <w:highlight w:val="none"/>
        </w:rPr>
        <w:t>投标文件</w:t>
      </w:r>
      <w:r>
        <w:rPr>
          <w:rFonts w:hint="eastAsia" w:ascii="宋体" w:hAnsi="宋体" w:eastAsia="宋体" w:cs="宋体"/>
          <w:caps w:val="0"/>
          <w:smallCaps w:val="0"/>
          <w:color w:val="auto"/>
          <w:spacing w:val="0"/>
          <w:sz w:val="24"/>
          <w:szCs w:val="24"/>
          <w:highlight w:val="none"/>
        </w:rPr>
        <w:fldChar w:fldCharType="end"/>
      </w:r>
      <w:r>
        <w:rPr>
          <w:rFonts w:hint="eastAsia" w:ascii="宋体" w:hAnsi="宋体" w:eastAsia="宋体" w:cs="宋体"/>
          <w:caps w:val="0"/>
          <w:smallCaps w:val="0"/>
          <w:color w:val="auto"/>
          <w:spacing w:val="0"/>
          <w:sz w:val="24"/>
          <w:szCs w:val="24"/>
          <w:highlight w:val="none"/>
        </w:rPr>
        <w:fldChar w:fldCharType="begin"/>
      </w:r>
      <w:r>
        <w:rPr>
          <w:rFonts w:hint="eastAsia" w:ascii="宋体" w:hAnsi="宋体" w:eastAsia="宋体" w:cs="宋体"/>
          <w:caps w:val="0"/>
          <w:smallCaps w:val="0"/>
          <w:color w:val="auto"/>
          <w:spacing w:val="0"/>
          <w:sz w:val="24"/>
          <w:szCs w:val="24"/>
          <w:highlight w:val="none"/>
        </w:rPr>
        <w:instrText xml:space="preserve"> HYPERLINK \l _Toc17637 </w:instrText>
      </w:r>
      <w:r>
        <w:rPr>
          <w:rFonts w:hint="eastAsia" w:ascii="宋体" w:hAnsi="宋体" w:eastAsia="宋体" w:cs="宋体"/>
          <w:caps w:val="0"/>
          <w:smallCaps w:val="0"/>
          <w:color w:val="auto"/>
          <w:spacing w:val="0"/>
          <w:sz w:val="24"/>
          <w:szCs w:val="24"/>
          <w:highlight w:val="none"/>
        </w:rPr>
        <w:fldChar w:fldCharType="separate"/>
      </w:r>
      <w:r>
        <w:rPr>
          <w:rFonts w:hint="eastAsia" w:ascii="宋体" w:hAnsi="宋体" w:eastAsia="宋体" w:cs="宋体"/>
          <w:color w:val="auto"/>
          <w:sz w:val="24"/>
          <w:szCs w:val="24"/>
          <w:highlight w:val="none"/>
        </w:rPr>
        <w:t>资格证明文件</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_Toc17637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- 79 -</w:t>
      </w:r>
      <w:r>
        <w:rPr>
          <w:rFonts w:hint="eastAsia" w:ascii="宋体" w:hAnsi="宋体" w:eastAsia="宋体" w:cs="宋体"/>
          <w:color w:val="auto"/>
          <w:sz w:val="24"/>
          <w:szCs w:val="24"/>
          <w:highlight w:val="none"/>
        </w:rPr>
        <w:fldChar w:fldCharType="end"/>
      </w:r>
      <w:r>
        <w:rPr>
          <w:rFonts w:hint="eastAsia" w:ascii="宋体" w:hAnsi="宋体" w:eastAsia="宋体" w:cs="宋体"/>
          <w:caps w:val="0"/>
          <w:smallCaps w:val="0"/>
          <w:color w:val="auto"/>
          <w:spacing w:val="0"/>
          <w:sz w:val="24"/>
          <w:szCs w:val="24"/>
          <w:highlight w:val="none"/>
        </w:rPr>
        <w:fldChar w:fldCharType="end"/>
      </w:r>
    </w:p>
    <w:p w14:paraId="28864D4C">
      <w:pPr>
        <w:pStyle w:val="25"/>
        <w:keepNext w:val="0"/>
        <w:keepLines w:val="0"/>
        <w:pageBreakBefore w:val="0"/>
        <w:widowControl w:val="0"/>
        <w:tabs>
          <w:tab w:val="right" w:leader="dot" w:pos="8306"/>
        </w:tabs>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aps w:val="0"/>
          <w:smallCaps w:val="0"/>
          <w:color w:val="auto"/>
          <w:spacing w:val="0"/>
          <w:sz w:val="24"/>
          <w:szCs w:val="24"/>
          <w:highlight w:val="none"/>
        </w:rPr>
        <w:fldChar w:fldCharType="begin"/>
      </w:r>
      <w:r>
        <w:rPr>
          <w:rFonts w:hint="eastAsia" w:ascii="宋体" w:hAnsi="宋体" w:eastAsia="宋体" w:cs="宋体"/>
          <w:caps w:val="0"/>
          <w:smallCaps w:val="0"/>
          <w:color w:val="auto"/>
          <w:spacing w:val="0"/>
          <w:sz w:val="24"/>
          <w:szCs w:val="24"/>
          <w:highlight w:val="none"/>
        </w:rPr>
        <w:instrText xml:space="preserve"> HYPERLINK \l _Toc6767 </w:instrText>
      </w:r>
      <w:r>
        <w:rPr>
          <w:rFonts w:hint="eastAsia" w:ascii="宋体" w:hAnsi="宋体" w:eastAsia="宋体" w:cs="宋体"/>
          <w:caps w:val="0"/>
          <w:smallCaps w:val="0"/>
          <w:color w:val="auto"/>
          <w:spacing w:val="0"/>
          <w:sz w:val="24"/>
          <w:szCs w:val="24"/>
          <w:highlight w:val="none"/>
        </w:rPr>
        <w:fldChar w:fldCharType="separate"/>
      </w:r>
      <w:r>
        <w:rPr>
          <w:rFonts w:hint="eastAsia" w:ascii="宋体" w:hAnsi="宋体" w:eastAsia="宋体" w:cs="宋体"/>
          <w:bCs/>
          <w:color w:val="auto"/>
          <w:kern w:val="2"/>
          <w:sz w:val="24"/>
          <w:szCs w:val="24"/>
          <w:highlight w:val="none"/>
          <w:lang w:val="en-US" w:eastAsia="zh-CN" w:bidi="ar-SA"/>
        </w:rPr>
        <w:t>一、满足《中华人民共和国政府采购法》第二十二条规定</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_Toc6767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- 80 -</w:t>
      </w:r>
      <w:r>
        <w:rPr>
          <w:rFonts w:hint="eastAsia" w:ascii="宋体" w:hAnsi="宋体" w:eastAsia="宋体" w:cs="宋体"/>
          <w:color w:val="auto"/>
          <w:sz w:val="24"/>
          <w:szCs w:val="24"/>
          <w:highlight w:val="none"/>
        </w:rPr>
        <w:fldChar w:fldCharType="end"/>
      </w:r>
      <w:r>
        <w:rPr>
          <w:rFonts w:hint="eastAsia" w:ascii="宋体" w:hAnsi="宋体" w:eastAsia="宋体" w:cs="宋体"/>
          <w:caps w:val="0"/>
          <w:smallCaps w:val="0"/>
          <w:color w:val="auto"/>
          <w:spacing w:val="0"/>
          <w:sz w:val="24"/>
          <w:szCs w:val="24"/>
          <w:highlight w:val="none"/>
        </w:rPr>
        <w:fldChar w:fldCharType="end"/>
      </w:r>
    </w:p>
    <w:p w14:paraId="15A048F9">
      <w:pPr>
        <w:pStyle w:val="25"/>
        <w:keepNext w:val="0"/>
        <w:keepLines w:val="0"/>
        <w:pageBreakBefore w:val="0"/>
        <w:widowControl w:val="0"/>
        <w:tabs>
          <w:tab w:val="right" w:leader="dot" w:pos="8306"/>
        </w:tabs>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aps w:val="0"/>
          <w:smallCaps w:val="0"/>
          <w:color w:val="auto"/>
          <w:spacing w:val="0"/>
          <w:sz w:val="24"/>
          <w:szCs w:val="24"/>
          <w:highlight w:val="none"/>
        </w:rPr>
        <w:fldChar w:fldCharType="begin"/>
      </w:r>
      <w:r>
        <w:rPr>
          <w:rFonts w:hint="eastAsia" w:ascii="宋体" w:hAnsi="宋体" w:eastAsia="宋体" w:cs="宋体"/>
          <w:caps w:val="0"/>
          <w:smallCaps w:val="0"/>
          <w:color w:val="auto"/>
          <w:spacing w:val="0"/>
          <w:sz w:val="24"/>
          <w:szCs w:val="24"/>
          <w:highlight w:val="none"/>
        </w:rPr>
        <w:instrText xml:space="preserve"> HYPERLINK \l _Toc21134 </w:instrText>
      </w:r>
      <w:r>
        <w:rPr>
          <w:rFonts w:hint="eastAsia" w:ascii="宋体" w:hAnsi="宋体" w:eastAsia="宋体" w:cs="宋体"/>
          <w:caps w:val="0"/>
          <w:smallCaps w:val="0"/>
          <w:color w:val="auto"/>
          <w:spacing w:val="0"/>
          <w:sz w:val="24"/>
          <w:szCs w:val="24"/>
          <w:highlight w:val="none"/>
        </w:rPr>
        <w:fldChar w:fldCharType="separate"/>
      </w:r>
      <w:r>
        <w:rPr>
          <w:rFonts w:hint="eastAsia" w:ascii="宋体" w:hAnsi="宋体" w:eastAsia="宋体" w:cs="宋体"/>
          <w:color w:val="auto"/>
          <w:sz w:val="24"/>
          <w:szCs w:val="24"/>
          <w:highlight w:val="none"/>
          <w:lang w:val="en-US" w:eastAsia="zh-CN"/>
        </w:rPr>
        <w:t>二、</w:t>
      </w:r>
      <w:r>
        <w:rPr>
          <w:rFonts w:hint="eastAsia" w:ascii="宋体" w:hAnsi="宋体" w:eastAsia="宋体" w:cs="宋体"/>
          <w:color w:val="auto"/>
          <w:sz w:val="24"/>
          <w:szCs w:val="24"/>
          <w:highlight w:val="none"/>
          <w:lang w:val="zh-CN" w:eastAsia="zh-CN"/>
        </w:rPr>
        <w:t>联合体协议书【如适用】</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_Toc21134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- 83 -</w:t>
      </w:r>
      <w:r>
        <w:rPr>
          <w:rFonts w:hint="eastAsia" w:ascii="宋体" w:hAnsi="宋体" w:eastAsia="宋体" w:cs="宋体"/>
          <w:color w:val="auto"/>
          <w:sz w:val="24"/>
          <w:szCs w:val="24"/>
          <w:highlight w:val="none"/>
        </w:rPr>
        <w:fldChar w:fldCharType="end"/>
      </w:r>
      <w:r>
        <w:rPr>
          <w:rFonts w:hint="eastAsia" w:ascii="宋体" w:hAnsi="宋体" w:eastAsia="宋体" w:cs="宋体"/>
          <w:caps w:val="0"/>
          <w:smallCaps w:val="0"/>
          <w:color w:val="auto"/>
          <w:spacing w:val="0"/>
          <w:sz w:val="24"/>
          <w:szCs w:val="24"/>
          <w:highlight w:val="none"/>
        </w:rPr>
        <w:fldChar w:fldCharType="end"/>
      </w:r>
    </w:p>
    <w:p w14:paraId="255BD268">
      <w:pPr>
        <w:pStyle w:val="21"/>
        <w:keepNext w:val="0"/>
        <w:keepLines w:val="0"/>
        <w:pageBreakBefore w:val="0"/>
        <w:widowControl w:val="0"/>
        <w:tabs>
          <w:tab w:val="right" w:leader="dot" w:pos="8306"/>
        </w:tabs>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aps w:val="0"/>
          <w:smallCaps w:val="0"/>
          <w:color w:val="auto"/>
          <w:spacing w:val="0"/>
          <w:sz w:val="24"/>
          <w:szCs w:val="24"/>
          <w:highlight w:val="none"/>
        </w:rPr>
        <w:fldChar w:fldCharType="begin"/>
      </w:r>
      <w:r>
        <w:rPr>
          <w:rFonts w:hint="eastAsia" w:ascii="宋体" w:hAnsi="宋体" w:eastAsia="宋体" w:cs="宋体"/>
          <w:caps w:val="0"/>
          <w:smallCaps w:val="0"/>
          <w:color w:val="auto"/>
          <w:spacing w:val="0"/>
          <w:sz w:val="24"/>
          <w:szCs w:val="24"/>
          <w:highlight w:val="none"/>
        </w:rPr>
        <w:instrText xml:space="preserve"> HYPERLINK \l _Toc12650 </w:instrText>
      </w:r>
      <w:r>
        <w:rPr>
          <w:rFonts w:hint="eastAsia" w:ascii="宋体" w:hAnsi="宋体" w:eastAsia="宋体" w:cs="宋体"/>
          <w:caps w:val="0"/>
          <w:smallCaps w:val="0"/>
          <w:color w:val="auto"/>
          <w:spacing w:val="0"/>
          <w:sz w:val="24"/>
          <w:szCs w:val="24"/>
          <w:highlight w:val="none"/>
        </w:rPr>
        <w:fldChar w:fldCharType="separate"/>
      </w:r>
      <w:r>
        <w:rPr>
          <w:rFonts w:hint="eastAsia" w:ascii="宋体" w:hAnsi="宋体" w:eastAsia="宋体" w:cs="宋体"/>
          <w:color w:val="auto"/>
          <w:kern w:val="0"/>
          <w:sz w:val="24"/>
          <w:szCs w:val="24"/>
          <w:highlight w:val="none"/>
        </w:rPr>
        <w:t>联合体协议书</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_Toc12650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- 83 -</w:t>
      </w:r>
      <w:r>
        <w:rPr>
          <w:rFonts w:hint="eastAsia" w:ascii="宋体" w:hAnsi="宋体" w:eastAsia="宋体" w:cs="宋体"/>
          <w:color w:val="auto"/>
          <w:sz w:val="24"/>
          <w:szCs w:val="24"/>
          <w:highlight w:val="none"/>
        </w:rPr>
        <w:fldChar w:fldCharType="end"/>
      </w:r>
      <w:r>
        <w:rPr>
          <w:rFonts w:hint="eastAsia" w:ascii="宋体" w:hAnsi="宋体" w:eastAsia="宋体" w:cs="宋体"/>
          <w:caps w:val="0"/>
          <w:smallCaps w:val="0"/>
          <w:color w:val="auto"/>
          <w:spacing w:val="0"/>
          <w:sz w:val="24"/>
          <w:szCs w:val="24"/>
          <w:highlight w:val="none"/>
        </w:rPr>
        <w:fldChar w:fldCharType="end"/>
      </w:r>
    </w:p>
    <w:p w14:paraId="49B7DAEA">
      <w:pPr>
        <w:pStyle w:val="25"/>
        <w:keepNext w:val="0"/>
        <w:keepLines w:val="0"/>
        <w:pageBreakBefore w:val="0"/>
        <w:widowControl w:val="0"/>
        <w:tabs>
          <w:tab w:val="right" w:leader="dot" w:pos="8306"/>
        </w:tabs>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aps w:val="0"/>
          <w:smallCaps w:val="0"/>
          <w:color w:val="auto"/>
          <w:spacing w:val="0"/>
          <w:sz w:val="24"/>
          <w:szCs w:val="24"/>
          <w:highlight w:val="none"/>
        </w:rPr>
        <w:fldChar w:fldCharType="begin"/>
      </w:r>
      <w:r>
        <w:rPr>
          <w:rFonts w:hint="eastAsia" w:ascii="宋体" w:hAnsi="宋体" w:eastAsia="宋体" w:cs="宋体"/>
          <w:caps w:val="0"/>
          <w:smallCaps w:val="0"/>
          <w:color w:val="auto"/>
          <w:spacing w:val="0"/>
          <w:sz w:val="24"/>
          <w:szCs w:val="24"/>
          <w:highlight w:val="none"/>
        </w:rPr>
        <w:instrText xml:space="preserve"> HYPERLINK \l _Toc10975 </w:instrText>
      </w:r>
      <w:r>
        <w:rPr>
          <w:rFonts w:hint="eastAsia" w:ascii="宋体" w:hAnsi="宋体" w:eastAsia="宋体" w:cs="宋体"/>
          <w:caps w:val="0"/>
          <w:smallCaps w:val="0"/>
          <w:color w:val="auto"/>
          <w:spacing w:val="0"/>
          <w:sz w:val="24"/>
          <w:szCs w:val="24"/>
          <w:highlight w:val="none"/>
        </w:rPr>
        <w:fldChar w:fldCharType="separate"/>
      </w:r>
      <w:r>
        <w:rPr>
          <w:rFonts w:hint="eastAsia" w:ascii="宋体" w:hAnsi="宋体" w:eastAsia="宋体" w:cs="宋体"/>
          <w:color w:val="auto"/>
          <w:sz w:val="24"/>
          <w:szCs w:val="24"/>
          <w:highlight w:val="none"/>
          <w:lang w:val="en-US" w:eastAsia="zh-CN"/>
        </w:rPr>
        <w:t>三、</w:t>
      </w:r>
      <w:r>
        <w:rPr>
          <w:rFonts w:hint="eastAsia" w:ascii="宋体" w:hAnsi="宋体" w:eastAsia="宋体" w:cs="宋体"/>
          <w:color w:val="auto"/>
          <w:sz w:val="24"/>
          <w:szCs w:val="24"/>
          <w:highlight w:val="none"/>
          <w:lang w:val="zh-CN" w:eastAsia="zh-CN"/>
        </w:rPr>
        <w:t>分包意向协议书【如适用】</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_Toc10975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- 85 -</w:t>
      </w:r>
      <w:r>
        <w:rPr>
          <w:rFonts w:hint="eastAsia" w:ascii="宋体" w:hAnsi="宋体" w:eastAsia="宋体" w:cs="宋体"/>
          <w:color w:val="auto"/>
          <w:sz w:val="24"/>
          <w:szCs w:val="24"/>
          <w:highlight w:val="none"/>
        </w:rPr>
        <w:fldChar w:fldCharType="end"/>
      </w:r>
      <w:r>
        <w:rPr>
          <w:rFonts w:hint="eastAsia" w:ascii="宋体" w:hAnsi="宋体" w:eastAsia="宋体" w:cs="宋体"/>
          <w:caps w:val="0"/>
          <w:smallCaps w:val="0"/>
          <w:color w:val="auto"/>
          <w:spacing w:val="0"/>
          <w:sz w:val="24"/>
          <w:szCs w:val="24"/>
          <w:highlight w:val="none"/>
        </w:rPr>
        <w:fldChar w:fldCharType="end"/>
      </w:r>
    </w:p>
    <w:p w14:paraId="311F7777">
      <w:pPr>
        <w:pStyle w:val="21"/>
        <w:keepNext w:val="0"/>
        <w:keepLines w:val="0"/>
        <w:pageBreakBefore w:val="0"/>
        <w:widowControl w:val="0"/>
        <w:tabs>
          <w:tab w:val="right" w:leader="dot" w:pos="8306"/>
        </w:tabs>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aps w:val="0"/>
          <w:smallCaps w:val="0"/>
          <w:color w:val="auto"/>
          <w:spacing w:val="0"/>
          <w:sz w:val="24"/>
          <w:szCs w:val="24"/>
          <w:highlight w:val="none"/>
        </w:rPr>
        <w:fldChar w:fldCharType="begin"/>
      </w:r>
      <w:r>
        <w:rPr>
          <w:rFonts w:hint="eastAsia" w:ascii="宋体" w:hAnsi="宋体" w:eastAsia="宋体" w:cs="宋体"/>
          <w:caps w:val="0"/>
          <w:smallCaps w:val="0"/>
          <w:color w:val="auto"/>
          <w:spacing w:val="0"/>
          <w:sz w:val="24"/>
          <w:szCs w:val="24"/>
          <w:highlight w:val="none"/>
        </w:rPr>
        <w:instrText xml:space="preserve"> HYPERLINK \l _Toc14674 </w:instrText>
      </w:r>
      <w:r>
        <w:rPr>
          <w:rFonts w:hint="eastAsia" w:ascii="宋体" w:hAnsi="宋体" w:eastAsia="宋体" w:cs="宋体"/>
          <w:caps w:val="0"/>
          <w:smallCaps w:val="0"/>
          <w:color w:val="auto"/>
          <w:spacing w:val="0"/>
          <w:sz w:val="24"/>
          <w:szCs w:val="24"/>
          <w:highlight w:val="none"/>
        </w:rPr>
        <w:fldChar w:fldCharType="separate"/>
      </w:r>
      <w:r>
        <w:rPr>
          <w:rFonts w:hint="eastAsia" w:ascii="宋体" w:hAnsi="宋体" w:eastAsia="宋体" w:cs="宋体"/>
          <w:color w:val="auto"/>
          <w:kern w:val="0"/>
          <w:sz w:val="24"/>
          <w:szCs w:val="24"/>
          <w:highlight w:val="none"/>
        </w:rPr>
        <w:t>分包意向协议</w:t>
      </w:r>
      <w:r>
        <w:rPr>
          <w:rFonts w:hint="eastAsia" w:ascii="宋体" w:hAnsi="宋体" w:eastAsia="宋体" w:cs="宋体"/>
          <w:color w:val="auto"/>
          <w:kern w:val="0"/>
          <w:sz w:val="24"/>
          <w:szCs w:val="24"/>
          <w:highlight w:val="none"/>
          <w:lang w:val="en-US" w:eastAsia="zh-CN"/>
        </w:rPr>
        <w:t>书</w:t>
      </w:r>
      <w:r>
        <w:rPr>
          <w:rFonts w:hint="eastAsia" w:ascii="宋体" w:hAnsi="宋体" w:eastAsia="宋体" w:cs="宋体"/>
          <w:caps w:val="0"/>
          <w:smallCaps w:val="0"/>
          <w:color w:val="auto"/>
          <w:spacing w:val="0"/>
          <w:sz w:val="24"/>
          <w:szCs w:val="24"/>
          <w:highlight w:val="none"/>
        </w:rPr>
        <w:fldChar w:fldCharType="end"/>
      </w:r>
      <w:r>
        <w:rPr>
          <w:rFonts w:hint="eastAsia" w:ascii="宋体" w:hAnsi="宋体" w:eastAsia="宋体" w:cs="宋体"/>
          <w:caps w:val="0"/>
          <w:smallCaps w:val="0"/>
          <w:color w:val="auto"/>
          <w:spacing w:val="0"/>
          <w:sz w:val="24"/>
          <w:szCs w:val="24"/>
          <w:highlight w:val="none"/>
        </w:rPr>
        <w:fldChar w:fldCharType="begin"/>
      </w:r>
      <w:r>
        <w:rPr>
          <w:rFonts w:hint="eastAsia" w:ascii="宋体" w:hAnsi="宋体" w:eastAsia="宋体" w:cs="宋体"/>
          <w:caps w:val="0"/>
          <w:smallCaps w:val="0"/>
          <w:color w:val="auto"/>
          <w:spacing w:val="0"/>
          <w:sz w:val="24"/>
          <w:szCs w:val="24"/>
          <w:highlight w:val="none"/>
        </w:rPr>
        <w:instrText xml:space="preserve"> HYPERLINK \l _Toc9911 </w:instrText>
      </w:r>
      <w:r>
        <w:rPr>
          <w:rFonts w:hint="eastAsia" w:ascii="宋体" w:hAnsi="宋体" w:eastAsia="宋体" w:cs="宋体"/>
          <w:caps w:val="0"/>
          <w:smallCaps w:val="0"/>
          <w:color w:val="auto"/>
          <w:spacing w:val="0"/>
          <w:sz w:val="24"/>
          <w:szCs w:val="24"/>
          <w:highlight w:val="none"/>
        </w:rPr>
        <w:fldChar w:fldCharType="separate"/>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_Toc9911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- 85 -</w:t>
      </w:r>
      <w:r>
        <w:rPr>
          <w:rFonts w:hint="eastAsia" w:ascii="宋体" w:hAnsi="宋体" w:eastAsia="宋体" w:cs="宋体"/>
          <w:color w:val="auto"/>
          <w:sz w:val="24"/>
          <w:szCs w:val="24"/>
          <w:highlight w:val="none"/>
        </w:rPr>
        <w:fldChar w:fldCharType="end"/>
      </w:r>
      <w:r>
        <w:rPr>
          <w:rFonts w:hint="eastAsia" w:ascii="宋体" w:hAnsi="宋体" w:eastAsia="宋体" w:cs="宋体"/>
          <w:caps w:val="0"/>
          <w:smallCaps w:val="0"/>
          <w:color w:val="auto"/>
          <w:spacing w:val="0"/>
          <w:sz w:val="24"/>
          <w:szCs w:val="24"/>
          <w:highlight w:val="none"/>
        </w:rPr>
        <w:fldChar w:fldCharType="end"/>
      </w:r>
    </w:p>
    <w:p w14:paraId="25B9E2CB">
      <w:pPr>
        <w:pStyle w:val="25"/>
        <w:keepNext w:val="0"/>
        <w:keepLines w:val="0"/>
        <w:pageBreakBefore w:val="0"/>
        <w:widowControl w:val="0"/>
        <w:tabs>
          <w:tab w:val="right" w:leader="dot" w:pos="8306"/>
        </w:tabs>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aps w:val="0"/>
          <w:smallCaps w:val="0"/>
          <w:color w:val="auto"/>
          <w:spacing w:val="0"/>
          <w:sz w:val="24"/>
          <w:szCs w:val="24"/>
          <w:highlight w:val="none"/>
        </w:rPr>
        <w:fldChar w:fldCharType="begin"/>
      </w:r>
      <w:r>
        <w:rPr>
          <w:rFonts w:hint="eastAsia" w:ascii="宋体" w:hAnsi="宋体" w:eastAsia="宋体" w:cs="宋体"/>
          <w:caps w:val="0"/>
          <w:smallCaps w:val="0"/>
          <w:color w:val="auto"/>
          <w:spacing w:val="0"/>
          <w:sz w:val="24"/>
          <w:szCs w:val="24"/>
          <w:highlight w:val="none"/>
        </w:rPr>
        <w:instrText xml:space="preserve"> HYPERLINK \l _Toc14524 </w:instrText>
      </w:r>
      <w:r>
        <w:rPr>
          <w:rFonts w:hint="eastAsia" w:ascii="宋体" w:hAnsi="宋体" w:eastAsia="宋体" w:cs="宋体"/>
          <w:caps w:val="0"/>
          <w:smallCaps w:val="0"/>
          <w:color w:val="auto"/>
          <w:spacing w:val="0"/>
          <w:sz w:val="24"/>
          <w:szCs w:val="24"/>
          <w:highlight w:val="none"/>
        </w:rPr>
        <w:fldChar w:fldCharType="separate"/>
      </w:r>
      <w:r>
        <w:rPr>
          <w:rFonts w:hint="eastAsia" w:ascii="宋体" w:hAnsi="宋体" w:eastAsia="宋体" w:cs="宋体"/>
          <w:color w:val="auto"/>
          <w:sz w:val="24"/>
          <w:szCs w:val="24"/>
          <w:highlight w:val="none"/>
          <w:lang w:val="en-US" w:eastAsia="zh-CN"/>
        </w:rPr>
        <w:t>四、落实政府采购政策相关证明文件</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_Toc14524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- 87 -</w:t>
      </w:r>
      <w:r>
        <w:rPr>
          <w:rFonts w:hint="eastAsia" w:ascii="宋体" w:hAnsi="宋体" w:eastAsia="宋体" w:cs="宋体"/>
          <w:color w:val="auto"/>
          <w:sz w:val="24"/>
          <w:szCs w:val="24"/>
          <w:highlight w:val="none"/>
        </w:rPr>
        <w:fldChar w:fldCharType="end"/>
      </w:r>
      <w:r>
        <w:rPr>
          <w:rFonts w:hint="eastAsia" w:ascii="宋体" w:hAnsi="宋体" w:eastAsia="宋体" w:cs="宋体"/>
          <w:caps w:val="0"/>
          <w:smallCaps w:val="0"/>
          <w:color w:val="auto"/>
          <w:spacing w:val="0"/>
          <w:sz w:val="24"/>
          <w:szCs w:val="24"/>
          <w:highlight w:val="none"/>
        </w:rPr>
        <w:fldChar w:fldCharType="end"/>
      </w:r>
    </w:p>
    <w:p w14:paraId="17B61827">
      <w:pPr>
        <w:pStyle w:val="25"/>
        <w:keepNext w:val="0"/>
        <w:keepLines w:val="0"/>
        <w:pageBreakBefore w:val="0"/>
        <w:widowControl w:val="0"/>
        <w:tabs>
          <w:tab w:val="right" w:leader="dot" w:pos="8306"/>
        </w:tabs>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aps w:val="0"/>
          <w:smallCaps w:val="0"/>
          <w:color w:val="auto"/>
          <w:spacing w:val="0"/>
          <w:sz w:val="24"/>
          <w:szCs w:val="24"/>
          <w:highlight w:val="none"/>
        </w:rPr>
        <w:fldChar w:fldCharType="begin"/>
      </w:r>
      <w:r>
        <w:rPr>
          <w:rFonts w:hint="eastAsia" w:ascii="宋体" w:hAnsi="宋体" w:eastAsia="宋体" w:cs="宋体"/>
          <w:caps w:val="0"/>
          <w:smallCaps w:val="0"/>
          <w:color w:val="auto"/>
          <w:spacing w:val="0"/>
          <w:sz w:val="24"/>
          <w:szCs w:val="24"/>
          <w:highlight w:val="none"/>
        </w:rPr>
        <w:instrText xml:space="preserve"> HYPERLINK \l _Toc18110 </w:instrText>
      </w:r>
      <w:r>
        <w:rPr>
          <w:rFonts w:hint="eastAsia" w:ascii="宋体" w:hAnsi="宋体" w:eastAsia="宋体" w:cs="宋体"/>
          <w:caps w:val="0"/>
          <w:smallCaps w:val="0"/>
          <w:color w:val="auto"/>
          <w:spacing w:val="0"/>
          <w:sz w:val="24"/>
          <w:szCs w:val="24"/>
          <w:highlight w:val="none"/>
        </w:rPr>
        <w:fldChar w:fldCharType="separate"/>
      </w:r>
      <w:r>
        <w:rPr>
          <w:rFonts w:hint="eastAsia" w:ascii="宋体" w:hAnsi="宋体" w:eastAsia="宋体" w:cs="宋体"/>
          <w:bCs/>
          <w:color w:val="auto"/>
          <w:kern w:val="2"/>
          <w:sz w:val="24"/>
          <w:szCs w:val="24"/>
          <w:highlight w:val="none"/>
          <w:lang w:val="en-US" w:eastAsia="zh-CN" w:bidi="ar-SA"/>
        </w:rPr>
        <w:t>五、不参与围标串标承诺书</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_Toc18110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- 100 -</w:t>
      </w:r>
      <w:r>
        <w:rPr>
          <w:rFonts w:hint="eastAsia" w:ascii="宋体" w:hAnsi="宋体" w:eastAsia="宋体" w:cs="宋体"/>
          <w:color w:val="auto"/>
          <w:sz w:val="24"/>
          <w:szCs w:val="24"/>
          <w:highlight w:val="none"/>
        </w:rPr>
        <w:fldChar w:fldCharType="end"/>
      </w:r>
      <w:r>
        <w:rPr>
          <w:rFonts w:hint="eastAsia" w:ascii="宋体" w:hAnsi="宋体" w:eastAsia="宋体" w:cs="宋体"/>
          <w:caps w:val="0"/>
          <w:smallCaps w:val="0"/>
          <w:color w:val="auto"/>
          <w:spacing w:val="0"/>
          <w:sz w:val="24"/>
          <w:szCs w:val="24"/>
          <w:highlight w:val="none"/>
        </w:rPr>
        <w:fldChar w:fldCharType="end"/>
      </w:r>
    </w:p>
    <w:p w14:paraId="28E89808">
      <w:pPr>
        <w:pStyle w:val="25"/>
        <w:keepNext w:val="0"/>
        <w:keepLines w:val="0"/>
        <w:pageBreakBefore w:val="0"/>
        <w:widowControl w:val="0"/>
        <w:tabs>
          <w:tab w:val="right" w:leader="dot" w:pos="8306"/>
        </w:tabs>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aps w:val="0"/>
          <w:smallCaps w:val="0"/>
          <w:color w:val="auto"/>
          <w:spacing w:val="0"/>
          <w:sz w:val="24"/>
          <w:szCs w:val="24"/>
          <w:highlight w:val="none"/>
        </w:rPr>
        <w:fldChar w:fldCharType="begin"/>
      </w:r>
      <w:r>
        <w:rPr>
          <w:rFonts w:hint="eastAsia" w:ascii="宋体" w:hAnsi="宋体" w:eastAsia="宋体" w:cs="宋体"/>
          <w:caps w:val="0"/>
          <w:smallCaps w:val="0"/>
          <w:color w:val="auto"/>
          <w:spacing w:val="0"/>
          <w:sz w:val="24"/>
          <w:szCs w:val="24"/>
          <w:highlight w:val="none"/>
        </w:rPr>
        <w:instrText xml:space="preserve"> HYPERLINK \l _Toc6223 </w:instrText>
      </w:r>
      <w:r>
        <w:rPr>
          <w:rFonts w:hint="eastAsia" w:ascii="宋体" w:hAnsi="宋体" w:eastAsia="宋体" w:cs="宋体"/>
          <w:caps w:val="0"/>
          <w:smallCaps w:val="0"/>
          <w:color w:val="auto"/>
          <w:spacing w:val="0"/>
          <w:sz w:val="24"/>
          <w:szCs w:val="24"/>
          <w:highlight w:val="none"/>
        </w:rPr>
        <w:fldChar w:fldCharType="separate"/>
      </w:r>
      <w:r>
        <w:rPr>
          <w:rFonts w:hint="eastAsia" w:ascii="宋体" w:hAnsi="宋体" w:eastAsia="宋体" w:cs="宋体"/>
          <w:bCs/>
          <w:color w:val="auto"/>
          <w:kern w:val="2"/>
          <w:sz w:val="24"/>
          <w:szCs w:val="24"/>
          <w:highlight w:val="none"/>
          <w:lang w:val="en-US" w:eastAsia="zh-CN" w:bidi="ar-SA"/>
        </w:rPr>
        <w:t>六、</w:t>
      </w:r>
      <w:r>
        <w:rPr>
          <w:rFonts w:hint="eastAsia" w:ascii="宋体" w:hAnsi="宋体" w:eastAsia="宋体" w:cs="宋体"/>
          <w:bCs/>
          <w:color w:val="auto"/>
          <w:kern w:val="2"/>
          <w:sz w:val="24"/>
          <w:szCs w:val="24"/>
          <w:highlight w:val="none"/>
          <w:lang w:val="zh-CN" w:eastAsia="zh-CN" w:bidi="ar-SA"/>
        </w:rPr>
        <w:t>其他资格证明文件</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_Toc6223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- 101 -</w:t>
      </w:r>
      <w:r>
        <w:rPr>
          <w:rFonts w:hint="eastAsia" w:ascii="宋体" w:hAnsi="宋体" w:eastAsia="宋体" w:cs="宋体"/>
          <w:color w:val="auto"/>
          <w:sz w:val="24"/>
          <w:szCs w:val="24"/>
          <w:highlight w:val="none"/>
        </w:rPr>
        <w:fldChar w:fldCharType="end"/>
      </w:r>
      <w:r>
        <w:rPr>
          <w:rFonts w:hint="eastAsia" w:ascii="宋体" w:hAnsi="宋体" w:eastAsia="宋体" w:cs="宋体"/>
          <w:caps w:val="0"/>
          <w:smallCaps w:val="0"/>
          <w:color w:val="auto"/>
          <w:spacing w:val="0"/>
          <w:sz w:val="24"/>
          <w:szCs w:val="24"/>
          <w:highlight w:val="none"/>
        </w:rPr>
        <w:fldChar w:fldCharType="end"/>
      </w:r>
    </w:p>
    <w:p w14:paraId="1A0B2460">
      <w:pPr>
        <w:pStyle w:val="21"/>
        <w:keepNext w:val="0"/>
        <w:keepLines w:val="0"/>
        <w:pageBreakBefore w:val="0"/>
        <w:widowControl w:val="0"/>
        <w:tabs>
          <w:tab w:val="right" w:leader="dot" w:pos="8306"/>
        </w:tabs>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aps w:val="0"/>
          <w:smallCaps w:val="0"/>
          <w:color w:val="auto"/>
          <w:spacing w:val="0"/>
          <w:sz w:val="24"/>
          <w:szCs w:val="24"/>
          <w:highlight w:val="none"/>
        </w:rPr>
        <w:fldChar w:fldCharType="begin"/>
      </w:r>
      <w:r>
        <w:rPr>
          <w:rFonts w:hint="eastAsia" w:ascii="宋体" w:hAnsi="宋体" w:eastAsia="宋体" w:cs="宋体"/>
          <w:caps w:val="0"/>
          <w:smallCaps w:val="0"/>
          <w:color w:val="auto"/>
          <w:spacing w:val="0"/>
          <w:sz w:val="24"/>
          <w:szCs w:val="24"/>
          <w:highlight w:val="none"/>
        </w:rPr>
        <w:instrText xml:space="preserve"> HYPERLINK \l _Toc16701 </w:instrText>
      </w:r>
      <w:r>
        <w:rPr>
          <w:rFonts w:hint="eastAsia" w:ascii="宋体" w:hAnsi="宋体" w:eastAsia="宋体" w:cs="宋体"/>
          <w:caps w:val="0"/>
          <w:smallCaps w:val="0"/>
          <w:color w:val="auto"/>
          <w:spacing w:val="0"/>
          <w:sz w:val="24"/>
          <w:szCs w:val="24"/>
          <w:highlight w:val="none"/>
        </w:rPr>
        <w:fldChar w:fldCharType="separate"/>
      </w:r>
      <w:r>
        <w:rPr>
          <w:rFonts w:hint="eastAsia" w:ascii="宋体" w:hAnsi="宋体" w:eastAsia="宋体" w:cs="宋体"/>
          <w:color w:val="auto"/>
          <w:sz w:val="24"/>
          <w:szCs w:val="24"/>
          <w:highlight w:val="none"/>
        </w:rPr>
        <w:t>投标文件</w:t>
      </w:r>
      <w:r>
        <w:rPr>
          <w:rFonts w:hint="eastAsia" w:ascii="宋体" w:hAnsi="宋体" w:eastAsia="宋体" w:cs="宋体"/>
          <w:caps w:val="0"/>
          <w:smallCaps w:val="0"/>
          <w:color w:val="auto"/>
          <w:spacing w:val="0"/>
          <w:sz w:val="24"/>
          <w:szCs w:val="24"/>
          <w:highlight w:val="none"/>
        </w:rPr>
        <w:fldChar w:fldCharType="end"/>
      </w:r>
      <w:r>
        <w:rPr>
          <w:rFonts w:hint="eastAsia" w:ascii="宋体" w:hAnsi="宋体" w:eastAsia="宋体" w:cs="宋体"/>
          <w:caps w:val="0"/>
          <w:smallCaps w:val="0"/>
          <w:color w:val="auto"/>
          <w:spacing w:val="0"/>
          <w:sz w:val="24"/>
          <w:szCs w:val="24"/>
          <w:highlight w:val="none"/>
        </w:rPr>
        <w:fldChar w:fldCharType="begin"/>
      </w:r>
      <w:r>
        <w:rPr>
          <w:rFonts w:hint="eastAsia" w:ascii="宋体" w:hAnsi="宋体" w:eastAsia="宋体" w:cs="宋体"/>
          <w:caps w:val="0"/>
          <w:smallCaps w:val="0"/>
          <w:color w:val="auto"/>
          <w:spacing w:val="0"/>
          <w:sz w:val="24"/>
          <w:szCs w:val="24"/>
          <w:highlight w:val="none"/>
        </w:rPr>
        <w:instrText xml:space="preserve"> HYPERLINK \l _Toc30374 </w:instrText>
      </w:r>
      <w:r>
        <w:rPr>
          <w:rFonts w:hint="eastAsia" w:ascii="宋体" w:hAnsi="宋体" w:eastAsia="宋体" w:cs="宋体"/>
          <w:caps w:val="0"/>
          <w:smallCaps w:val="0"/>
          <w:color w:val="auto"/>
          <w:spacing w:val="0"/>
          <w:sz w:val="24"/>
          <w:szCs w:val="24"/>
          <w:highlight w:val="none"/>
        </w:rPr>
        <w:fldChar w:fldCharType="separate"/>
      </w:r>
      <w:r>
        <w:rPr>
          <w:rFonts w:hint="eastAsia" w:ascii="宋体" w:hAnsi="宋体" w:eastAsia="宋体" w:cs="宋体"/>
          <w:color w:val="auto"/>
          <w:sz w:val="24"/>
          <w:szCs w:val="24"/>
          <w:highlight w:val="none"/>
          <w:lang w:val="en-US" w:eastAsia="zh-CN"/>
        </w:rPr>
        <w:t>报价文件</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_Toc30374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- 102 -</w:t>
      </w:r>
      <w:r>
        <w:rPr>
          <w:rFonts w:hint="eastAsia" w:ascii="宋体" w:hAnsi="宋体" w:eastAsia="宋体" w:cs="宋体"/>
          <w:color w:val="auto"/>
          <w:sz w:val="24"/>
          <w:szCs w:val="24"/>
          <w:highlight w:val="none"/>
        </w:rPr>
        <w:fldChar w:fldCharType="end"/>
      </w:r>
      <w:r>
        <w:rPr>
          <w:rFonts w:hint="eastAsia" w:ascii="宋体" w:hAnsi="宋体" w:eastAsia="宋体" w:cs="宋体"/>
          <w:caps w:val="0"/>
          <w:smallCaps w:val="0"/>
          <w:color w:val="auto"/>
          <w:spacing w:val="0"/>
          <w:sz w:val="24"/>
          <w:szCs w:val="24"/>
          <w:highlight w:val="none"/>
        </w:rPr>
        <w:fldChar w:fldCharType="end"/>
      </w:r>
    </w:p>
    <w:p w14:paraId="5B475143">
      <w:pPr>
        <w:pStyle w:val="25"/>
        <w:keepNext w:val="0"/>
        <w:keepLines w:val="0"/>
        <w:pageBreakBefore w:val="0"/>
        <w:widowControl w:val="0"/>
        <w:tabs>
          <w:tab w:val="right" w:leader="dot" w:pos="8306"/>
        </w:tabs>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aps w:val="0"/>
          <w:smallCaps w:val="0"/>
          <w:color w:val="auto"/>
          <w:spacing w:val="0"/>
          <w:sz w:val="24"/>
          <w:szCs w:val="24"/>
          <w:highlight w:val="none"/>
        </w:rPr>
        <w:fldChar w:fldCharType="begin"/>
      </w:r>
      <w:r>
        <w:rPr>
          <w:rFonts w:hint="eastAsia" w:ascii="宋体" w:hAnsi="宋体" w:eastAsia="宋体" w:cs="宋体"/>
          <w:caps w:val="0"/>
          <w:smallCaps w:val="0"/>
          <w:color w:val="auto"/>
          <w:spacing w:val="0"/>
          <w:sz w:val="24"/>
          <w:szCs w:val="24"/>
          <w:highlight w:val="none"/>
        </w:rPr>
        <w:instrText xml:space="preserve"> HYPERLINK \l _Toc2238 </w:instrText>
      </w:r>
      <w:r>
        <w:rPr>
          <w:rFonts w:hint="eastAsia" w:ascii="宋体" w:hAnsi="宋体" w:eastAsia="宋体" w:cs="宋体"/>
          <w:caps w:val="0"/>
          <w:smallCaps w:val="0"/>
          <w:color w:val="auto"/>
          <w:spacing w:val="0"/>
          <w:sz w:val="24"/>
          <w:szCs w:val="24"/>
          <w:highlight w:val="none"/>
        </w:rPr>
        <w:fldChar w:fldCharType="separate"/>
      </w:r>
      <w:r>
        <w:rPr>
          <w:rFonts w:hint="eastAsia" w:ascii="宋体" w:hAnsi="宋体" w:eastAsia="宋体" w:cs="宋体"/>
          <w:bCs/>
          <w:color w:val="auto"/>
          <w:kern w:val="2"/>
          <w:sz w:val="24"/>
          <w:szCs w:val="24"/>
          <w:highlight w:val="none"/>
          <w:lang w:val="en-US" w:eastAsia="zh-CN" w:bidi="ar-SA"/>
        </w:rPr>
        <w:t>一、开标一览表</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_Toc2238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- 103 -</w:t>
      </w:r>
      <w:r>
        <w:rPr>
          <w:rFonts w:hint="eastAsia" w:ascii="宋体" w:hAnsi="宋体" w:eastAsia="宋体" w:cs="宋体"/>
          <w:color w:val="auto"/>
          <w:sz w:val="24"/>
          <w:szCs w:val="24"/>
          <w:highlight w:val="none"/>
        </w:rPr>
        <w:fldChar w:fldCharType="end"/>
      </w:r>
      <w:r>
        <w:rPr>
          <w:rFonts w:hint="eastAsia" w:ascii="宋体" w:hAnsi="宋体" w:eastAsia="宋体" w:cs="宋体"/>
          <w:caps w:val="0"/>
          <w:smallCaps w:val="0"/>
          <w:color w:val="auto"/>
          <w:spacing w:val="0"/>
          <w:sz w:val="24"/>
          <w:szCs w:val="24"/>
          <w:highlight w:val="none"/>
        </w:rPr>
        <w:fldChar w:fldCharType="end"/>
      </w:r>
    </w:p>
    <w:p w14:paraId="6F0B5126">
      <w:pPr>
        <w:pStyle w:val="25"/>
        <w:keepNext w:val="0"/>
        <w:keepLines w:val="0"/>
        <w:pageBreakBefore w:val="0"/>
        <w:widowControl w:val="0"/>
        <w:tabs>
          <w:tab w:val="right" w:leader="dot" w:pos="8306"/>
        </w:tabs>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aps w:val="0"/>
          <w:smallCaps w:val="0"/>
          <w:color w:val="auto"/>
          <w:spacing w:val="0"/>
          <w:sz w:val="24"/>
          <w:szCs w:val="24"/>
          <w:highlight w:val="none"/>
        </w:rPr>
        <w:fldChar w:fldCharType="begin"/>
      </w:r>
      <w:r>
        <w:rPr>
          <w:rFonts w:hint="eastAsia" w:ascii="宋体" w:hAnsi="宋体" w:eastAsia="宋体" w:cs="宋体"/>
          <w:caps w:val="0"/>
          <w:smallCaps w:val="0"/>
          <w:color w:val="auto"/>
          <w:spacing w:val="0"/>
          <w:sz w:val="24"/>
          <w:szCs w:val="24"/>
          <w:highlight w:val="none"/>
        </w:rPr>
        <w:instrText xml:space="preserve"> HYPERLINK \l _Toc12971 </w:instrText>
      </w:r>
      <w:r>
        <w:rPr>
          <w:rFonts w:hint="eastAsia" w:ascii="宋体" w:hAnsi="宋体" w:eastAsia="宋体" w:cs="宋体"/>
          <w:caps w:val="0"/>
          <w:smallCaps w:val="0"/>
          <w:color w:val="auto"/>
          <w:spacing w:val="0"/>
          <w:sz w:val="24"/>
          <w:szCs w:val="24"/>
          <w:highlight w:val="none"/>
        </w:rPr>
        <w:fldChar w:fldCharType="separate"/>
      </w:r>
      <w:r>
        <w:rPr>
          <w:rFonts w:hint="eastAsia" w:ascii="宋体" w:hAnsi="宋体" w:eastAsia="宋体" w:cs="宋体"/>
          <w:bCs/>
          <w:color w:val="auto"/>
          <w:kern w:val="2"/>
          <w:sz w:val="24"/>
          <w:szCs w:val="24"/>
          <w:highlight w:val="none"/>
          <w:lang w:val="en-US" w:eastAsia="zh-CN" w:bidi="ar-SA"/>
        </w:rPr>
        <w:t>二、分项报价表</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_Toc12971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- 104 -</w:t>
      </w:r>
      <w:r>
        <w:rPr>
          <w:rFonts w:hint="eastAsia" w:ascii="宋体" w:hAnsi="宋体" w:eastAsia="宋体" w:cs="宋体"/>
          <w:color w:val="auto"/>
          <w:sz w:val="24"/>
          <w:szCs w:val="24"/>
          <w:highlight w:val="none"/>
        </w:rPr>
        <w:fldChar w:fldCharType="end"/>
      </w:r>
      <w:r>
        <w:rPr>
          <w:rFonts w:hint="eastAsia" w:ascii="宋体" w:hAnsi="宋体" w:eastAsia="宋体" w:cs="宋体"/>
          <w:caps w:val="0"/>
          <w:smallCaps w:val="0"/>
          <w:color w:val="auto"/>
          <w:spacing w:val="0"/>
          <w:sz w:val="24"/>
          <w:szCs w:val="24"/>
          <w:highlight w:val="none"/>
        </w:rPr>
        <w:fldChar w:fldCharType="end"/>
      </w:r>
    </w:p>
    <w:p w14:paraId="4567EE87">
      <w:pPr>
        <w:pStyle w:val="25"/>
        <w:keepNext w:val="0"/>
        <w:keepLines w:val="0"/>
        <w:pageBreakBefore w:val="0"/>
        <w:widowControl w:val="0"/>
        <w:tabs>
          <w:tab w:val="right" w:leader="dot" w:pos="8306"/>
        </w:tabs>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bCs/>
          <w:color w:val="auto"/>
          <w:kern w:val="2"/>
          <w:sz w:val="24"/>
          <w:szCs w:val="24"/>
          <w:highlight w:val="none"/>
          <w:lang w:val="en-US" w:eastAsia="zh-CN" w:bidi="ar-SA"/>
        </w:rPr>
        <w:fldChar w:fldCharType="begin"/>
      </w:r>
      <w:r>
        <w:rPr>
          <w:rFonts w:hint="eastAsia" w:ascii="宋体" w:hAnsi="宋体" w:eastAsia="宋体" w:cs="宋体"/>
          <w:bCs/>
          <w:color w:val="auto"/>
          <w:kern w:val="2"/>
          <w:sz w:val="24"/>
          <w:szCs w:val="24"/>
          <w:highlight w:val="none"/>
          <w:lang w:val="en-US" w:eastAsia="zh-CN" w:bidi="ar-SA"/>
        </w:rPr>
        <w:instrText xml:space="preserve"> HYPERLINK \l _Toc28343 </w:instrText>
      </w:r>
      <w:r>
        <w:rPr>
          <w:rFonts w:hint="eastAsia" w:ascii="宋体" w:hAnsi="宋体" w:eastAsia="宋体" w:cs="宋体"/>
          <w:bCs/>
          <w:color w:val="auto"/>
          <w:kern w:val="2"/>
          <w:sz w:val="24"/>
          <w:szCs w:val="24"/>
          <w:highlight w:val="none"/>
          <w:lang w:val="en-US" w:eastAsia="zh-CN" w:bidi="ar-SA"/>
        </w:rPr>
        <w:fldChar w:fldCharType="separate"/>
      </w:r>
      <w:r>
        <w:rPr>
          <w:rFonts w:hint="eastAsia" w:ascii="宋体" w:hAnsi="宋体" w:eastAsia="宋体" w:cs="宋体"/>
          <w:bCs/>
          <w:color w:val="auto"/>
          <w:kern w:val="2"/>
          <w:sz w:val="24"/>
          <w:szCs w:val="24"/>
          <w:highlight w:val="none"/>
          <w:lang w:val="en-US" w:eastAsia="zh-CN" w:bidi="ar-SA"/>
        </w:rPr>
        <w:t>三、关于符合本国产品标准的声明函或财政部规定的其他</w:t>
      </w:r>
      <w:r>
        <w:rPr>
          <w:rFonts w:hint="eastAsia" w:ascii="宋体" w:hAnsi="宋体" w:eastAsia="宋体" w:cs="宋体"/>
          <w:bCs/>
          <w:color w:val="auto"/>
          <w:kern w:val="2"/>
          <w:sz w:val="24"/>
          <w:szCs w:val="24"/>
          <w:highlight w:val="none"/>
          <w:lang w:val="en-US" w:eastAsia="zh-CN" w:bidi="ar-SA"/>
        </w:rPr>
        <w:fldChar w:fldCharType="end"/>
      </w:r>
      <w:r>
        <w:rPr>
          <w:rFonts w:hint="eastAsia" w:ascii="宋体" w:hAnsi="宋体" w:eastAsia="宋体" w:cs="宋体"/>
          <w:bCs/>
          <w:color w:val="auto"/>
          <w:kern w:val="2"/>
          <w:sz w:val="24"/>
          <w:szCs w:val="24"/>
          <w:highlight w:val="none"/>
          <w:lang w:val="en-US" w:eastAsia="zh-CN" w:bidi="ar-SA"/>
        </w:rPr>
        <w:fldChar w:fldCharType="begin"/>
      </w:r>
      <w:r>
        <w:rPr>
          <w:rFonts w:hint="eastAsia" w:ascii="宋体" w:hAnsi="宋体" w:eastAsia="宋体" w:cs="宋体"/>
          <w:bCs/>
          <w:color w:val="auto"/>
          <w:kern w:val="2"/>
          <w:sz w:val="24"/>
          <w:szCs w:val="24"/>
          <w:highlight w:val="none"/>
          <w:lang w:val="en-US" w:eastAsia="zh-CN" w:bidi="ar-SA"/>
        </w:rPr>
        <w:instrText xml:space="preserve"> HYPERLINK \l _Toc15816 </w:instrText>
      </w:r>
      <w:r>
        <w:rPr>
          <w:rFonts w:hint="eastAsia" w:ascii="宋体" w:hAnsi="宋体" w:eastAsia="宋体" w:cs="宋体"/>
          <w:bCs/>
          <w:color w:val="auto"/>
          <w:kern w:val="2"/>
          <w:sz w:val="24"/>
          <w:szCs w:val="24"/>
          <w:highlight w:val="none"/>
          <w:lang w:val="en-US" w:eastAsia="zh-CN" w:bidi="ar-SA"/>
        </w:rPr>
        <w:fldChar w:fldCharType="separate"/>
      </w:r>
      <w:r>
        <w:rPr>
          <w:rFonts w:hint="eastAsia" w:ascii="宋体" w:hAnsi="宋体" w:eastAsia="宋体" w:cs="宋体"/>
          <w:bCs/>
          <w:color w:val="auto"/>
          <w:kern w:val="2"/>
          <w:sz w:val="24"/>
          <w:szCs w:val="24"/>
          <w:highlight w:val="none"/>
          <w:lang w:val="en-US" w:eastAsia="zh-CN" w:bidi="ar-SA"/>
        </w:rPr>
        <w:t>证明文件</w:t>
      </w:r>
      <w:r>
        <w:rPr>
          <w:rFonts w:hint="eastAsia" w:ascii="宋体" w:hAnsi="宋体" w:eastAsia="宋体" w:cs="宋体"/>
          <w:bCs/>
          <w:color w:val="auto"/>
          <w:kern w:val="2"/>
          <w:sz w:val="24"/>
          <w:szCs w:val="24"/>
          <w:highlight w:val="none"/>
          <w:lang w:val="en-US" w:eastAsia="zh-CN" w:bidi="ar-SA"/>
        </w:rPr>
        <w:tab/>
      </w:r>
      <w:r>
        <w:rPr>
          <w:rFonts w:hint="eastAsia" w:ascii="宋体" w:hAnsi="宋体" w:eastAsia="宋体" w:cs="宋体"/>
          <w:bCs/>
          <w:color w:val="auto"/>
          <w:kern w:val="2"/>
          <w:sz w:val="24"/>
          <w:szCs w:val="24"/>
          <w:highlight w:val="none"/>
          <w:lang w:val="en-US" w:eastAsia="zh-CN" w:bidi="ar-SA"/>
        </w:rPr>
        <w:fldChar w:fldCharType="begin"/>
      </w:r>
      <w:r>
        <w:rPr>
          <w:rFonts w:hint="eastAsia" w:ascii="宋体" w:hAnsi="宋体" w:eastAsia="宋体" w:cs="宋体"/>
          <w:bCs/>
          <w:color w:val="auto"/>
          <w:kern w:val="2"/>
          <w:sz w:val="24"/>
          <w:szCs w:val="24"/>
          <w:highlight w:val="none"/>
          <w:lang w:val="en-US" w:eastAsia="zh-CN" w:bidi="ar-SA"/>
        </w:rPr>
        <w:instrText xml:space="preserve"> PAGEREF _Toc15816 \h </w:instrText>
      </w:r>
      <w:r>
        <w:rPr>
          <w:rFonts w:hint="eastAsia" w:ascii="宋体" w:hAnsi="宋体" w:eastAsia="宋体" w:cs="宋体"/>
          <w:bCs/>
          <w:color w:val="auto"/>
          <w:kern w:val="2"/>
          <w:sz w:val="24"/>
          <w:szCs w:val="24"/>
          <w:highlight w:val="none"/>
          <w:lang w:val="en-US" w:eastAsia="zh-CN" w:bidi="ar-SA"/>
        </w:rPr>
        <w:fldChar w:fldCharType="separate"/>
      </w:r>
      <w:r>
        <w:rPr>
          <w:rFonts w:hint="eastAsia" w:ascii="宋体" w:hAnsi="宋体" w:eastAsia="宋体" w:cs="宋体"/>
          <w:bCs/>
          <w:color w:val="auto"/>
          <w:kern w:val="2"/>
          <w:sz w:val="24"/>
          <w:szCs w:val="24"/>
          <w:highlight w:val="none"/>
          <w:lang w:val="en-US" w:eastAsia="zh-CN" w:bidi="ar-SA"/>
        </w:rPr>
        <w:t>- 105 -</w:t>
      </w:r>
      <w:r>
        <w:rPr>
          <w:rFonts w:hint="eastAsia" w:ascii="宋体" w:hAnsi="宋体" w:eastAsia="宋体" w:cs="宋体"/>
          <w:bCs/>
          <w:color w:val="auto"/>
          <w:kern w:val="2"/>
          <w:sz w:val="24"/>
          <w:szCs w:val="24"/>
          <w:highlight w:val="none"/>
          <w:lang w:val="en-US" w:eastAsia="zh-CN" w:bidi="ar-SA"/>
        </w:rPr>
        <w:fldChar w:fldCharType="end"/>
      </w:r>
      <w:r>
        <w:rPr>
          <w:rFonts w:hint="eastAsia" w:ascii="宋体" w:hAnsi="宋体" w:eastAsia="宋体" w:cs="宋体"/>
          <w:bCs/>
          <w:color w:val="auto"/>
          <w:kern w:val="2"/>
          <w:sz w:val="24"/>
          <w:szCs w:val="24"/>
          <w:highlight w:val="none"/>
          <w:lang w:val="en-US" w:eastAsia="zh-CN" w:bidi="ar-SA"/>
        </w:rPr>
        <w:fldChar w:fldCharType="end"/>
      </w:r>
    </w:p>
    <w:p w14:paraId="45D9C8EC">
      <w:pPr>
        <w:pStyle w:val="21"/>
        <w:keepNext w:val="0"/>
        <w:keepLines w:val="0"/>
        <w:pageBreakBefore w:val="0"/>
        <w:widowControl w:val="0"/>
        <w:tabs>
          <w:tab w:val="right" w:leader="dot" w:pos="8306"/>
        </w:tabs>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aps w:val="0"/>
          <w:smallCaps w:val="0"/>
          <w:color w:val="auto"/>
          <w:spacing w:val="0"/>
          <w:sz w:val="24"/>
          <w:szCs w:val="24"/>
          <w:highlight w:val="none"/>
        </w:rPr>
        <w:fldChar w:fldCharType="begin"/>
      </w:r>
      <w:r>
        <w:rPr>
          <w:rFonts w:hint="eastAsia" w:ascii="宋体" w:hAnsi="宋体" w:eastAsia="宋体" w:cs="宋体"/>
          <w:caps w:val="0"/>
          <w:smallCaps w:val="0"/>
          <w:color w:val="auto"/>
          <w:spacing w:val="0"/>
          <w:sz w:val="24"/>
          <w:szCs w:val="24"/>
          <w:highlight w:val="none"/>
        </w:rPr>
        <w:instrText xml:space="preserve"> HYPERLINK \l _Toc29933 </w:instrText>
      </w:r>
      <w:r>
        <w:rPr>
          <w:rFonts w:hint="eastAsia" w:ascii="宋体" w:hAnsi="宋体" w:eastAsia="宋体" w:cs="宋体"/>
          <w:caps w:val="0"/>
          <w:smallCaps w:val="0"/>
          <w:color w:val="auto"/>
          <w:spacing w:val="0"/>
          <w:sz w:val="24"/>
          <w:szCs w:val="24"/>
          <w:highlight w:val="none"/>
        </w:rPr>
        <w:fldChar w:fldCharType="separate"/>
      </w:r>
      <w:r>
        <w:rPr>
          <w:rFonts w:hint="eastAsia" w:ascii="宋体" w:hAnsi="宋体" w:eastAsia="宋体" w:cs="宋体"/>
          <w:color w:val="auto"/>
          <w:sz w:val="24"/>
          <w:szCs w:val="24"/>
          <w:highlight w:val="none"/>
        </w:rPr>
        <w:t>投标文件</w:t>
      </w:r>
      <w:r>
        <w:rPr>
          <w:rFonts w:hint="eastAsia" w:ascii="宋体" w:hAnsi="宋体" w:eastAsia="宋体" w:cs="宋体"/>
          <w:caps w:val="0"/>
          <w:smallCaps w:val="0"/>
          <w:color w:val="auto"/>
          <w:spacing w:val="0"/>
          <w:sz w:val="24"/>
          <w:szCs w:val="24"/>
          <w:highlight w:val="none"/>
        </w:rPr>
        <w:fldChar w:fldCharType="end"/>
      </w:r>
      <w:r>
        <w:rPr>
          <w:rFonts w:hint="eastAsia" w:ascii="宋体" w:hAnsi="宋体" w:eastAsia="宋体" w:cs="宋体"/>
          <w:caps w:val="0"/>
          <w:smallCaps w:val="0"/>
          <w:color w:val="auto"/>
          <w:spacing w:val="0"/>
          <w:sz w:val="24"/>
          <w:szCs w:val="24"/>
          <w:highlight w:val="none"/>
        </w:rPr>
        <w:fldChar w:fldCharType="begin"/>
      </w:r>
      <w:r>
        <w:rPr>
          <w:rFonts w:hint="eastAsia" w:ascii="宋体" w:hAnsi="宋体" w:eastAsia="宋体" w:cs="宋体"/>
          <w:caps w:val="0"/>
          <w:smallCaps w:val="0"/>
          <w:color w:val="auto"/>
          <w:spacing w:val="0"/>
          <w:sz w:val="24"/>
          <w:szCs w:val="24"/>
          <w:highlight w:val="none"/>
        </w:rPr>
        <w:instrText xml:space="preserve"> HYPERLINK \l _Toc6309 </w:instrText>
      </w:r>
      <w:r>
        <w:rPr>
          <w:rFonts w:hint="eastAsia" w:ascii="宋体" w:hAnsi="宋体" w:eastAsia="宋体" w:cs="宋体"/>
          <w:caps w:val="0"/>
          <w:smallCaps w:val="0"/>
          <w:color w:val="auto"/>
          <w:spacing w:val="0"/>
          <w:sz w:val="24"/>
          <w:szCs w:val="24"/>
          <w:highlight w:val="none"/>
        </w:rPr>
        <w:fldChar w:fldCharType="separate"/>
      </w:r>
      <w:r>
        <w:rPr>
          <w:rFonts w:hint="eastAsia" w:ascii="宋体" w:hAnsi="宋体" w:eastAsia="宋体" w:cs="宋体"/>
          <w:color w:val="auto"/>
          <w:sz w:val="24"/>
          <w:szCs w:val="24"/>
          <w:highlight w:val="none"/>
          <w:lang w:val="en-US" w:eastAsia="zh-CN"/>
        </w:rPr>
        <w:t>商务技术文件</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_Toc6309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- 107 -</w:t>
      </w:r>
      <w:r>
        <w:rPr>
          <w:rFonts w:hint="eastAsia" w:ascii="宋体" w:hAnsi="宋体" w:eastAsia="宋体" w:cs="宋体"/>
          <w:color w:val="auto"/>
          <w:sz w:val="24"/>
          <w:szCs w:val="24"/>
          <w:highlight w:val="none"/>
        </w:rPr>
        <w:fldChar w:fldCharType="end"/>
      </w:r>
      <w:r>
        <w:rPr>
          <w:rFonts w:hint="eastAsia" w:ascii="宋体" w:hAnsi="宋体" w:eastAsia="宋体" w:cs="宋体"/>
          <w:caps w:val="0"/>
          <w:smallCaps w:val="0"/>
          <w:color w:val="auto"/>
          <w:spacing w:val="0"/>
          <w:sz w:val="24"/>
          <w:szCs w:val="24"/>
          <w:highlight w:val="none"/>
        </w:rPr>
        <w:fldChar w:fldCharType="end"/>
      </w:r>
    </w:p>
    <w:p w14:paraId="3B8098B4">
      <w:pPr>
        <w:pStyle w:val="25"/>
        <w:keepNext w:val="0"/>
        <w:keepLines w:val="0"/>
        <w:pageBreakBefore w:val="0"/>
        <w:widowControl w:val="0"/>
        <w:tabs>
          <w:tab w:val="right" w:leader="dot" w:pos="8306"/>
        </w:tabs>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aps w:val="0"/>
          <w:smallCaps w:val="0"/>
          <w:color w:val="auto"/>
          <w:spacing w:val="0"/>
          <w:sz w:val="24"/>
          <w:szCs w:val="24"/>
          <w:highlight w:val="none"/>
        </w:rPr>
        <w:fldChar w:fldCharType="begin"/>
      </w:r>
      <w:r>
        <w:rPr>
          <w:rFonts w:hint="eastAsia" w:ascii="宋体" w:hAnsi="宋体" w:eastAsia="宋体" w:cs="宋体"/>
          <w:caps w:val="0"/>
          <w:smallCaps w:val="0"/>
          <w:color w:val="auto"/>
          <w:spacing w:val="0"/>
          <w:sz w:val="24"/>
          <w:szCs w:val="24"/>
          <w:highlight w:val="none"/>
        </w:rPr>
        <w:instrText xml:space="preserve"> HYPERLINK \l _Toc28532 </w:instrText>
      </w:r>
      <w:r>
        <w:rPr>
          <w:rFonts w:hint="eastAsia" w:ascii="宋体" w:hAnsi="宋体" w:eastAsia="宋体" w:cs="宋体"/>
          <w:caps w:val="0"/>
          <w:smallCaps w:val="0"/>
          <w:color w:val="auto"/>
          <w:spacing w:val="0"/>
          <w:sz w:val="24"/>
          <w:szCs w:val="24"/>
          <w:highlight w:val="none"/>
        </w:rPr>
        <w:fldChar w:fldCharType="separate"/>
      </w:r>
      <w:r>
        <w:rPr>
          <w:rFonts w:hint="eastAsia" w:ascii="宋体" w:hAnsi="宋体" w:eastAsia="宋体" w:cs="宋体"/>
          <w:bCs/>
          <w:color w:val="auto"/>
          <w:kern w:val="2"/>
          <w:sz w:val="24"/>
          <w:szCs w:val="24"/>
          <w:highlight w:val="none"/>
          <w:lang w:val="en-US" w:eastAsia="zh-CN" w:bidi="ar-SA"/>
        </w:rPr>
        <w:t>一、投标函</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_Toc28532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- 108 -</w:t>
      </w:r>
      <w:r>
        <w:rPr>
          <w:rFonts w:hint="eastAsia" w:ascii="宋体" w:hAnsi="宋体" w:eastAsia="宋体" w:cs="宋体"/>
          <w:color w:val="auto"/>
          <w:sz w:val="24"/>
          <w:szCs w:val="24"/>
          <w:highlight w:val="none"/>
        </w:rPr>
        <w:fldChar w:fldCharType="end"/>
      </w:r>
      <w:r>
        <w:rPr>
          <w:rFonts w:hint="eastAsia" w:ascii="宋体" w:hAnsi="宋体" w:eastAsia="宋体" w:cs="宋体"/>
          <w:caps w:val="0"/>
          <w:smallCaps w:val="0"/>
          <w:color w:val="auto"/>
          <w:spacing w:val="0"/>
          <w:sz w:val="24"/>
          <w:szCs w:val="24"/>
          <w:highlight w:val="none"/>
        </w:rPr>
        <w:fldChar w:fldCharType="end"/>
      </w:r>
    </w:p>
    <w:p w14:paraId="4C80E6DD">
      <w:pPr>
        <w:pStyle w:val="25"/>
        <w:keepNext w:val="0"/>
        <w:keepLines w:val="0"/>
        <w:pageBreakBefore w:val="0"/>
        <w:widowControl w:val="0"/>
        <w:tabs>
          <w:tab w:val="right" w:leader="dot" w:pos="8306"/>
        </w:tabs>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aps w:val="0"/>
          <w:smallCaps w:val="0"/>
          <w:color w:val="auto"/>
          <w:spacing w:val="0"/>
          <w:sz w:val="24"/>
          <w:szCs w:val="24"/>
          <w:highlight w:val="none"/>
        </w:rPr>
        <w:fldChar w:fldCharType="begin"/>
      </w:r>
      <w:r>
        <w:rPr>
          <w:rFonts w:hint="eastAsia" w:ascii="宋体" w:hAnsi="宋体" w:eastAsia="宋体" w:cs="宋体"/>
          <w:caps w:val="0"/>
          <w:smallCaps w:val="0"/>
          <w:color w:val="auto"/>
          <w:spacing w:val="0"/>
          <w:sz w:val="24"/>
          <w:szCs w:val="24"/>
          <w:highlight w:val="none"/>
        </w:rPr>
        <w:instrText xml:space="preserve"> HYPERLINK \l _Toc3285 </w:instrText>
      </w:r>
      <w:r>
        <w:rPr>
          <w:rFonts w:hint="eastAsia" w:ascii="宋体" w:hAnsi="宋体" w:eastAsia="宋体" w:cs="宋体"/>
          <w:caps w:val="0"/>
          <w:smallCaps w:val="0"/>
          <w:color w:val="auto"/>
          <w:spacing w:val="0"/>
          <w:sz w:val="24"/>
          <w:szCs w:val="24"/>
          <w:highlight w:val="none"/>
        </w:rPr>
        <w:fldChar w:fldCharType="separate"/>
      </w:r>
      <w:r>
        <w:rPr>
          <w:rFonts w:hint="eastAsia" w:ascii="宋体" w:hAnsi="宋体" w:eastAsia="宋体" w:cs="宋体"/>
          <w:bCs/>
          <w:color w:val="auto"/>
          <w:kern w:val="2"/>
          <w:sz w:val="24"/>
          <w:szCs w:val="24"/>
          <w:highlight w:val="none"/>
          <w:lang w:val="en-US" w:eastAsia="zh-CN" w:bidi="ar-SA"/>
        </w:rPr>
        <w:t>二、法定代表人（单位负责人）身份证明</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_Toc3285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- 110 -</w:t>
      </w:r>
      <w:r>
        <w:rPr>
          <w:rFonts w:hint="eastAsia" w:ascii="宋体" w:hAnsi="宋体" w:eastAsia="宋体" w:cs="宋体"/>
          <w:color w:val="auto"/>
          <w:sz w:val="24"/>
          <w:szCs w:val="24"/>
          <w:highlight w:val="none"/>
        </w:rPr>
        <w:fldChar w:fldCharType="end"/>
      </w:r>
      <w:r>
        <w:rPr>
          <w:rFonts w:hint="eastAsia" w:ascii="宋体" w:hAnsi="宋体" w:eastAsia="宋体" w:cs="宋体"/>
          <w:caps w:val="0"/>
          <w:smallCaps w:val="0"/>
          <w:color w:val="auto"/>
          <w:spacing w:val="0"/>
          <w:sz w:val="24"/>
          <w:szCs w:val="24"/>
          <w:highlight w:val="none"/>
        </w:rPr>
        <w:fldChar w:fldCharType="end"/>
      </w:r>
    </w:p>
    <w:p w14:paraId="3F88C06F">
      <w:pPr>
        <w:pStyle w:val="25"/>
        <w:keepNext w:val="0"/>
        <w:keepLines w:val="0"/>
        <w:pageBreakBefore w:val="0"/>
        <w:widowControl w:val="0"/>
        <w:tabs>
          <w:tab w:val="right" w:leader="dot" w:pos="8306"/>
        </w:tabs>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aps w:val="0"/>
          <w:smallCaps w:val="0"/>
          <w:color w:val="auto"/>
          <w:spacing w:val="0"/>
          <w:sz w:val="24"/>
          <w:szCs w:val="24"/>
          <w:highlight w:val="none"/>
        </w:rPr>
        <w:fldChar w:fldCharType="begin"/>
      </w:r>
      <w:r>
        <w:rPr>
          <w:rFonts w:hint="eastAsia" w:ascii="宋体" w:hAnsi="宋体" w:eastAsia="宋体" w:cs="宋体"/>
          <w:caps w:val="0"/>
          <w:smallCaps w:val="0"/>
          <w:color w:val="auto"/>
          <w:spacing w:val="0"/>
          <w:sz w:val="24"/>
          <w:szCs w:val="24"/>
          <w:highlight w:val="none"/>
        </w:rPr>
        <w:instrText xml:space="preserve"> HYPERLINK \l _Toc22585 </w:instrText>
      </w:r>
      <w:r>
        <w:rPr>
          <w:rFonts w:hint="eastAsia" w:ascii="宋体" w:hAnsi="宋体" w:eastAsia="宋体" w:cs="宋体"/>
          <w:caps w:val="0"/>
          <w:smallCaps w:val="0"/>
          <w:color w:val="auto"/>
          <w:spacing w:val="0"/>
          <w:sz w:val="24"/>
          <w:szCs w:val="24"/>
          <w:highlight w:val="none"/>
        </w:rPr>
        <w:fldChar w:fldCharType="separate"/>
      </w:r>
      <w:r>
        <w:rPr>
          <w:rFonts w:hint="eastAsia" w:ascii="宋体" w:hAnsi="宋体" w:eastAsia="宋体" w:cs="宋体"/>
          <w:bCs/>
          <w:color w:val="auto"/>
          <w:kern w:val="2"/>
          <w:sz w:val="24"/>
          <w:szCs w:val="24"/>
          <w:highlight w:val="none"/>
          <w:lang w:val="en-US" w:eastAsia="zh-CN" w:bidi="ar-SA"/>
        </w:rPr>
        <w:t>三、授权委托书</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_Toc22585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- 111 -</w:t>
      </w:r>
      <w:r>
        <w:rPr>
          <w:rFonts w:hint="eastAsia" w:ascii="宋体" w:hAnsi="宋体" w:eastAsia="宋体" w:cs="宋体"/>
          <w:color w:val="auto"/>
          <w:sz w:val="24"/>
          <w:szCs w:val="24"/>
          <w:highlight w:val="none"/>
        </w:rPr>
        <w:fldChar w:fldCharType="end"/>
      </w:r>
      <w:r>
        <w:rPr>
          <w:rFonts w:hint="eastAsia" w:ascii="宋体" w:hAnsi="宋体" w:eastAsia="宋体" w:cs="宋体"/>
          <w:caps w:val="0"/>
          <w:smallCaps w:val="0"/>
          <w:color w:val="auto"/>
          <w:spacing w:val="0"/>
          <w:sz w:val="24"/>
          <w:szCs w:val="24"/>
          <w:highlight w:val="none"/>
        </w:rPr>
        <w:fldChar w:fldCharType="end"/>
      </w:r>
    </w:p>
    <w:p w14:paraId="040D46B2">
      <w:pPr>
        <w:pStyle w:val="25"/>
        <w:keepNext w:val="0"/>
        <w:keepLines w:val="0"/>
        <w:pageBreakBefore w:val="0"/>
        <w:widowControl w:val="0"/>
        <w:tabs>
          <w:tab w:val="right" w:leader="dot" w:pos="8306"/>
        </w:tabs>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aps w:val="0"/>
          <w:smallCaps w:val="0"/>
          <w:color w:val="auto"/>
          <w:spacing w:val="0"/>
          <w:sz w:val="24"/>
          <w:szCs w:val="24"/>
          <w:highlight w:val="none"/>
        </w:rPr>
        <w:fldChar w:fldCharType="begin"/>
      </w:r>
      <w:r>
        <w:rPr>
          <w:rFonts w:hint="eastAsia" w:ascii="宋体" w:hAnsi="宋体" w:eastAsia="宋体" w:cs="宋体"/>
          <w:caps w:val="0"/>
          <w:smallCaps w:val="0"/>
          <w:color w:val="auto"/>
          <w:spacing w:val="0"/>
          <w:sz w:val="24"/>
          <w:szCs w:val="24"/>
          <w:highlight w:val="none"/>
        </w:rPr>
        <w:instrText xml:space="preserve"> HYPERLINK \l _Toc12455 </w:instrText>
      </w:r>
      <w:r>
        <w:rPr>
          <w:rFonts w:hint="eastAsia" w:ascii="宋体" w:hAnsi="宋体" w:eastAsia="宋体" w:cs="宋体"/>
          <w:caps w:val="0"/>
          <w:smallCaps w:val="0"/>
          <w:color w:val="auto"/>
          <w:spacing w:val="0"/>
          <w:sz w:val="24"/>
          <w:szCs w:val="24"/>
          <w:highlight w:val="none"/>
        </w:rPr>
        <w:fldChar w:fldCharType="separate"/>
      </w:r>
      <w:r>
        <w:rPr>
          <w:rFonts w:hint="eastAsia" w:ascii="宋体" w:hAnsi="宋体" w:eastAsia="宋体" w:cs="宋体"/>
          <w:bCs/>
          <w:color w:val="auto"/>
          <w:kern w:val="2"/>
          <w:sz w:val="24"/>
          <w:szCs w:val="24"/>
          <w:highlight w:val="none"/>
          <w:lang w:val="en-US" w:eastAsia="zh-CN" w:bidi="ar-SA"/>
        </w:rPr>
        <w:t>四、</w:t>
      </w:r>
      <w:r>
        <w:rPr>
          <w:rFonts w:hint="eastAsia" w:ascii="宋体" w:hAnsi="宋体" w:eastAsia="宋体" w:cs="宋体"/>
          <w:bCs/>
          <w:color w:val="auto"/>
          <w:kern w:val="2"/>
          <w:sz w:val="24"/>
          <w:szCs w:val="24"/>
          <w:highlight w:val="none"/>
          <w:lang w:val="zh-CN" w:eastAsia="zh-CN" w:bidi="ar-SA"/>
        </w:rPr>
        <w:t>政府采购</w:t>
      </w:r>
      <w:r>
        <w:rPr>
          <w:rFonts w:hint="eastAsia" w:ascii="宋体" w:hAnsi="宋体" w:eastAsia="宋体" w:cs="宋体"/>
          <w:bCs/>
          <w:color w:val="auto"/>
          <w:kern w:val="2"/>
          <w:sz w:val="24"/>
          <w:szCs w:val="24"/>
          <w:highlight w:val="none"/>
          <w:lang w:val="en-US" w:eastAsia="zh-CN" w:bidi="ar-SA"/>
        </w:rPr>
        <w:t>投标人</w:t>
      </w:r>
      <w:r>
        <w:rPr>
          <w:rFonts w:hint="eastAsia" w:ascii="宋体" w:hAnsi="宋体" w:eastAsia="宋体" w:cs="宋体"/>
          <w:bCs/>
          <w:color w:val="auto"/>
          <w:kern w:val="2"/>
          <w:sz w:val="24"/>
          <w:szCs w:val="24"/>
          <w:highlight w:val="none"/>
          <w:lang w:val="zh-CN" w:eastAsia="zh-CN" w:bidi="ar-SA"/>
        </w:rPr>
        <w:t>廉洁自律承诺书</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_Toc12455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- 112 -</w:t>
      </w:r>
      <w:r>
        <w:rPr>
          <w:rFonts w:hint="eastAsia" w:ascii="宋体" w:hAnsi="宋体" w:eastAsia="宋体" w:cs="宋体"/>
          <w:color w:val="auto"/>
          <w:sz w:val="24"/>
          <w:szCs w:val="24"/>
          <w:highlight w:val="none"/>
        </w:rPr>
        <w:fldChar w:fldCharType="end"/>
      </w:r>
      <w:r>
        <w:rPr>
          <w:rFonts w:hint="eastAsia" w:ascii="宋体" w:hAnsi="宋体" w:eastAsia="宋体" w:cs="宋体"/>
          <w:caps w:val="0"/>
          <w:smallCaps w:val="0"/>
          <w:color w:val="auto"/>
          <w:spacing w:val="0"/>
          <w:sz w:val="24"/>
          <w:szCs w:val="24"/>
          <w:highlight w:val="none"/>
        </w:rPr>
        <w:fldChar w:fldCharType="end"/>
      </w:r>
    </w:p>
    <w:p w14:paraId="07C98831">
      <w:pPr>
        <w:pStyle w:val="25"/>
        <w:keepNext w:val="0"/>
        <w:keepLines w:val="0"/>
        <w:pageBreakBefore w:val="0"/>
        <w:widowControl w:val="0"/>
        <w:tabs>
          <w:tab w:val="right" w:leader="dot" w:pos="8306"/>
        </w:tabs>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aps w:val="0"/>
          <w:smallCaps w:val="0"/>
          <w:color w:val="auto"/>
          <w:spacing w:val="0"/>
          <w:sz w:val="24"/>
          <w:szCs w:val="24"/>
          <w:highlight w:val="none"/>
        </w:rPr>
        <w:fldChar w:fldCharType="begin"/>
      </w:r>
      <w:r>
        <w:rPr>
          <w:rFonts w:hint="eastAsia" w:ascii="宋体" w:hAnsi="宋体" w:eastAsia="宋体" w:cs="宋体"/>
          <w:caps w:val="0"/>
          <w:smallCaps w:val="0"/>
          <w:color w:val="auto"/>
          <w:spacing w:val="0"/>
          <w:sz w:val="24"/>
          <w:szCs w:val="24"/>
          <w:highlight w:val="none"/>
        </w:rPr>
        <w:instrText xml:space="preserve"> HYPERLINK \l _Toc18432 </w:instrText>
      </w:r>
      <w:r>
        <w:rPr>
          <w:rFonts w:hint="eastAsia" w:ascii="宋体" w:hAnsi="宋体" w:eastAsia="宋体" w:cs="宋体"/>
          <w:caps w:val="0"/>
          <w:smallCaps w:val="0"/>
          <w:color w:val="auto"/>
          <w:spacing w:val="0"/>
          <w:sz w:val="24"/>
          <w:szCs w:val="24"/>
          <w:highlight w:val="none"/>
        </w:rPr>
        <w:fldChar w:fldCharType="separate"/>
      </w:r>
      <w:r>
        <w:rPr>
          <w:rFonts w:hint="eastAsia" w:ascii="宋体" w:hAnsi="宋体" w:eastAsia="宋体" w:cs="宋体"/>
          <w:color w:val="auto"/>
          <w:sz w:val="24"/>
          <w:szCs w:val="24"/>
          <w:highlight w:val="none"/>
          <w:lang w:val="en-US" w:eastAsia="zh-CN"/>
        </w:rPr>
        <w:t>五、</w:t>
      </w:r>
      <w:r>
        <w:rPr>
          <w:rFonts w:hint="eastAsia" w:ascii="宋体" w:hAnsi="宋体" w:eastAsia="宋体" w:cs="宋体"/>
          <w:color w:val="auto"/>
          <w:sz w:val="24"/>
          <w:szCs w:val="24"/>
          <w:highlight w:val="none"/>
          <w:lang w:val="zh-CN" w:eastAsia="zh-CN"/>
        </w:rPr>
        <w:t>实质性响应一览表【</w:t>
      </w:r>
      <w:r>
        <w:rPr>
          <w:rFonts w:hint="eastAsia" w:ascii="宋体" w:hAnsi="宋体" w:eastAsia="宋体" w:cs="宋体"/>
          <w:color w:val="auto"/>
          <w:sz w:val="24"/>
          <w:szCs w:val="24"/>
          <w:highlight w:val="none"/>
          <w:lang w:val="en-US" w:eastAsia="zh-CN"/>
        </w:rPr>
        <w:t>本表须与第五章的一致】</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_Toc18432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- 113 -</w:t>
      </w:r>
      <w:r>
        <w:rPr>
          <w:rFonts w:hint="eastAsia" w:ascii="宋体" w:hAnsi="宋体" w:eastAsia="宋体" w:cs="宋体"/>
          <w:color w:val="auto"/>
          <w:sz w:val="24"/>
          <w:szCs w:val="24"/>
          <w:highlight w:val="none"/>
        </w:rPr>
        <w:fldChar w:fldCharType="end"/>
      </w:r>
      <w:r>
        <w:rPr>
          <w:rFonts w:hint="eastAsia" w:ascii="宋体" w:hAnsi="宋体" w:eastAsia="宋体" w:cs="宋体"/>
          <w:caps w:val="0"/>
          <w:smallCaps w:val="0"/>
          <w:color w:val="auto"/>
          <w:spacing w:val="0"/>
          <w:sz w:val="24"/>
          <w:szCs w:val="24"/>
          <w:highlight w:val="none"/>
        </w:rPr>
        <w:fldChar w:fldCharType="end"/>
      </w:r>
    </w:p>
    <w:p w14:paraId="3D06C9F5">
      <w:pPr>
        <w:pStyle w:val="25"/>
        <w:keepNext w:val="0"/>
        <w:keepLines w:val="0"/>
        <w:pageBreakBefore w:val="0"/>
        <w:widowControl w:val="0"/>
        <w:tabs>
          <w:tab w:val="right" w:leader="dot" w:pos="8306"/>
        </w:tabs>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aps w:val="0"/>
          <w:smallCaps w:val="0"/>
          <w:color w:val="auto"/>
          <w:spacing w:val="0"/>
          <w:sz w:val="24"/>
          <w:szCs w:val="24"/>
          <w:highlight w:val="none"/>
        </w:rPr>
        <w:fldChar w:fldCharType="begin"/>
      </w:r>
      <w:r>
        <w:rPr>
          <w:rFonts w:hint="eastAsia" w:ascii="宋体" w:hAnsi="宋体" w:eastAsia="宋体" w:cs="宋体"/>
          <w:caps w:val="0"/>
          <w:smallCaps w:val="0"/>
          <w:color w:val="auto"/>
          <w:spacing w:val="0"/>
          <w:sz w:val="24"/>
          <w:szCs w:val="24"/>
          <w:highlight w:val="none"/>
        </w:rPr>
        <w:instrText xml:space="preserve"> HYPERLINK \l _Toc28344 </w:instrText>
      </w:r>
      <w:r>
        <w:rPr>
          <w:rFonts w:hint="eastAsia" w:ascii="宋体" w:hAnsi="宋体" w:eastAsia="宋体" w:cs="宋体"/>
          <w:caps w:val="0"/>
          <w:smallCaps w:val="0"/>
          <w:color w:val="auto"/>
          <w:spacing w:val="0"/>
          <w:sz w:val="24"/>
          <w:szCs w:val="24"/>
          <w:highlight w:val="none"/>
        </w:rPr>
        <w:fldChar w:fldCharType="separate"/>
      </w:r>
      <w:r>
        <w:rPr>
          <w:rFonts w:hint="eastAsia" w:ascii="宋体" w:hAnsi="宋体" w:eastAsia="宋体" w:cs="宋体"/>
          <w:bCs/>
          <w:color w:val="auto"/>
          <w:kern w:val="2"/>
          <w:sz w:val="24"/>
          <w:szCs w:val="24"/>
          <w:highlight w:val="none"/>
          <w:lang w:val="en-US" w:eastAsia="zh-CN" w:bidi="ar-SA"/>
        </w:rPr>
        <w:t>六、商务响应偏离表</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_Toc28344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- 114 -</w:t>
      </w:r>
      <w:r>
        <w:rPr>
          <w:rFonts w:hint="eastAsia" w:ascii="宋体" w:hAnsi="宋体" w:eastAsia="宋体" w:cs="宋体"/>
          <w:color w:val="auto"/>
          <w:sz w:val="24"/>
          <w:szCs w:val="24"/>
          <w:highlight w:val="none"/>
        </w:rPr>
        <w:fldChar w:fldCharType="end"/>
      </w:r>
      <w:r>
        <w:rPr>
          <w:rFonts w:hint="eastAsia" w:ascii="宋体" w:hAnsi="宋体" w:eastAsia="宋体" w:cs="宋体"/>
          <w:caps w:val="0"/>
          <w:smallCaps w:val="0"/>
          <w:color w:val="auto"/>
          <w:spacing w:val="0"/>
          <w:sz w:val="24"/>
          <w:szCs w:val="24"/>
          <w:highlight w:val="none"/>
        </w:rPr>
        <w:fldChar w:fldCharType="end"/>
      </w:r>
    </w:p>
    <w:p w14:paraId="4538A712">
      <w:pPr>
        <w:pStyle w:val="25"/>
        <w:keepNext w:val="0"/>
        <w:keepLines w:val="0"/>
        <w:pageBreakBefore w:val="0"/>
        <w:widowControl w:val="0"/>
        <w:tabs>
          <w:tab w:val="right" w:leader="dot" w:pos="8306"/>
        </w:tabs>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aps w:val="0"/>
          <w:smallCaps w:val="0"/>
          <w:color w:val="auto"/>
          <w:spacing w:val="0"/>
          <w:sz w:val="24"/>
          <w:szCs w:val="24"/>
          <w:highlight w:val="none"/>
        </w:rPr>
        <w:fldChar w:fldCharType="begin"/>
      </w:r>
      <w:r>
        <w:rPr>
          <w:rFonts w:hint="eastAsia" w:ascii="宋体" w:hAnsi="宋体" w:eastAsia="宋体" w:cs="宋体"/>
          <w:caps w:val="0"/>
          <w:smallCaps w:val="0"/>
          <w:color w:val="auto"/>
          <w:spacing w:val="0"/>
          <w:sz w:val="24"/>
          <w:szCs w:val="24"/>
          <w:highlight w:val="none"/>
        </w:rPr>
        <w:instrText xml:space="preserve"> HYPERLINK \l _Toc2100 </w:instrText>
      </w:r>
      <w:r>
        <w:rPr>
          <w:rFonts w:hint="eastAsia" w:ascii="宋体" w:hAnsi="宋体" w:eastAsia="宋体" w:cs="宋体"/>
          <w:caps w:val="0"/>
          <w:smallCaps w:val="0"/>
          <w:color w:val="auto"/>
          <w:spacing w:val="0"/>
          <w:sz w:val="24"/>
          <w:szCs w:val="24"/>
          <w:highlight w:val="none"/>
        </w:rPr>
        <w:fldChar w:fldCharType="separate"/>
      </w:r>
      <w:r>
        <w:rPr>
          <w:rFonts w:hint="eastAsia" w:ascii="宋体" w:hAnsi="宋体" w:eastAsia="宋体" w:cs="宋体"/>
          <w:bCs/>
          <w:color w:val="auto"/>
          <w:kern w:val="2"/>
          <w:sz w:val="24"/>
          <w:szCs w:val="24"/>
          <w:highlight w:val="none"/>
          <w:lang w:val="en-US" w:eastAsia="zh-CN" w:bidi="ar-SA"/>
        </w:rPr>
        <w:t>七、业绩证明文件</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_Toc2100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- 115 -</w:t>
      </w:r>
      <w:r>
        <w:rPr>
          <w:rFonts w:hint="eastAsia" w:ascii="宋体" w:hAnsi="宋体" w:eastAsia="宋体" w:cs="宋体"/>
          <w:color w:val="auto"/>
          <w:sz w:val="24"/>
          <w:szCs w:val="24"/>
          <w:highlight w:val="none"/>
        </w:rPr>
        <w:fldChar w:fldCharType="end"/>
      </w:r>
      <w:r>
        <w:rPr>
          <w:rFonts w:hint="eastAsia" w:ascii="宋体" w:hAnsi="宋体" w:eastAsia="宋体" w:cs="宋体"/>
          <w:caps w:val="0"/>
          <w:smallCaps w:val="0"/>
          <w:color w:val="auto"/>
          <w:spacing w:val="0"/>
          <w:sz w:val="24"/>
          <w:szCs w:val="24"/>
          <w:highlight w:val="none"/>
        </w:rPr>
        <w:fldChar w:fldCharType="end"/>
      </w:r>
    </w:p>
    <w:p w14:paraId="0F20448F">
      <w:pPr>
        <w:pStyle w:val="25"/>
        <w:keepNext w:val="0"/>
        <w:keepLines w:val="0"/>
        <w:pageBreakBefore w:val="0"/>
        <w:widowControl w:val="0"/>
        <w:tabs>
          <w:tab w:val="right" w:leader="dot" w:pos="8306"/>
        </w:tabs>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aps w:val="0"/>
          <w:smallCaps w:val="0"/>
          <w:color w:val="auto"/>
          <w:spacing w:val="0"/>
          <w:sz w:val="24"/>
          <w:szCs w:val="24"/>
          <w:highlight w:val="none"/>
        </w:rPr>
        <w:fldChar w:fldCharType="begin"/>
      </w:r>
      <w:r>
        <w:rPr>
          <w:rFonts w:hint="eastAsia" w:ascii="宋体" w:hAnsi="宋体" w:eastAsia="宋体" w:cs="宋体"/>
          <w:caps w:val="0"/>
          <w:smallCaps w:val="0"/>
          <w:color w:val="auto"/>
          <w:spacing w:val="0"/>
          <w:sz w:val="24"/>
          <w:szCs w:val="24"/>
          <w:highlight w:val="none"/>
        </w:rPr>
        <w:instrText xml:space="preserve"> HYPERLINK \l _Toc22277 </w:instrText>
      </w:r>
      <w:r>
        <w:rPr>
          <w:rFonts w:hint="eastAsia" w:ascii="宋体" w:hAnsi="宋体" w:eastAsia="宋体" w:cs="宋体"/>
          <w:caps w:val="0"/>
          <w:smallCaps w:val="0"/>
          <w:color w:val="auto"/>
          <w:spacing w:val="0"/>
          <w:sz w:val="24"/>
          <w:szCs w:val="24"/>
          <w:highlight w:val="none"/>
        </w:rPr>
        <w:fldChar w:fldCharType="separate"/>
      </w:r>
      <w:r>
        <w:rPr>
          <w:rFonts w:hint="eastAsia" w:ascii="宋体" w:hAnsi="宋体" w:eastAsia="宋体" w:cs="宋体"/>
          <w:bCs/>
          <w:color w:val="auto"/>
          <w:kern w:val="2"/>
          <w:sz w:val="24"/>
          <w:szCs w:val="24"/>
          <w:highlight w:val="none"/>
          <w:lang w:val="en-US" w:eastAsia="zh-CN" w:bidi="ar-SA"/>
        </w:rPr>
        <w:t>八、拟派项目团队</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_Toc22277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- 116 -</w:t>
      </w:r>
      <w:r>
        <w:rPr>
          <w:rFonts w:hint="eastAsia" w:ascii="宋体" w:hAnsi="宋体" w:eastAsia="宋体" w:cs="宋体"/>
          <w:color w:val="auto"/>
          <w:sz w:val="24"/>
          <w:szCs w:val="24"/>
          <w:highlight w:val="none"/>
        </w:rPr>
        <w:fldChar w:fldCharType="end"/>
      </w:r>
      <w:r>
        <w:rPr>
          <w:rFonts w:hint="eastAsia" w:ascii="宋体" w:hAnsi="宋体" w:eastAsia="宋体" w:cs="宋体"/>
          <w:caps w:val="0"/>
          <w:smallCaps w:val="0"/>
          <w:color w:val="auto"/>
          <w:spacing w:val="0"/>
          <w:sz w:val="24"/>
          <w:szCs w:val="24"/>
          <w:highlight w:val="none"/>
        </w:rPr>
        <w:fldChar w:fldCharType="end"/>
      </w:r>
    </w:p>
    <w:p w14:paraId="5B7448B4">
      <w:pPr>
        <w:pStyle w:val="25"/>
        <w:keepNext w:val="0"/>
        <w:keepLines w:val="0"/>
        <w:pageBreakBefore w:val="0"/>
        <w:widowControl w:val="0"/>
        <w:tabs>
          <w:tab w:val="right" w:leader="dot" w:pos="8306"/>
        </w:tabs>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aps w:val="0"/>
          <w:smallCaps w:val="0"/>
          <w:color w:val="auto"/>
          <w:spacing w:val="0"/>
          <w:sz w:val="24"/>
          <w:szCs w:val="24"/>
          <w:highlight w:val="none"/>
        </w:rPr>
        <w:fldChar w:fldCharType="begin"/>
      </w:r>
      <w:r>
        <w:rPr>
          <w:rFonts w:hint="eastAsia" w:ascii="宋体" w:hAnsi="宋体" w:eastAsia="宋体" w:cs="宋体"/>
          <w:caps w:val="0"/>
          <w:smallCaps w:val="0"/>
          <w:color w:val="auto"/>
          <w:spacing w:val="0"/>
          <w:sz w:val="24"/>
          <w:szCs w:val="24"/>
          <w:highlight w:val="none"/>
        </w:rPr>
        <w:instrText xml:space="preserve"> HYPERLINK \l _Toc3121 </w:instrText>
      </w:r>
      <w:r>
        <w:rPr>
          <w:rFonts w:hint="eastAsia" w:ascii="宋体" w:hAnsi="宋体" w:eastAsia="宋体" w:cs="宋体"/>
          <w:caps w:val="0"/>
          <w:smallCaps w:val="0"/>
          <w:color w:val="auto"/>
          <w:spacing w:val="0"/>
          <w:sz w:val="24"/>
          <w:szCs w:val="24"/>
          <w:highlight w:val="none"/>
        </w:rPr>
        <w:fldChar w:fldCharType="separate"/>
      </w:r>
      <w:r>
        <w:rPr>
          <w:rFonts w:hint="eastAsia" w:ascii="宋体" w:hAnsi="宋体" w:eastAsia="宋体" w:cs="宋体"/>
          <w:bCs/>
          <w:color w:val="auto"/>
          <w:kern w:val="2"/>
          <w:sz w:val="24"/>
          <w:szCs w:val="24"/>
          <w:highlight w:val="none"/>
          <w:lang w:val="en-US" w:eastAsia="zh-CN" w:bidi="ar-SA"/>
        </w:rPr>
        <w:t>九、技术响应偏离表</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_Toc3121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- 117 -</w:t>
      </w:r>
      <w:r>
        <w:rPr>
          <w:rFonts w:hint="eastAsia" w:ascii="宋体" w:hAnsi="宋体" w:eastAsia="宋体" w:cs="宋体"/>
          <w:color w:val="auto"/>
          <w:sz w:val="24"/>
          <w:szCs w:val="24"/>
          <w:highlight w:val="none"/>
        </w:rPr>
        <w:fldChar w:fldCharType="end"/>
      </w:r>
      <w:r>
        <w:rPr>
          <w:rFonts w:hint="eastAsia" w:ascii="宋体" w:hAnsi="宋体" w:eastAsia="宋体" w:cs="宋体"/>
          <w:caps w:val="0"/>
          <w:smallCaps w:val="0"/>
          <w:color w:val="auto"/>
          <w:spacing w:val="0"/>
          <w:sz w:val="24"/>
          <w:szCs w:val="24"/>
          <w:highlight w:val="none"/>
        </w:rPr>
        <w:fldChar w:fldCharType="end"/>
      </w:r>
    </w:p>
    <w:p w14:paraId="09C2F331">
      <w:pPr>
        <w:pStyle w:val="25"/>
        <w:keepNext w:val="0"/>
        <w:keepLines w:val="0"/>
        <w:pageBreakBefore w:val="0"/>
        <w:widowControl w:val="0"/>
        <w:tabs>
          <w:tab w:val="right" w:leader="dot" w:pos="8306"/>
        </w:tabs>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aps w:val="0"/>
          <w:smallCaps w:val="0"/>
          <w:color w:val="auto"/>
          <w:spacing w:val="0"/>
          <w:sz w:val="24"/>
          <w:szCs w:val="24"/>
          <w:highlight w:val="none"/>
        </w:rPr>
        <w:fldChar w:fldCharType="begin"/>
      </w:r>
      <w:r>
        <w:rPr>
          <w:rFonts w:hint="eastAsia" w:ascii="宋体" w:hAnsi="宋体" w:eastAsia="宋体" w:cs="宋体"/>
          <w:caps w:val="0"/>
          <w:smallCaps w:val="0"/>
          <w:color w:val="auto"/>
          <w:spacing w:val="0"/>
          <w:sz w:val="24"/>
          <w:szCs w:val="24"/>
          <w:highlight w:val="none"/>
        </w:rPr>
        <w:instrText xml:space="preserve"> HYPERLINK \l _Toc28036 </w:instrText>
      </w:r>
      <w:r>
        <w:rPr>
          <w:rFonts w:hint="eastAsia" w:ascii="宋体" w:hAnsi="宋体" w:eastAsia="宋体" w:cs="宋体"/>
          <w:caps w:val="0"/>
          <w:smallCaps w:val="0"/>
          <w:color w:val="auto"/>
          <w:spacing w:val="0"/>
          <w:sz w:val="24"/>
          <w:szCs w:val="24"/>
          <w:highlight w:val="none"/>
        </w:rPr>
        <w:fldChar w:fldCharType="separate"/>
      </w:r>
      <w:r>
        <w:rPr>
          <w:rFonts w:hint="eastAsia" w:ascii="宋体" w:hAnsi="宋体" w:eastAsia="宋体" w:cs="宋体"/>
          <w:bCs/>
          <w:color w:val="auto"/>
          <w:kern w:val="2"/>
          <w:sz w:val="24"/>
          <w:szCs w:val="24"/>
          <w:highlight w:val="none"/>
          <w:lang w:val="en-US" w:eastAsia="zh-CN" w:bidi="ar-SA"/>
        </w:rPr>
        <w:t>十、技术方案</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_Toc28036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- 118 -</w:t>
      </w:r>
      <w:r>
        <w:rPr>
          <w:rFonts w:hint="eastAsia" w:ascii="宋体" w:hAnsi="宋体" w:eastAsia="宋体" w:cs="宋体"/>
          <w:color w:val="auto"/>
          <w:sz w:val="24"/>
          <w:szCs w:val="24"/>
          <w:highlight w:val="none"/>
        </w:rPr>
        <w:fldChar w:fldCharType="end"/>
      </w:r>
      <w:r>
        <w:rPr>
          <w:rFonts w:hint="eastAsia" w:ascii="宋体" w:hAnsi="宋体" w:eastAsia="宋体" w:cs="宋体"/>
          <w:caps w:val="0"/>
          <w:smallCaps w:val="0"/>
          <w:color w:val="auto"/>
          <w:spacing w:val="0"/>
          <w:sz w:val="24"/>
          <w:szCs w:val="24"/>
          <w:highlight w:val="none"/>
        </w:rPr>
        <w:fldChar w:fldCharType="end"/>
      </w:r>
    </w:p>
    <w:p w14:paraId="73F75779">
      <w:pPr>
        <w:pStyle w:val="25"/>
        <w:keepNext w:val="0"/>
        <w:keepLines w:val="0"/>
        <w:pageBreakBefore w:val="0"/>
        <w:widowControl w:val="0"/>
        <w:tabs>
          <w:tab w:val="right" w:leader="dot" w:pos="8306"/>
        </w:tabs>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aps w:val="0"/>
          <w:smallCaps w:val="0"/>
          <w:color w:val="auto"/>
          <w:spacing w:val="0"/>
          <w:sz w:val="24"/>
          <w:szCs w:val="24"/>
          <w:highlight w:val="none"/>
        </w:rPr>
        <w:fldChar w:fldCharType="begin"/>
      </w:r>
      <w:r>
        <w:rPr>
          <w:rFonts w:hint="eastAsia" w:ascii="宋体" w:hAnsi="宋体" w:eastAsia="宋体" w:cs="宋体"/>
          <w:caps w:val="0"/>
          <w:smallCaps w:val="0"/>
          <w:color w:val="auto"/>
          <w:spacing w:val="0"/>
          <w:sz w:val="24"/>
          <w:szCs w:val="24"/>
          <w:highlight w:val="none"/>
        </w:rPr>
        <w:instrText xml:space="preserve"> HYPERLINK \l _Toc22006 </w:instrText>
      </w:r>
      <w:r>
        <w:rPr>
          <w:rFonts w:hint="eastAsia" w:ascii="宋体" w:hAnsi="宋体" w:eastAsia="宋体" w:cs="宋体"/>
          <w:caps w:val="0"/>
          <w:smallCaps w:val="0"/>
          <w:color w:val="auto"/>
          <w:spacing w:val="0"/>
          <w:sz w:val="24"/>
          <w:szCs w:val="24"/>
          <w:highlight w:val="none"/>
        </w:rPr>
        <w:fldChar w:fldCharType="separate"/>
      </w:r>
      <w:r>
        <w:rPr>
          <w:rFonts w:hint="eastAsia" w:ascii="宋体" w:hAnsi="宋体" w:eastAsia="宋体" w:cs="宋体"/>
          <w:bCs/>
          <w:color w:val="auto"/>
          <w:kern w:val="2"/>
          <w:sz w:val="24"/>
          <w:szCs w:val="24"/>
          <w:highlight w:val="none"/>
          <w:lang w:val="en-US" w:eastAsia="zh-CN" w:bidi="ar-SA"/>
        </w:rPr>
        <w:t>十一、其他文件</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_Toc22006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- 119 -</w:t>
      </w:r>
      <w:r>
        <w:rPr>
          <w:rFonts w:hint="eastAsia" w:ascii="宋体" w:hAnsi="宋体" w:eastAsia="宋体" w:cs="宋体"/>
          <w:color w:val="auto"/>
          <w:sz w:val="24"/>
          <w:szCs w:val="24"/>
          <w:highlight w:val="none"/>
        </w:rPr>
        <w:fldChar w:fldCharType="end"/>
      </w:r>
      <w:r>
        <w:rPr>
          <w:rFonts w:hint="eastAsia" w:ascii="宋体" w:hAnsi="宋体" w:eastAsia="宋体" w:cs="宋体"/>
          <w:caps w:val="0"/>
          <w:smallCaps w:val="0"/>
          <w:color w:val="auto"/>
          <w:spacing w:val="0"/>
          <w:sz w:val="24"/>
          <w:szCs w:val="24"/>
          <w:highlight w:val="none"/>
        </w:rPr>
        <w:fldChar w:fldCharType="end"/>
      </w:r>
    </w:p>
    <w:p w14:paraId="0374DAF0">
      <w:pPr>
        <w:keepNext w:val="0"/>
        <w:keepLines w:val="0"/>
        <w:pageBreakBefore w:val="0"/>
        <w:widowControl w:val="0"/>
        <w:kinsoku/>
        <w:wordWrap/>
        <w:overflowPunct/>
        <w:topLinePunct w:val="0"/>
        <w:autoSpaceDE/>
        <w:autoSpaceDN/>
        <w:bidi w:val="0"/>
        <w:adjustRightInd/>
        <w:snapToGrid/>
        <w:spacing w:before="0" w:after="0" w:line="400" w:lineRule="exact"/>
        <w:textAlignment w:val="auto"/>
        <w:rPr>
          <w:rFonts w:hint="eastAsia" w:ascii="宋体" w:hAnsi="宋体" w:eastAsia="宋体" w:cs="宋体"/>
          <w:color w:val="auto"/>
          <w:highlight w:val="none"/>
        </w:rPr>
      </w:pPr>
      <w:r>
        <w:rPr>
          <w:rFonts w:hint="eastAsia" w:ascii="宋体" w:hAnsi="宋体" w:eastAsia="宋体" w:cs="宋体"/>
          <w:caps w:val="0"/>
          <w:smallCaps w:val="0"/>
          <w:color w:val="auto"/>
          <w:spacing w:val="0"/>
          <w:sz w:val="24"/>
          <w:szCs w:val="24"/>
          <w:highlight w:val="none"/>
        </w:rPr>
        <w:fldChar w:fldCharType="end"/>
      </w:r>
    </w:p>
    <w:p w14:paraId="70197432">
      <w:pPr>
        <w:pStyle w:val="2"/>
        <w:keepNext/>
        <w:keepLines/>
        <w:pageBreakBefore w:val="0"/>
        <w:widowControl w:val="0"/>
        <w:numPr>
          <w:ilvl w:val="0"/>
          <w:numId w:val="0"/>
        </w:numPr>
        <w:kinsoku/>
        <w:wordWrap/>
        <w:overflowPunct/>
        <w:topLinePunct w:val="0"/>
        <w:autoSpaceDE/>
        <w:autoSpaceDN/>
        <w:bidi w:val="0"/>
        <w:adjustRightInd/>
        <w:snapToGrid/>
        <w:spacing w:before="220" w:after="220" w:line="480" w:lineRule="auto"/>
        <w:ind w:left="420" w:leftChars="0" w:hanging="420" w:firstLineChars="0"/>
        <w:textAlignment w:val="auto"/>
        <w:rPr>
          <w:rFonts w:hint="eastAsia" w:ascii="宋体" w:hAnsi="宋体" w:eastAsia="宋体" w:cs="宋体"/>
          <w:b/>
          <w:bCs/>
          <w:color w:val="auto"/>
          <w:kern w:val="44"/>
          <w:sz w:val="36"/>
          <w:szCs w:val="36"/>
          <w:highlight w:val="none"/>
          <w:lang w:val="en-US" w:eastAsia="zh-CN" w:bidi="ar-SA"/>
        </w:rPr>
        <w:sectPr>
          <w:headerReference r:id="rId5" w:type="default"/>
          <w:footerReference r:id="rId6" w:type="default"/>
          <w:pgSz w:w="11906" w:h="16838"/>
          <w:pgMar w:top="1440" w:right="1800" w:bottom="1440" w:left="1800" w:header="851" w:footer="992" w:gutter="0"/>
          <w:pgBorders>
            <w:top w:val="none" w:sz="0" w:space="0"/>
            <w:left w:val="none" w:sz="0" w:space="0"/>
            <w:bottom w:val="none" w:sz="0" w:space="0"/>
            <w:right w:val="none" w:sz="0" w:space="0"/>
          </w:pgBorders>
          <w:pgNumType w:fmt="numberInDash" w:start="1"/>
          <w:cols w:space="425" w:num="1"/>
          <w:docGrid w:type="lines" w:linePitch="312" w:charSpace="0"/>
        </w:sectPr>
      </w:pPr>
    </w:p>
    <w:p w14:paraId="29DD1FCB">
      <w:pPr>
        <w:pStyle w:val="2"/>
        <w:keepNext/>
        <w:keepLines/>
        <w:pageBreakBefore w:val="0"/>
        <w:widowControl w:val="0"/>
        <w:numPr>
          <w:ilvl w:val="0"/>
          <w:numId w:val="0"/>
        </w:numPr>
        <w:kinsoku/>
        <w:wordWrap/>
        <w:overflowPunct/>
        <w:topLinePunct w:val="0"/>
        <w:autoSpaceDE/>
        <w:autoSpaceDN/>
        <w:bidi w:val="0"/>
        <w:adjustRightInd/>
        <w:snapToGrid/>
        <w:spacing w:before="220" w:after="220" w:line="480" w:lineRule="auto"/>
        <w:ind w:left="420" w:leftChars="0" w:hanging="420" w:firstLineChars="0"/>
        <w:textAlignment w:val="auto"/>
        <w:rPr>
          <w:rFonts w:hint="eastAsia" w:ascii="宋体" w:hAnsi="宋体" w:eastAsia="宋体" w:cs="宋体"/>
          <w:color w:val="auto"/>
          <w:sz w:val="36"/>
          <w:szCs w:val="36"/>
          <w:highlight w:val="none"/>
          <w:lang w:val="en-US" w:eastAsia="zh-CN"/>
        </w:rPr>
      </w:pPr>
      <w:bookmarkStart w:id="3" w:name="_Toc11922"/>
      <w:r>
        <w:rPr>
          <w:rFonts w:hint="eastAsia" w:ascii="宋体" w:hAnsi="宋体" w:eastAsia="宋体" w:cs="宋体"/>
          <w:b/>
          <w:bCs/>
          <w:color w:val="auto"/>
          <w:kern w:val="44"/>
          <w:sz w:val="36"/>
          <w:szCs w:val="36"/>
          <w:highlight w:val="none"/>
          <w:lang w:val="en-US" w:eastAsia="zh-CN" w:bidi="ar-SA"/>
        </w:rPr>
        <w:t xml:space="preserve">第一章 </w:t>
      </w:r>
      <w:bookmarkEnd w:id="0"/>
      <w:r>
        <w:rPr>
          <w:rFonts w:hint="eastAsia" w:ascii="宋体" w:hAnsi="宋体" w:eastAsia="宋体" w:cs="宋体"/>
          <w:color w:val="auto"/>
          <w:sz w:val="36"/>
          <w:szCs w:val="36"/>
          <w:highlight w:val="none"/>
          <w:lang w:val="en-US" w:eastAsia="zh-CN"/>
        </w:rPr>
        <w:t>招标公告</w:t>
      </w:r>
      <w:bookmarkEnd w:id="1"/>
      <w:bookmarkEnd w:id="3"/>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7612E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73D0F96B">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textAlignment w:val="auto"/>
              <w:rPr>
                <w:rFonts w:hint="eastAsia"/>
                <w:color w:val="auto"/>
                <w:sz w:val="24"/>
                <w:szCs w:val="24"/>
                <w:highlight w:val="none"/>
                <w:lang w:val="en-US" w:eastAsia="zh-CN"/>
              </w:rPr>
            </w:pPr>
            <w:bookmarkStart w:id="4" w:name="_Toc27552"/>
            <w:bookmarkStart w:id="5" w:name="_Toc9180"/>
            <w:bookmarkStart w:id="6" w:name="_Toc10915"/>
            <w:bookmarkStart w:id="7" w:name="_Toc27128"/>
            <w:bookmarkStart w:id="8" w:name="_Toc1899"/>
            <w:bookmarkStart w:id="9" w:name="_Toc109899829"/>
            <w:bookmarkStart w:id="10" w:name="_Toc109900248"/>
            <w:bookmarkStart w:id="11" w:name="_Toc44583628"/>
            <w:bookmarkStart w:id="12" w:name="_Toc109899410"/>
            <w:bookmarkStart w:id="13" w:name="_Toc28359089"/>
            <w:bookmarkStart w:id="14" w:name="_Toc35393629"/>
            <w:bookmarkStart w:id="15" w:name="_Toc155185860"/>
            <w:bookmarkStart w:id="16" w:name="_Toc28359012"/>
            <w:bookmarkStart w:id="17" w:name="_Toc35393798"/>
            <w:bookmarkStart w:id="18" w:name="_Toc140132745"/>
            <w:r>
              <w:rPr>
                <w:rFonts w:hint="eastAsia"/>
                <w:color w:val="auto"/>
                <w:sz w:val="24"/>
                <w:szCs w:val="24"/>
                <w:highlight w:val="none"/>
                <w:lang w:val="en-US" w:eastAsia="zh-CN"/>
              </w:rPr>
              <w:t>项目概况：</w:t>
            </w:r>
            <w:bookmarkEnd w:id="4"/>
            <w:bookmarkEnd w:id="5"/>
            <w:bookmarkEnd w:id="6"/>
            <w:bookmarkEnd w:id="7"/>
            <w:bookmarkEnd w:id="8"/>
          </w:p>
          <w:p w14:paraId="42E3A809">
            <w:pPr>
              <w:spacing w:line="360" w:lineRule="auto"/>
              <w:ind w:firstLine="480" w:firstLineChars="200"/>
              <w:rPr>
                <w:rFonts w:hint="default"/>
                <w:color w:val="auto"/>
                <w:highlight w:val="none"/>
                <w:lang w:val="en-US" w:eastAsia="zh-CN"/>
              </w:rPr>
            </w:pPr>
            <w:r>
              <w:rPr>
                <w:rFonts w:hint="eastAsia" w:ascii="宋体" w:hAnsi="宋体" w:eastAsia="宋体" w:cstheme="minorBidi"/>
                <w:iCs/>
                <w:color w:val="auto"/>
                <w:kern w:val="2"/>
                <w:sz w:val="24"/>
                <w:szCs w:val="24"/>
                <w:highlight w:val="none"/>
                <w:u w:val="single"/>
                <w:shd w:val="clear" w:color="auto" w:fill="FFFFFF" w:themeFill="background1"/>
                <w:lang w:val="hr-HR" w:eastAsia="zh-CN" w:bidi="ar-SA"/>
              </w:rPr>
              <w:t>伊犁州妇幼保健院安保洗涤外包服务采购项目</w:t>
            </w:r>
            <w:r>
              <w:rPr>
                <w:rFonts w:hint="eastAsia" w:cstheme="minorBidi"/>
                <w:iCs/>
                <w:color w:val="auto"/>
                <w:kern w:val="2"/>
                <w:sz w:val="24"/>
                <w:szCs w:val="24"/>
                <w:highlight w:val="none"/>
                <w:u w:val="single"/>
                <w:shd w:val="clear" w:color="auto" w:fill="FFFFFF" w:themeFill="background1"/>
                <w:lang w:val="hr-HR" w:eastAsia="zh-CN" w:bidi="ar-SA"/>
              </w:rPr>
              <w:t>（</w:t>
            </w:r>
            <w:r>
              <w:rPr>
                <w:rFonts w:hint="eastAsia" w:cstheme="minorBidi"/>
                <w:iCs/>
                <w:color w:val="auto"/>
                <w:kern w:val="2"/>
                <w:sz w:val="24"/>
                <w:szCs w:val="24"/>
                <w:highlight w:val="none"/>
                <w:u w:val="single"/>
                <w:shd w:val="clear" w:color="auto" w:fill="FFFFFF" w:themeFill="background1"/>
                <w:lang w:val="en-US" w:eastAsia="zh-CN" w:bidi="ar-SA"/>
              </w:rPr>
              <w:t>二标段</w:t>
            </w:r>
            <w:r>
              <w:rPr>
                <w:rFonts w:hint="eastAsia" w:cstheme="minorBidi"/>
                <w:iCs/>
                <w:color w:val="auto"/>
                <w:kern w:val="2"/>
                <w:sz w:val="24"/>
                <w:szCs w:val="24"/>
                <w:highlight w:val="none"/>
                <w:u w:val="single"/>
                <w:shd w:val="clear" w:color="auto" w:fill="FFFFFF" w:themeFill="background1"/>
                <w:lang w:val="hr-HR" w:eastAsia="zh-CN" w:bidi="ar-SA"/>
              </w:rPr>
              <w:t>）</w:t>
            </w:r>
            <w:r>
              <w:rPr>
                <w:rFonts w:hint="eastAsia" w:cstheme="minorBidi"/>
                <w:iCs/>
                <w:color w:val="auto"/>
                <w:kern w:val="2"/>
                <w:sz w:val="24"/>
                <w:szCs w:val="24"/>
                <w:highlight w:val="none"/>
                <w:u w:val="single"/>
                <w:shd w:val="clear" w:color="auto" w:fill="FFFFFF" w:themeFill="background1"/>
                <w:lang w:val="en-US" w:eastAsia="zh-CN" w:bidi="ar-SA"/>
              </w:rPr>
              <w:t>二次</w:t>
            </w:r>
            <w:r>
              <w:rPr>
                <w:rFonts w:hint="eastAsia" w:ascii="宋体" w:hAnsi="宋体" w:eastAsia="宋体" w:cstheme="minorBidi"/>
                <w:iCs/>
                <w:color w:val="auto"/>
                <w:kern w:val="2"/>
                <w:sz w:val="24"/>
                <w:szCs w:val="24"/>
                <w:highlight w:val="none"/>
                <w:shd w:val="clear" w:color="auto" w:fill="FFFFFF" w:themeFill="background1"/>
                <w:lang w:val="hr-HR" w:eastAsia="zh-CN" w:bidi="ar-SA"/>
              </w:rPr>
              <w:t>的潜在投标人应在</w:t>
            </w:r>
            <w:r>
              <w:rPr>
                <w:rFonts w:hint="eastAsia" w:ascii="宋体" w:hAnsi="宋体" w:eastAsia="宋体" w:cstheme="minorBidi"/>
                <w:iCs/>
                <w:color w:val="auto"/>
                <w:kern w:val="2"/>
                <w:sz w:val="24"/>
                <w:szCs w:val="24"/>
                <w:highlight w:val="none"/>
                <w:u w:val="single"/>
                <w:shd w:val="clear" w:color="auto" w:fill="FFFFFF" w:themeFill="background1"/>
                <w:lang w:val="hr-HR" w:eastAsia="zh-CN" w:bidi="ar-SA"/>
              </w:rPr>
              <w:t>政采云平台线上</w:t>
            </w:r>
            <w:r>
              <w:rPr>
                <w:rFonts w:hint="eastAsia" w:ascii="宋体" w:hAnsi="宋体" w:eastAsia="宋体" w:cstheme="minorBidi"/>
                <w:iCs/>
                <w:color w:val="auto"/>
                <w:kern w:val="2"/>
                <w:sz w:val="24"/>
                <w:szCs w:val="24"/>
                <w:highlight w:val="none"/>
                <w:shd w:val="clear" w:color="auto" w:fill="FFFFFF" w:themeFill="background1"/>
                <w:lang w:val="hr-HR" w:eastAsia="zh-CN" w:bidi="ar-SA"/>
              </w:rPr>
              <w:t>获取招标文件，并于</w:t>
            </w:r>
            <w:r>
              <w:rPr>
                <w:rFonts w:hint="eastAsia" w:cstheme="minorBidi"/>
                <w:iCs/>
                <w:color w:val="auto"/>
                <w:kern w:val="2"/>
                <w:sz w:val="24"/>
                <w:szCs w:val="24"/>
                <w:highlight w:val="none"/>
                <w:u w:val="single"/>
                <w:shd w:val="clear" w:color="auto" w:fill="FFFFFF" w:themeFill="background1"/>
                <w:lang w:val="en-US" w:eastAsia="zh-CN" w:bidi="ar-SA"/>
              </w:rPr>
              <w:t>2026</w:t>
            </w:r>
            <w:r>
              <w:rPr>
                <w:rFonts w:hint="eastAsia" w:ascii="宋体" w:hAnsi="宋体" w:eastAsia="宋体" w:cstheme="minorBidi"/>
                <w:iCs/>
                <w:color w:val="auto"/>
                <w:kern w:val="2"/>
                <w:sz w:val="24"/>
                <w:szCs w:val="24"/>
                <w:highlight w:val="none"/>
                <w:u w:val="single"/>
                <w:shd w:val="clear" w:color="auto" w:fill="FFFFFF" w:themeFill="background1"/>
                <w:lang w:val="hr-HR" w:eastAsia="zh-CN" w:bidi="ar-SA"/>
              </w:rPr>
              <w:t>年</w:t>
            </w:r>
            <w:r>
              <w:rPr>
                <w:rFonts w:hint="eastAsia" w:cstheme="minorBidi"/>
                <w:iCs/>
                <w:color w:val="auto"/>
                <w:kern w:val="2"/>
                <w:sz w:val="24"/>
                <w:szCs w:val="24"/>
                <w:highlight w:val="none"/>
                <w:u w:val="single"/>
                <w:shd w:val="clear" w:color="auto" w:fill="FFFFFF" w:themeFill="background1"/>
                <w:lang w:val="en-US" w:eastAsia="zh-CN" w:bidi="ar-SA"/>
              </w:rPr>
              <w:t>05</w:t>
            </w:r>
            <w:r>
              <w:rPr>
                <w:rFonts w:hint="eastAsia" w:ascii="宋体" w:hAnsi="宋体" w:eastAsia="宋体" w:cstheme="minorBidi"/>
                <w:iCs/>
                <w:color w:val="auto"/>
                <w:kern w:val="2"/>
                <w:sz w:val="24"/>
                <w:szCs w:val="24"/>
                <w:highlight w:val="none"/>
                <w:u w:val="single"/>
                <w:shd w:val="clear" w:color="auto" w:fill="FFFFFF" w:themeFill="background1"/>
                <w:lang w:val="hr-HR" w:eastAsia="zh-CN" w:bidi="ar-SA"/>
              </w:rPr>
              <w:t>月</w:t>
            </w:r>
            <w:r>
              <w:rPr>
                <w:rFonts w:hint="eastAsia" w:cstheme="minorBidi"/>
                <w:iCs/>
                <w:color w:val="auto"/>
                <w:kern w:val="2"/>
                <w:sz w:val="24"/>
                <w:szCs w:val="24"/>
                <w:highlight w:val="none"/>
                <w:u w:val="single"/>
                <w:shd w:val="clear" w:color="auto" w:fill="FFFFFF" w:themeFill="background1"/>
                <w:lang w:val="en-US" w:eastAsia="zh-CN" w:bidi="ar-SA"/>
              </w:rPr>
              <w:t>19</w:t>
            </w:r>
            <w:r>
              <w:rPr>
                <w:rFonts w:hint="eastAsia" w:ascii="宋体" w:hAnsi="宋体" w:eastAsia="宋体" w:cstheme="minorBidi"/>
                <w:iCs/>
                <w:color w:val="auto"/>
                <w:kern w:val="2"/>
                <w:sz w:val="24"/>
                <w:szCs w:val="24"/>
                <w:highlight w:val="none"/>
                <w:u w:val="single"/>
                <w:shd w:val="clear" w:color="auto" w:fill="FFFFFF" w:themeFill="background1"/>
                <w:lang w:val="hr-HR" w:eastAsia="zh-CN" w:bidi="ar-SA"/>
              </w:rPr>
              <w:t>日</w:t>
            </w:r>
            <w:r>
              <w:rPr>
                <w:rFonts w:hint="eastAsia" w:cstheme="minorBidi"/>
                <w:iCs/>
                <w:color w:val="auto"/>
                <w:kern w:val="2"/>
                <w:sz w:val="24"/>
                <w:szCs w:val="24"/>
                <w:highlight w:val="none"/>
                <w:u w:val="single"/>
                <w:shd w:val="clear" w:color="auto" w:fill="FFFFFF" w:themeFill="background1"/>
                <w:lang w:val="en-US" w:eastAsia="zh-CN" w:bidi="ar-SA"/>
              </w:rPr>
              <w:t>11时00</w:t>
            </w:r>
            <w:r>
              <w:rPr>
                <w:rFonts w:hint="eastAsia" w:ascii="宋体" w:hAnsi="宋体" w:eastAsia="宋体" w:cstheme="minorBidi"/>
                <w:iCs/>
                <w:color w:val="auto"/>
                <w:kern w:val="2"/>
                <w:sz w:val="24"/>
                <w:szCs w:val="24"/>
                <w:highlight w:val="none"/>
                <w:u w:val="single"/>
                <w:shd w:val="clear" w:color="auto" w:fill="FFFFFF" w:themeFill="background1"/>
                <w:lang w:val="hr-HR" w:eastAsia="zh-CN" w:bidi="ar-SA"/>
              </w:rPr>
              <w:t>分</w:t>
            </w:r>
            <w:r>
              <w:rPr>
                <w:rFonts w:hint="eastAsia" w:ascii="宋体" w:hAnsi="宋体" w:eastAsia="宋体" w:cstheme="minorBidi"/>
                <w:iCs/>
                <w:color w:val="auto"/>
                <w:kern w:val="2"/>
                <w:sz w:val="24"/>
                <w:szCs w:val="24"/>
                <w:highlight w:val="none"/>
                <w:shd w:val="clear" w:color="auto" w:fill="FFFFFF" w:themeFill="background1"/>
                <w:lang w:val="hr-HR" w:eastAsia="zh-CN" w:bidi="ar-SA"/>
              </w:rPr>
              <w:t>（北京时间）前递交投标文件。</w:t>
            </w:r>
          </w:p>
        </w:tc>
      </w:tr>
    </w:tbl>
    <w:p w14:paraId="4072DEF0">
      <w:pPr>
        <w:pStyle w:val="3"/>
        <w:keepNext/>
        <w:keepLines/>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420" w:leftChars="0" w:hanging="420" w:firstLineChars="0"/>
        <w:textAlignment w:val="auto"/>
        <w:rPr>
          <w:rFonts w:hint="eastAsia" w:ascii="宋体" w:hAnsi="宋体" w:eastAsia="宋体" w:cs="宋体"/>
          <w:b/>
          <w:bCs/>
          <w:color w:val="auto"/>
          <w:kern w:val="2"/>
          <w:sz w:val="24"/>
          <w:szCs w:val="24"/>
          <w:highlight w:val="none"/>
          <w:lang w:val="hr-HR" w:eastAsia="zh-CN" w:bidi="ar-SA"/>
        </w:rPr>
      </w:pPr>
      <w:bookmarkStart w:id="19" w:name="_Toc6854"/>
      <w:bookmarkStart w:id="20" w:name="_Toc21391"/>
      <w:bookmarkStart w:id="21" w:name="_Toc25986"/>
      <w:bookmarkStart w:id="22" w:name="_Toc4038"/>
      <w:r>
        <w:rPr>
          <w:rFonts w:hint="eastAsia" w:ascii="宋体" w:hAnsi="宋体" w:eastAsia="宋体" w:cs="宋体"/>
          <w:b/>
          <w:bCs/>
          <w:color w:val="auto"/>
          <w:kern w:val="2"/>
          <w:sz w:val="24"/>
          <w:szCs w:val="24"/>
          <w:highlight w:val="none"/>
          <w:lang w:val="hr-HR" w:eastAsia="zh-CN" w:bidi="ar-SA"/>
        </w:rPr>
        <w:t>一、项目基本情况</w:t>
      </w:r>
      <w:bookmarkEnd w:id="9"/>
      <w:bookmarkEnd w:id="10"/>
      <w:bookmarkEnd w:id="11"/>
      <w:bookmarkEnd w:id="12"/>
      <w:bookmarkEnd w:id="13"/>
      <w:bookmarkEnd w:id="14"/>
      <w:bookmarkEnd w:id="15"/>
      <w:bookmarkEnd w:id="16"/>
      <w:bookmarkEnd w:id="17"/>
      <w:bookmarkEnd w:id="18"/>
      <w:bookmarkEnd w:id="19"/>
      <w:bookmarkEnd w:id="20"/>
      <w:bookmarkEnd w:id="21"/>
      <w:bookmarkEnd w:id="22"/>
    </w:p>
    <w:p w14:paraId="590E39A6">
      <w:pPr>
        <w:pStyle w:val="37"/>
        <w:spacing w:line="360" w:lineRule="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hr-HR"/>
        </w:rPr>
        <w:t>1.项目编号</w:t>
      </w:r>
      <w:r>
        <w:rPr>
          <w:rFonts w:hint="eastAsia"/>
          <w:color w:val="auto"/>
          <w:sz w:val="24"/>
          <w:highlight w:val="none"/>
          <w:lang w:val="en-US" w:eastAsia="zh-CN"/>
        </w:rPr>
        <w:t>/包号</w:t>
      </w:r>
      <w:r>
        <w:rPr>
          <w:rFonts w:hint="eastAsia" w:ascii="宋体" w:hAnsi="宋体" w:eastAsia="宋体" w:cs="宋体"/>
          <w:color w:val="auto"/>
          <w:sz w:val="24"/>
          <w:szCs w:val="24"/>
          <w:highlight w:val="none"/>
          <w:lang w:val="hr-HR"/>
        </w:rPr>
        <w:t>：</w:t>
      </w:r>
      <w:r>
        <w:rPr>
          <w:rFonts w:hint="eastAsia" w:cs="宋体"/>
          <w:color w:val="auto"/>
          <w:sz w:val="24"/>
          <w:szCs w:val="24"/>
          <w:highlight w:val="none"/>
          <w:u w:val="single"/>
          <w:lang w:val="en-US" w:eastAsia="zh-CN"/>
        </w:rPr>
        <w:t>XSH-2026-4-28</w:t>
      </w:r>
    </w:p>
    <w:p w14:paraId="544AA4B7">
      <w:pPr>
        <w:pStyle w:val="37"/>
        <w:spacing w:line="360" w:lineRule="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val="hr-HR"/>
        </w:rPr>
        <w:t>.项目名称：</w:t>
      </w:r>
      <w:r>
        <w:rPr>
          <w:rFonts w:hint="eastAsia" w:ascii="宋体" w:hAnsi="宋体" w:eastAsia="宋体" w:cs="宋体"/>
          <w:color w:val="auto"/>
          <w:sz w:val="24"/>
          <w:szCs w:val="24"/>
          <w:highlight w:val="none"/>
          <w:u w:val="single"/>
        </w:rPr>
        <w:t>伊犁州妇幼保健院安保洗涤外包服务采购项目</w:t>
      </w:r>
      <w:r>
        <w:rPr>
          <w:rFonts w:hint="eastAsia" w:cs="宋体"/>
          <w:color w:val="auto"/>
          <w:sz w:val="24"/>
          <w:szCs w:val="24"/>
          <w:highlight w:val="none"/>
          <w:u w:val="single"/>
          <w:lang w:eastAsia="zh-CN"/>
        </w:rPr>
        <w:t>（</w:t>
      </w:r>
      <w:r>
        <w:rPr>
          <w:rFonts w:hint="eastAsia" w:cs="宋体"/>
          <w:color w:val="auto"/>
          <w:sz w:val="24"/>
          <w:szCs w:val="24"/>
          <w:highlight w:val="none"/>
          <w:u w:val="single"/>
          <w:lang w:val="en-US" w:eastAsia="zh-CN"/>
        </w:rPr>
        <w:t>二标段</w:t>
      </w:r>
      <w:r>
        <w:rPr>
          <w:rFonts w:hint="eastAsia" w:cs="宋体"/>
          <w:color w:val="auto"/>
          <w:sz w:val="24"/>
          <w:szCs w:val="24"/>
          <w:highlight w:val="none"/>
          <w:u w:val="single"/>
          <w:lang w:eastAsia="zh-CN"/>
        </w:rPr>
        <w:t>）</w:t>
      </w:r>
      <w:r>
        <w:rPr>
          <w:rFonts w:hint="eastAsia" w:cs="宋体"/>
          <w:color w:val="auto"/>
          <w:sz w:val="24"/>
          <w:szCs w:val="24"/>
          <w:highlight w:val="none"/>
          <w:u w:val="single"/>
          <w:lang w:val="en-US" w:eastAsia="zh-CN"/>
        </w:rPr>
        <w:t>二次</w:t>
      </w:r>
    </w:p>
    <w:p w14:paraId="3CE35A7E">
      <w:pPr>
        <w:pStyle w:val="37"/>
        <w:spacing w:line="360" w:lineRule="auto"/>
        <w:rPr>
          <w:rFonts w:hint="eastAsia" w:ascii="宋体" w:hAnsi="宋体" w:eastAsia="宋体" w:cs="宋体"/>
          <w:color w:val="auto"/>
          <w:sz w:val="24"/>
          <w:szCs w:val="24"/>
          <w:highlight w:val="none"/>
          <w:lang w:val="hr-HR"/>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.采购方式：公开招标</w:t>
      </w:r>
    </w:p>
    <w:p w14:paraId="78A90596">
      <w:pPr>
        <w:pStyle w:val="37"/>
        <w:spacing w:line="360" w:lineRule="auto"/>
        <w:rPr>
          <w:rFonts w:hint="default"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val="hr-HR"/>
        </w:rPr>
        <w:t>.</w:t>
      </w:r>
      <w:r>
        <w:rPr>
          <w:rFonts w:hint="eastAsia" w:ascii="宋体" w:hAnsi="宋体" w:eastAsia="宋体" w:cs="宋体"/>
          <w:color w:val="auto"/>
          <w:sz w:val="24"/>
          <w:szCs w:val="24"/>
          <w:highlight w:val="none"/>
          <w:lang w:val="en-US" w:eastAsia="zh-CN"/>
        </w:rPr>
        <w:t>项目</w:t>
      </w:r>
      <w:r>
        <w:rPr>
          <w:rFonts w:hint="eastAsia" w:ascii="宋体" w:hAnsi="宋体" w:eastAsia="宋体" w:cs="宋体"/>
          <w:color w:val="auto"/>
          <w:sz w:val="24"/>
          <w:szCs w:val="24"/>
          <w:highlight w:val="none"/>
          <w:lang w:val="hr-HR"/>
        </w:rPr>
        <w:t>预算金额：</w:t>
      </w:r>
      <w:r>
        <w:rPr>
          <w:rFonts w:hint="eastAsia" w:cs="宋体"/>
          <w:color w:val="auto"/>
          <w:sz w:val="24"/>
          <w:szCs w:val="24"/>
          <w:highlight w:val="none"/>
          <w:u w:val="single"/>
          <w:lang w:val="en-US" w:eastAsia="zh-CN"/>
        </w:rPr>
        <w:t>1800000</w:t>
      </w:r>
    </w:p>
    <w:p w14:paraId="7851BE2C">
      <w:pPr>
        <w:pStyle w:val="37"/>
        <w:spacing w:line="360" w:lineRule="auto"/>
        <w:rPr>
          <w:rFonts w:hint="eastAsia" w:ascii="宋体" w:hAnsi="宋体" w:eastAsia="宋体" w:cs="宋体"/>
          <w:color w:val="auto"/>
          <w:sz w:val="24"/>
          <w:szCs w:val="24"/>
          <w:highlight w:val="none"/>
          <w:lang w:val="hr-HR"/>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val="hr-HR"/>
        </w:rPr>
        <w:t>.</w:t>
      </w:r>
      <w:r>
        <w:rPr>
          <w:rFonts w:hint="eastAsia" w:ascii="宋体" w:hAnsi="宋体" w:eastAsia="宋体" w:cs="宋体"/>
          <w:color w:val="auto"/>
          <w:sz w:val="24"/>
          <w:szCs w:val="24"/>
          <w:highlight w:val="none"/>
        </w:rPr>
        <w:t>最高限价</w:t>
      </w:r>
      <w:r>
        <w:rPr>
          <w:rFonts w:hint="eastAsia" w:ascii="宋体" w:hAnsi="宋体" w:eastAsia="宋体" w:cs="宋体"/>
          <w:color w:val="auto"/>
          <w:sz w:val="24"/>
          <w:szCs w:val="24"/>
          <w:highlight w:val="none"/>
          <w:lang w:val="hr-HR"/>
        </w:rPr>
        <w:t>：</w:t>
      </w:r>
      <w:r>
        <w:rPr>
          <w:rFonts w:hint="eastAsia" w:cs="宋体"/>
          <w:color w:val="auto"/>
          <w:sz w:val="24"/>
          <w:szCs w:val="24"/>
          <w:highlight w:val="none"/>
          <w:u w:val="single"/>
          <w:lang w:val="en-US" w:eastAsia="zh-CN"/>
        </w:rPr>
        <w:t>1800000</w:t>
      </w:r>
    </w:p>
    <w:p w14:paraId="242750DC">
      <w:pPr>
        <w:pStyle w:val="37"/>
        <w:spacing w:line="360" w:lineRule="auto"/>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lang w:val="hr-HR"/>
        </w:rPr>
        <w:t>.采购需求：</w:t>
      </w:r>
      <w:r>
        <w:rPr>
          <w:rFonts w:hint="eastAsia" w:ascii="宋体" w:hAnsi="宋体" w:eastAsia="宋体" w:cs="宋体"/>
          <w:color w:val="auto"/>
          <w:sz w:val="24"/>
          <w:szCs w:val="24"/>
          <w:highlight w:val="none"/>
          <w:u w:val="single"/>
        </w:rPr>
        <w:t>采购伊犁州妇幼保健院安保、洗涤外包服务</w:t>
      </w:r>
      <w:r>
        <w:rPr>
          <w:rFonts w:hint="eastAsia" w:cs="宋体"/>
          <w:color w:val="auto"/>
          <w:sz w:val="24"/>
          <w:szCs w:val="24"/>
          <w:highlight w:val="none"/>
          <w:u w:val="none"/>
          <w:lang w:eastAsia="zh-CN"/>
        </w:rPr>
        <w:t>。</w:t>
      </w:r>
    </w:p>
    <w:p w14:paraId="163FF6AE">
      <w:pPr>
        <w:pStyle w:val="37"/>
        <w:keepNext w:val="0"/>
        <w:keepLines w:val="0"/>
        <w:pageBreakBefore w:val="0"/>
        <w:widowControl w:val="0"/>
        <w:kinsoku/>
        <w:wordWrap w:val="0"/>
        <w:overflowPunct/>
        <w:topLinePunct w:val="0"/>
        <w:autoSpaceDE/>
        <w:autoSpaceDN/>
        <w:bidi w:val="0"/>
        <w:adjustRightInd/>
        <w:snapToGrid/>
        <w:spacing w:line="360" w:lineRule="auto"/>
        <w:ind w:firstLine="482"/>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标项名称:伊犁州妇幼保健院安保洗涤外包服务采购项目（</w:t>
      </w:r>
      <w:r>
        <w:rPr>
          <w:rFonts w:hint="eastAsia" w:cs="宋体"/>
          <w:color w:val="auto"/>
          <w:sz w:val="24"/>
          <w:szCs w:val="24"/>
          <w:highlight w:val="none"/>
          <w:lang w:val="en-US" w:eastAsia="zh-CN"/>
        </w:rPr>
        <w:t>二标段</w:t>
      </w:r>
      <w:r>
        <w:rPr>
          <w:rFonts w:hint="eastAsia" w:ascii="宋体" w:hAnsi="宋体" w:eastAsia="宋体" w:cs="宋体"/>
          <w:color w:val="auto"/>
          <w:sz w:val="24"/>
          <w:szCs w:val="24"/>
          <w:highlight w:val="none"/>
          <w:lang w:val="en-US" w:eastAsia="zh-CN"/>
        </w:rPr>
        <w:t>）</w:t>
      </w:r>
      <w:r>
        <w:rPr>
          <w:rFonts w:hint="eastAsia" w:cs="宋体"/>
          <w:color w:val="auto"/>
          <w:sz w:val="24"/>
          <w:szCs w:val="24"/>
          <w:highlight w:val="none"/>
          <w:lang w:val="en-US" w:eastAsia="zh-CN"/>
        </w:rPr>
        <w:t>二次</w:t>
      </w:r>
      <w:r>
        <w:rPr>
          <w:rFonts w:hint="eastAsia" w:ascii="宋体" w:hAnsi="宋体" w:eastAsia="宋体" w:cs="宋体"/>
          <w:color w:val="auto"/>
          <w:sz w:val="24"/>
          <w:szCs w:val="24"/>
          <w:highlight w:val="none"/>
          <w:lang w:val="en-US" w:eastAsia="zh-CN"/>
        </w:rPr>
        <w:br w:type="textWrapping"/>
      </w:r>
      <w:r>
        <w:rPr>
          <w:rFonts w:hint="eastAsia" w:ascii="宋体" w:hAnsi="宋体" w:eastAsia="宋体" w:cs="宋体"/>
          <w:color w:val="auto"/>
          <w:sz w:val="24"/>
          <w:szCs w:val="24"/>
          <w:highlight w:val="none"/>
          <w:lang w:val="en-US" w:eastAsia="zh-CN"/>
        </w:rPr>
        <w:t xml:space="preserve">  </w:t>
      </w:r>
      <w:r>
        <w:rPr>
          <w:rFonts w:hint="eastAsia"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en-US" w:eastAsia="zh-CN"/>
        </w:rPr>
        <w:t>数量:</w:t>
      </w:r>
      <w:r>
        <w:rPr>
          <w:rFonts w:hint="eastAsia"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br w:type="textWrapping"/>
      </w:r>
      <w:r>
        <w:rPr>
          <w:rFonts w:hint="eastAsia" w:ascii="宋体" w:hAnsi="宋体" w:eastAsia="宋体" w:cs="宋体"/>
          <w:color w:val="auto"/>
          <w:sz w:val="24"/>
          <w:szCs w:val="24"/>
          <w:highlight w:val="none"/>
          <w:lang w:val="en-US" w:eastAsia="zh-CN"/>
        </w:rPr>
        <w:t xml:space="preserve">  </w:t>
      </w:r>
      <w:r>
        <w:rPr>
          <w:rFonts w:hint="eastAsia"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en-US" w:eastAsia="zh-CN"/>
        </w:rPr>
        <w:t>预算金额（元）:</w:t>
      </w:r>
      <w:r>
        <w:rPr>
          <w:rFonts w:hint="eastAsia" w:cs="宋体"/>
          <w:color w:val="auto"/>
          <w:sz w:val="24"/>
          <w:szCs w:val="24"/>
          <w:highlight w:val="none"/>
          <w:lang w:val="en-US" w:eastAsia="zh-CN"/>
        </w:rPr>
        <w:t>1800000</w:t>
      </w:r>
      <w:r>
        <w:rPr>
          <w:rFonts w:hint="eastAsia" w:ascii="宋体" w:hAnsi="宋体" w:eastAsia="宋体" w:cs="宋体"/>
          <w:color w:val="auto"/>
          <w:sz w:val="24"/>
          <w:szCs w:val="24"/>
          <w:highlight w:val="none"/>
          <w:lang w:val="en-US" w:eastAsia="zh-CN"/>
        </w:rPr>
        <w:br w:type="textWrapping"/>
      </w:r>
      <w:r>
        <w:rPr>
          <w:rFonts w:hint="eastAsia" w:ascii="宋体" w:hAnsi="宋体" w:eastAsia="宋体" w:cs="宋体"/>
          <w:color w:val="auto"/>
          <w:sz w:val="24"/>
          <w:szCs w:val="24"/>
          <w:highlight w:val="none"/>
          <w:lang w:val="en-US" w:eastAsia="zh-CN"/>
        </w:rPr>
        <w:t xml:space="preserve">  </w:t>
      </w:r>
      <w:r>
        <w:rPr>
          <w:rFonts w:hint="eastAsia"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en-US" w:eastAsia="zh-CN"/>
        </w:rPr>
        <w:t>单位：年 </w:t>
      </w:r>
      <w:r>
        <w:rPr>
          <w:rFonts w:hint="eastAsia" w:ascii="宋体" w:hAnsi="宋体" w:eastAsia="宋体" w:cs="宋体"/>
          <w:color w:val="auto"/>
          <w:sz w:val="24"/>
          <w:szCs w:val="24"/>
          <w:highlight w:val="none"/>
          <w:lang w:val="en-US" w:eastAsia="zh-CN"/>
        </w:rPr>
        <w:br w:type="textWrapping"/>
      </w:r>
      <w:r>
        <w:rPr>
          <w:rFonts w:hint="eastAsia" w:ascii="宋体" w:hAnsi="宋体" w:eastAsia="宋体" w:cs="宋体"/>
          <w:color w:val="auto"/>
          <w:sz w:val="24"/>
          <w:szCs w:val="24"/>
          <w:highlight w:val="none"/>
          <w:lang w:val="en-US" w:eastAsia="zh-CN"/>
        </w:rPr>
        <w:t xml:space="preserve">  </w:t>
      </w:r>
      <w:r>
        <w:rPr>
          <w:rFonts w:hint="eastAsia"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en-US" w:eastAsia="zh-CN"/>
        </w:rPr>
        <w:t>简要规格描述或项目基本概况介绍、用途：</w:t>
      </w:r>
      <w:r>
        <w:rPr>
          <w:rFonts w:hint="eastAsia" w:cs="宋体"/>
          <w:color w:val="auto"/>
          <w:sz w:val="24"/>
          <w:szCs w:val="24"/>
          <w:highlight w:val="none"/>
          <w:lang w:val="en-US" w:eastAsia="zh-CN"/>
        </w:rPr>
        <w:t>采购</w:t>
      </w:r>
      <w:r>
        <w:rPr>
          <w:rFonts w:hint="eastAsia" w:ascii="宋体" w:hAnsi="宋体" w:eastAsia="宋体" w:cs="宋体"/>
          <w:color w:val="auto"/>
          <w:sz w:val="24"/>
          <w:szCs w:val="24"/>
          <w:highlight w:val="none"/>
          <w:lang w:val="en-US" w:eastAsia="zh-CN"/>
        </w:rPr>
        <w:t>洗涤外包服务</w:t>
      </w:r>
      <w:r>
        <w:rPr>
          <w:rFonts w:hint="eastAsia" w:cs="宋体"/>
          <w:color w:val="auto"/>
          <w:sz w:val="24"/>
          <w:szCs w:val="24"/>
          <w:highlight w:val="none"/>
          <w:lang w:val="en-US" w:eastAsia="zh-CN"/>
        </w:rPr>
        <w:t>2年</w:t>
      </w:r>
      <w:r>
        <w:rPr>
          <w:rFonts w:hint="eastAsia" w:ascii="宋体" w:hAnsi="宋体" w:eastAsia="宋体" w:cs="宋体"/>
          <w:color w:val="auto"/>
          <w:sz w:val="24"/>
          <w:szCs w:val="24"/>
          <w:highlight w:val="none"/>
          <w:lang w:val="en-US" w:eastAsia="zh-CN"/>
        </w:rPr>
        <w:t>，具体服务内容详见</w:t>
      </w:r>
      <w:r>
        <w:rPr>
          <w:rFonts w:hint="eastAsia" w:cs="宋体"/>
          <w:color w:val="auto"/>
          <w:sz w:val="24"/>
          <w:szCs w:val="24"/>
          <w:highlight w:val="none"/>
          <w:lang w:val="en-US" w:eastAsia="zh-CN"/>
        </w:rPr>
        <w:t>招标</w:t>
      </w:r>
      <w:r>
        <w:rPr>
          <w:rFonts w:hint="eastAsia" w:ascii="宋体" w:hAnsi="宋体" w:eastAsia="宋体" w:cs="宋体"/>
          <w:color w:val="auto"/>
          <w:sz w:val="24"/>
          <w:szCs w:val="24"/>
          <w:highlight w:val="none"/>
          <w:lang w:val="en-US" w:eastAsia="zh-CN"/>
        </w:rPr>
        <w:t>文件。</w:t>
      </w:r>
      <w:r>
        <w:rPr>
          <w:rFonts w:hint="eastAsia" w:ascii="宋体" w:hAnsi="宋体" w:eastAsia="宋体" w:cs="宋体"/>
          <w:color w:val="auto"/>
          <w:sz w:val="24"/>
          <w:szCs w:val="24"/>
          <w:highlight w:val="none"/>
          <w:lang w:val="en-US" w:eastAsia="zh-CN"/>
        </w:rPr>
        <w:br w:type="textWrapping"/>
      </w:r>
      <w:r>
        <w:rPr>
          <w:rFonts w:hint="eastAsia" w:ascii="宋体" w:hAnsi="宋体" w:eastAsia="宋体" w:cs="宋体"/>
          <w:color w:val="auto"/>
          <w:sz w:val="24"/>
          <w:szCs w:val="24"/>
          <w:highlight w:val="none"/>
          <w:lang w:val="en-US" w:eastAsia="zh-CN"/>
        </w:rPr>
        <w:t xml:space="preserve">  </w:t>
      </w:r>
      <w:r>
        <w:rPr>
          <w:rFonts w:hint="eastAsia"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en-US" w:eastAsia="zh-CN"/>
        </w:rPr>
        <w:t>备注：</w:t>
      </w:r>
    </w:p>
    <w:p w14:paraId="56FBF6DA">
      <w:pPr>
        <w:pStyle w:val="37"/>
        <w:keepNext w:val="0"/>
        <w:keepLines w:val="0"/>
        <w:pageBreakBefore w:val="0"/>
        <w:widowControl w:val="0"/>
        <w:kinsoku/>
        <w:wordWrap w:val="0"/>
        <w:overflowPunct/>
        <w:topLinePunct w:val="0"/>
        <w:autoSpaceDE/>
        <w:autoSpaceDN/>
        <w:bidi w:val="0"/>
        <w:adjustRightInd/>
        <w:snapToGrid/>
        <w:spacing w:line="360" w:lineRule="auto"/>
        <w:ind w:firstLine="482"/>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.合同</w:t>
      </w:r>
      <w:r>
        <w:rPr>
          <w:rFonts w:hint="eastAsia" w:ascii="宋体" w:hAnsi="宋体" w:eastAsia="宋体" w:cs="宋体"/>
          <w:color w:val="auto"/>
          <w:sz w:val="24"/>
          <w:szCs w:val="24"/>
          <w:highlight w:val="none"/>
          <w:lang w:val="en-US" w:eastAsia="zh-CN"/>
        </w:rPr>
        <w:t>服务</w:t>
      </w:r>
      <w:r>
        <w:rPr>
          <w:rFonts w:hint="eastAsia" w:ascii="宋体" w:hAnsi="宋体" w:eastAsia="宋体" w:cs="宋体"/>
          <w:color w:val="auto"/>
          <w:sz w:val="24"/>
          <w:szCs w:val="24"/>
          <w:highlight w:val="none"/>
        </w:rPr>
        <w:t>履行期限：</w:t>
      </w:r>
      <w:r>
        <w:rPr>
          <w:rFonts w:hint="eastAsia" w:ascii="宋体" w:hAnsi="宋体" w:eastAsia="宋体" w:cs="宋体"/>
          <w:color w:val="auto"/>
          <w:sz w:val="24"/>
          <w:szCs w:val="24"/>
          <w:highlight w:val="none"/>
          <w:u w:val="single"/>
        </w:rPr>
        <w:t xml:space="preserve"> </w:t>
      </w:r>
      <w:r>
        <w:rPr>
          <w:rFonts w:hint="eastAsia" w:cs="宋体"/>
          <w:color w:val="auto"/>
          <w:sz w:val="24"/>
          <w:szCs w:val="24"/>
          <w:highlight w:val="none"/>
          <w:u w:val="single"/>
          <w:lang w:val="en-US" w:eastAsia="zh-CN"/>
        </w:rPr>
        <w:t>2年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hr-HR"/>
        </w:rPr>
        <w:t xml:space="preserve"> </w:t>
      </w:r>
    </w:p>
    <w:p w14:paraId="4B098642">
      <w:pPr>
        <w:pStyle w:val="37"/>
        <w:spacing w:line="360" w:lineRule="auto"/>
        <w:rPr>
          <w:rFonts w:hint="eastAsia" w:ascii="宋体" w:hAnsi="宋体" w:eastAsia="宋体" w:cs="宋体"/>
          <w:color w:val="auto"/>
          <w:sz w:val="24"/>
          <w:szCs w:val="24"/>
          <w:highlight w:val="none"/>
          <w:lang w:val="en-US" w:eastAsia="zh-CN"/>
        </w:rPr>
      </w:pPr>
      <w:bookmarkStart w:id="23" w:name="_Toc28359090"/>
      <w:bookmarkStart w:id="24" w:name="_Toc35393630"/>
      <w:bookmarkStart w:id="25" w:name="_Toc44583629"/>
      <w:bookmarkStart w:id="26" w:name="_Toc35393799"/>
      <w:bookmarkStart w:id="27" w:name="_Toc28359013"/>
      <w:r>
        <w:rPr>
          <w:rFonts w:hint="eastAsia" w:ascii="宋体" w:hAnsi="宋体" w:eastAsia="宋体" w:cs="宋体"/>
          <w:color w:val="auto"/>
          <w:sz w:val="24"/>
          <w:szCs w:val="24"/>
          <w:highlight w:val="none"/>
          <w:lang w:val="en-US" w:eastAsia="zh-CN"/>
        </w:rPr>
        <w:t>8.</w:t>
      </w:r>
      <w:bookmarkStart w:id="28" w:name="_Hlk162011358"/>
      <w:r>
        <w:rPr>
          <w:rFonts w:hint="eastAsia" w:ascii="宋体" w:hAnsi="宋体" w:eastAsia="宋体" w:cs="宋体"/>
          <w:color w:val="auto"/>
          <w:sz w:val="24"/>
          <w:szCs w:val="24"/>
          <w:highlight w:val="none"/>
          <w:lang w:val="en-US" w:eastAsia="zh-CN"/>
        </w:rPr>
        <w:t>本项目是否接受联合体投标：□是</w:t>
      </w:r>
      <w:bookmarkEnd w:id="28"/>
      <w:r>
        <w:rPr>
          <w:rFonts w:hint="eastAsia" w:ascii="宋体" w:hAnsi="宋体" w:eastAsia="宋体" w:cs="宋体"/>
          <w:color w:val="auto"/>
          <w:sz w:val="24"/>
          <w:szCs w:val="24"/>
          <w:highlight w:val="none"/>
          <w:lang w:val="en-US" w:eastAsia="zh-CN"/>
        </w:rPr>
        <w:t xml:space="preserve">   </w:t>
      </w:r>
      <w:r>
        <w:rPr>
          <w:rFonts w:hint="eastAsia"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否</w:t>
      </w:r>
    </w:p>
    <w:p w14:paraId="1EEB1622">
      <w:pPr>
        <w:pStyle w:val="3"/>
        <w:keepNext/>
        <w:keepLines/>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420" w:leftChars="0" w:hanging="420" w:firstLineChars="0"/>
        <w:textAlignment w:val="auto"/>
        <w:rPr>
          <w:rFonts w:hint="eastAsia" w:ascii="宋体" w:hAnsi="宋体" w:eastAsia="宋体" w:cs="宋体"/>
          <w:b/>
          <w:bCs/>
          <w:color w:val="auto"/>
          <w:kern w:val="2"/>
          <w:sz w:val="24"/>
          <w:szCs w:val="24"/>
          <w:highlight w:val="none"/>
          <w:lang w:val="hr-HR" w:eastAsia="zh-CN" w:bidi="ar-SA"/>
        </w:rPr>
      </w:pPr>
      <w:bookmarkStart w:id="29" w:name="_Toc17328"/>
      <w:bookmarkStart w:id="30" w:name="_Toc140132746"/>
      <w:bookmarkStart w:id="31" w:name="_Toc109900249"/>
      <w:bookmarkStart w:id="32" w:name="_Toc109899411"/>
      <w:bookmarkStart w:id="33" w:name="_Toc15695"/>
      <w:bookmarkStart w:id="34" w:name="_Toc155185861"/>
      <w:bookmarkStart w:id="35" w:name="_Toc14552"/>
      <w:bookmarkStart w:id="36" w:name="_Toc17974"/>
      <w:bookmarkStart w:id="37" w:name="_Toc109899830"/>
      <w:r>
        <w:rPr>
          <w:rFonts w:hint="eastAsia" w:ascii="宋体" w:hAnsi="宋体" w:eastAsia="宋体" w:cs="宋体"/>
          <w:b/>
          <w:bCs/>
          <w:color w:val="auto"/>
          <w:kern w:val="2"/>
          <w:sz w:val="24"/>
          <w:szCs w:val="24"/>
          <w:highlight w:val="none"/>
          <w:lang w:val="en-US" w:eastAsia="zh-CN" w:bidi="ar-SA"/>
        </w:rPr>
        <w:t>二、申请</w:t>
      </w:r>
      <w:r>
        <w:rPr>
          <w:rFonts w:hint="eastAsia" w:ascii="宋体" w:hAnsi="宋体" w:eastAsia="宋体" w:cs="宋体"/>
          <w:b/>
          <w:bCs/>
          <w:color w:val="auto"/>
          <w:kern w:val="2"/>
          <w:sz w:val="24"/>
          <w:szCs w:val="24"/>
          <w:highlight w:val="none"/>
          <w:lang w:val="hr-HR" w:eastAsia="zh-CN" w:bidi="ar-SA"/>
        </w:rPr>
        <w:t>人</w:t>
      </w:r>
      <w:r>
        <w:rPr>
          <w:rFonts w:hint="eastAsia" w:ascii="宋体" w:hAnsi="宋体" w:eastAsia="宋体" w:cs="宋体"/>
          <w:b/>
          <w:bCs/>
          <w:color w:val="auto"/>
          <w:kern w:val="2"/>
          <w:sz w:val="24"/>
          <w:szCs w:val="24"/>
          <w:highlight w:val="none"/>
          <w:lang w:val="en-US" w:eastAsia="zh-CN" w:bidi="ar-SA"/>
        </w:rPr>
        <w:t>的</w:t>
      </w:r>
      <w:r>
        <w:rPr>
          <w:rFonts w:hint="eastAsia" w:ascii="宋体" w:hAnsi="宋体" w:eastAsia="宋体" w:cs="宋体"/>
          <w:b/>
          <w:bCs/>
          <w:color w:val="auto"/>
          <w:kern w:val="2"/>
          <w:sz w:val="24"/>
          <w:szCs w:val="24"/>
          <w:highlight w:val="none"/>
          <w:lang w:val="hr-HR" w:eastAsia="zh-CN" w:bidi="ar-SA"/>
        </w:rPr>
        <w:t>资格要求</w:t>
      </w:r>
      <w:bookmarkEnd w:id="23"/>
      <w:bookmarkEnd w:id="24"/>
      <w:bookmarkEnd w:id="25"/>
      <w:bookmarkEnd w:id="26"/>
      <w:bookmarkEnd w:id="27"/>
      <w:bookmarkEnd w:id="29"/>
      <w:bookmarkEnd w:id="30"/>
      <w:bookmarkEnd w:id="31"/>
      <w:bookmarkEnd w:id="32"/>
      <w:bookmarkEnd w:id="33"/>
      <w:bookmarkEnd w:id="34"/>
      <w:bookmarkEnd w:id="35"/>
      <w:bookmarkEnd w:id="36"/>
      <w:bookmarkEnd w:id="37"/>
    </w:p>
    <w:p w14:paraId="4A6A8664">
      <w:pPr>
        <w:spacing w:line="360" w:lineRule="auto"/>
        <w:ind w:firstLine="480" w:firstLineChars="200"/>
        <w:rPr>
          <w:rFonts w:hint="eastAsia" w:ascii="宋体" w:hAnsi="宋体" w:eastAsia="宋体" w:cs="宋体"/>
          <w:color w:val="auto"/>
          <w:sz w:val="24"/>
          <w:szCs w:val="24"/>
          <w:highlight w:val="none"/>
          <w:lang w:val="en-US" w:eastAsia="zh-CN"/>
        </w:rPr>
      </w:pPr>
      <w:bookmarkStart w:id="38" w:name="_Hlk89807755"/>
      <w:bookmarkStart w:id="39" w:name="_Toc35393800"/>
      <w:bookmarkStart w:id="40" w:name="_Toc28359091"/>
      <w:bookmarkStart w:id="41" w:name="_Toc35393631"/>
      <w:bookmarkStart w:id="42" w:name="_Toc44583630"/>
      <w:bookmarkStart w:id="43" w:name="_Toc28359014"/>
      <w:r>
        <w:rPr>
          <w:rFonts w:hint="eastAsia" w:ascii="宋体" w:hAnsi="宋体" w:eastAsia="宋体" w:cs="宋体"/>
          <w:color w:val="auto"/>
          <w:sz w:val="24"/>
          <w:szCs w:val="24"/>
          <w:highlight w:val="none"/>
          <w:lang w:val="en-US" w:eastAsia="zh-CN"/>
        </w:rPr>
        <w:t>1.满足《中华人民共和国政府采购法》第二十二条规定；</w:t>
      </w:r>
    </w:p>
    <w:p w14:paraId="3632724A">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2.落实政府采购政策需满足的资格要求：</w:t>
      </w:r>
      <w:r>
        <w:rPr>
          <w:rFonts w:hint="eastAsia" w:cs="宋体"/>
          <w:color w:val="auto"/>
          <w:sz w:val="24"/>
          <w:szCs w:val="24"/>
          <w:highlight w:val="none"/>
          <w:u w:val="single"/>
          <w:lang w:val="en-US" w:eastAsia="zh-CN"/>
        </w:rPr>
        <w:t>本项目专门面向中小微企业采购。</w:t>
      </w:r>
    </w:p>
    <w:p w14:paraId="73CC0F9E">
      <w:pPr>
        <w:spacing w:line="360" w:lineRule="auto"/>
        <w:ind w:firstLine="480" w:firstLineChars="20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3.本项目的特定资格要求：</w:t>
      </w:r>
      <w:r>
        <w:rPr>
          <w:rFonts w:hint="eastAsia" w:cs="宋体"/>
          <w:color w:val="auto"/>
          <w:sz w:val="24"/>
          <w:szCs w:val="24"/>
          <w:highlight w:val="none"/>
          <w:lang w:val="en-US" w:eastAsia="zh-CN"/>
        </w:rPr>
        <w:t>无</w:t>
      </w:r>
    </w:p>
    <w:p w14:paraId="69D2AB04">
      <w:pPr>
        <w:pStyle w:val="37"/>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 其他资格要求：</w:t>
      </w:r>
    </w:p>
    <w:p w14:paraId="040E7358">
      <w:pPr>
        <w:pStyle w:val="37"/>
        <w:spacing w:line="360" w:lineRule="auto"/>
        <w:rPr>
          <w:rFonts w:hint="eastAsia" w:ascii="宋体" w:hAnsi="宋体" w:eastAsia="宋体" w:cs="宋体"/>
          <w:color w:val="auto"/>
          <w:sz w:val="24"/>
          <w:szCs w:val="24"/>
          <w:highlight w:val="none"/>
          <w:lang w:val="hr-HR" w:eastAsia="zh-CN"/>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val="hr-HR"/>
        </w:rPr>
        <w:t>法定代表人或</w:t>
      </w:r>
      <w:r>
        <w:rPr>
          <w:rFonts w:hint="eastAsia" w:ascii="宋体" w:hAnsi="宋体" w:eastAsia="宋体" w:cs="宋体"/>
          <w:color w:val="auto"/>
          <w:sz w:val="24"/>
          <w:szCs w:val="24"/>
          <w:highlight w:val="none"/>
          <w:lang w:val="en-US" w:eastAsia="zh-CN"/>
        </w:rPr>
        <w:t>单位</w:t>
      </w:r>
      <w:r>
        <w:rPr>
          <w:rFonts w:hint="eastAsia" w:ascii="宋体" w:hAnsi="宋体" w:eastAsia="宋体" w:cs="宋体"/>
          <w:color w:val="auto"/>
          <w:sz w:val="24"/>
          <w:szCs w:val="24"/>
          <w:highlight w:val="none"/>
          <w:lang w:val="hr-HR"/>
        </w:rPr>
        <w:t>负责人为同一人或者存在</w:t>
      </w:r>
      <w:r>
        <w:rPr>
          <w:rFonts w:hint="eastAsia" w:ascii="宋体" w:hAnsi="宋体" w:eastAsia="宋体" w:cs="宋体"/>
          <w:color w:val="auto"/>
          <w:sz w:val="24"/>
          <w:szCs w:val="24"/>
          <w:highlight w:val="none"/>
          <w:lang w:val="en-US" w:eastAsia="zh-CN"/>
        </w:rPr>
        <w:t>直接</w:t>
      </w:r>
      <w:r>
        <w:rPr>
          <w:rFonts w:hint="eastAsia" w:ascii="宋体" w:hAnsi="宋体" w:eastAsia="宋体" w:cs="宋体"/>
          <w:color w:val="auto"/>
          <w:sz w:val="24"/>
          <w:szCs w:val="24"/>
          <w:highlight w:val="none"/>
          <w:lang w:val="hr-HR"/>
        </w:rPr>
        <w:t>控股、管理关系的</w:t>
      </w:r>
      <w:r>
        <w:rPr>
          <w:rFonts w:hint="eastAsia" w:ascii="宋体" w:hAnsi="宋体" w:eastAsia="宋体" w:cs="宋体"/>
          <w:color w:val="auto"/>
          <w:sz w:val="24"/>
          <w:szCs w:val="24"/>
          <w:highlight w:val="none"/>
          <w:lang w:val="en-US" w:eastAsia="zh-CN"/>
        </w:rPr>
        <w:t>不同供应商</w:t>
      </w:r>
      <w:r>
        <w:rPr>
          <w:rFonts w:hint="eastAsia" w:ascii="宋体" w:hAnsi="宋体" w:eastAsia="宋体" w:cs="宋体"/>
          <w:color w:val="auto"/>
          <w:sz w:val="24"/>
          <w:szCs w:val="24"/>
          <w:highlight w:val="none"/>
          <w:lang w:val="hr-HR"/>
        </w:rPr>
        <w:t>，不得参加同一合同项下的政府采购活动。</w:t>
      </w:r>
    </w:p>
    <w:p w14:paraId="68099EEC">
      <w:pPr>
        <w:pStyle w:val="37"/>
        <w:spacing w:line="360" w:lineRule="auto"/>
        <w:rPr>
          <w:rFonts w:hint="eastAsia" w:ascii="宋体" w:hAnsi="宋体" w:eastAsia="宋体" w:cs="宋体"/>
          <w:color w:val="auto"/>
          <w:sz w:val="24"/>
          <w:szCs w:val="24"/>
          <w:highlight w:val="none"/>
          <w:lang w:val="hr-HR" w:eastAsia="zh-CN"/>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val="hr-HR"/>
        </w:rPr>
        <w:t>除单一来源采购项目外，为采购项目提供整体设计、规范编制或者项目管理、监理、检测等服务的供应商，不得再参加该采购项目的其他采购活动。</w:t>
      </w:r>
    </w:p>
    <w:p w14:paraId="1F555688">
      <w:pPr>
        <w:spacing w:line="360" w:lineRule="auto"/>
        <w:ind w:firstLine="480" w:firstLineChars="200"/>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lang w:val="hr-HR" w:eastAsia="zh-CN"/>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val="hr-HR"/>
        </w:rPr>
        <w:t>供应商的信用行为</w:t>
      </w:r>
      <w:r>
        <w:rPr>
          <w:rFonts w:hint="eastAsia" w:ascii="宋体" w:hAnsi="宋体" w:eastAsia="宋体" w:cs="宋体"/>
          <w:color w:val="auto"/>
          <w:sz w:val="24"/>
          <w:szCs w:val="24"/>
          <w:highlight w:val="none"/>
          <w:lang w:val="hr-HR" w:eastAsia="zh-CN"/>
        </w:rPr>
        <w:t>：</w:t>
      </w:r>
      <w:r>
        <w:rPr>
          <w:rFonts w:hint="eastAsia" w:ascii="宋体" w:hAnsi="宋体" w:eastAsia="宋体" w:cs="宋体"/>
          <w:color w:val="auto"/>
          <w:sz w:val="24"/>
          <w:szCs w:val="24"/>
          <w:highlight w:val="none"/>
          <w:lang w:val="hr-HR"/>
        </w:rPr>
        <w:t>在</w:t>
      </w:r>
      <w:r>
        <w:rPr>
          <w:rFonts w:hint="eastAsia" w:ascii="宋体" w:hAnsi="宋体" w:eastAsia="宋体" w:cs="宋体"/>
          <w:color w:val="auto"/>
          <w:sz w:val="24"/>
          <w:szCs w:val="24"/>
          <w:highlight w:val="none"/>
          <w:lang w:val="en-US" w:eastAsia="zh-CN"/>
        </w:rPr>
        <w:t>资格审查阶段经查询，未被列入“失信被执行人”、“重大税收违法失信主体”、“政府采购严重违法失信行为记录名单”其中之一</w:t>
      </w:r>
      <w:r>
        <w:rPr>
          <w:rFonts w:hint="eastAsia" w:ascii="宋体" w:hAnsi="宋体" w:eastAsia="宋体" w:cs="宋体"/>
          <w:color w:val="auto"/>
          <w:sz w:val="24"/>
          <w:szCs w:val="24"/>
          <w:highlight w:val="none"/>
          <w:lang w:val="hr-HR"/>
        </w:rPr>
        <w:t>。如有以上不良信用记录</w:t>
      </w:r>
      <w:r>
        <w:rPr>
          <w:rFonts w:hint="eastAsia" w:ascii="宋体" w:hAnsi="宋体" w:eastAsia="宋体" w:cs="宋体"/>
          <w:color w:val="auto"/>
          <w:sz w:val="24"/>
          <w:szCs w:val="24"/>
          <w:highlight w:val="none"/>
          <w:lang w:val="en-US" w:eastAsia="zh-CN"/>
        </w:rPr>
        <w:t>之一的，</w:t>
      </w:r>
      <w:r>
        <w:rPr>
          <w:rFonts w:hint="eastAsia" w:ascii="宋体" w:hAnsi="宋体" w:eastAsia="宋体" w:cs="宋体"/>
          <w:color w:val="auto"/>
          <w:sz w:val="24"/>
          <w:szCs w:val="24"/>
          <w:highlight w:val="none"/>
          <w:lang w:val="hr-HR"/>
        </w:rPr>
        <w:t>其</w:t>
      </w:r>
      <w:r>
        <w:rPr>
          <w:rFonts w:hint="eastAsia" w:ascii="宋体" w:hAnsi="宋体" w:eastAsia="宋体" w:cs="宋体"/>
          <w:b/>
          <w:bCs/>
          <w:color w:val="auto"/>
          <w:sz w:val="24"/>
          <w:szCs w:val="24"/>
          <w:highlight w:val="none"/>
          <w:lang w:val="hr-HR"/>
        </w:rPr>
        <w:t>投标</w:t>
      </w:r>
      <w:r>
        <w:rPr>
          <w:rFonts w:hint="eastAsia" w:ascii="宋体" w:hAnsi="宋体" w:eastAsia="宋体" w:cs="宋体"/>
          <w:b/>
          <w:bCs/>
          <w:color w:val="auto"/>
          <w:sz w:val="24"/>
          <w:szCs w:val="24"/>
          <w:highlight w:val="none"/>
          <w:lang w:val="en-US" w:eastAsia="zh-CN"/>
        </w:rPr>
        <w:t>无效</w:t>
      </w:r>
      <w:r>
        <w:rPr>
          <w:rFonts w:hint="eastAsia" w:ascii="宋体" w:hAnsi="宋体" w:eastAsia="宋体" w:cs="宋体"/>
          <w:color w:val="auto"/>
          <w:sz w:val="24"/>
          <w:szCs w:val="24"/>
          <w:highlight w:val="none"/>
          <w:lang w:val="hr-HR"/>
        </w:rPr>
        <w:t>。</w:t>
      </w:r>
      <w:r>
        <w:rPr>
          <w:rFonts w:hint="eastAsia" w:ascii="宋体" w:hAnsi="宋体" w:eastAsia="宋体" w:cs="宋体"/>
          <w:color w:val="auto"/>
          <w:sz w:val="24"/>
          <w:szCs w:val="24"/>
          <w:highlight w:val="none"/>
          <w:u w:val="none"/>
          <w:lang w:val="en-US" w:eastAsia="zh-CN"/>
        </w:rPr>
        <w:t xml:space="preserve">              </w:t>
      </w:r>
    </w:p>
    <w:bookmarkEnd w:id="38"/>
    <w:p w14:paraId="17F1ED43">
      <w:pPr>
        <w:pStyle w:val="3"/>
        <w:keepNext/>
        <w:keepLines/>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420" w:leftChars="0" w:hanging="420" w:firstLineChars="0"/>
        <w:textAlignment w:val="auto"/>
        <w:rPr>
          <w:rFonts w:hint="eastAsia" w:ascii="宋体" w:hAnsi="宋体" w:eastAsia="宋体" w:cs="宋体"/>
          <w:b/>
          <w:bCs/>
          <w:color w:val="auto"/>
          <w:kern w:val="2"/>
          <w:sz w:val="24"/>
          <w:szCs w:val="24"/>
          <w:highlight w:val="none"/>
          <w:lang w:val="hr-HR" w:eastAsia="zh-CN" w:bidi="ar-SA"/>
        </w:rPr>
      </w:pPr>
      <w:bookmarkStart w:id="44" w:name="_Toc109900250"/>
      <w:bookmarkStart w:id="45" w:name="_Toc140132747"/>
      <w:bookmarkStart w:id="46" w:name="_Toc155185862"/>
      <w:bookmarkStart w:id="47" w:name="_Toc10741"/>
      <w:bookmarkStart w:id="48" w:name="_Toc13473"/>
      <w:bookmarkStart w:id="49" w:name="_Toc24509"/>
      <w:bookmarkStart w:id="50" w:name="_Toc16687"/>
      <w:bookmarkStart w:id="51" w:name="_Toc109899412"/>
      <w:bookmarkStart w:id="52" w:name="_Toc109899831"/>
      <w:r>
        <w:rPr>
          <w:rFonts w:hint="eastAsia" w:ascii="宋体" w:hAnsi="宋体" w:eastAsia="宋体" w:cs="宋体"/>
          <w:b/>
          <w:bCs/>
          <w:color w:val="auto"/>
          <w:kern w:val="2"/>
          <w:sz w:val="24"/>
          <w:szCs w:val="24"/>
          <w:highlight w:val="none"/>
          <w:lang w:val="en-US" w:eastAsia="zh-CN" w:bidi="ar-SA"/>
        </w:rPr>
        <w:t>三、</w:t>
      </w:r>
      <w:r>
        <w:rPr>
          <w:rFonts w:hint="eastAsia" w:ascii="宋体" w:hAnsi="宋体" w:eastAsia="宋体" w:cs="宋体"/>
          <w:b/>
          <w:bCs/>
          <w:color w:val="auto"/>
          <w:kern w:val="2"/>
          <w:sz w:val="24"/>
          <w:szCs w:val="24"/>
          <w:highlight w:val="none"/>
          <w:lang w:val="hr-HR" w:eastAsia="zh-CN" w:bidi="ar-SA"/>
        </w:rPr>
        <w:t>获取招标文件</w:t>
      </w:r>
      <w:bookmarkEnd w:id="39"/>
      <w:bookmarkEnd w:id="40"/>
      <w:bookmarkEnd w:id="41"/>
      <w:bookmarkEnd w:id="42"/>
      <w:bookmarkEnd w:id="43"/>
      <w:bookmarkEnd w:id="44"/>
      <w:bookmarkEnd w:id="45"/>
      <w:bookmarkEnd w:id="46"/>
      <w:bookmarkEnd w:id="47"/>
      <w:bookmarkEnd w:id="48"/>
      <w:bookmarkEnd w:id="49"/>
      <w:bookmarkEnd w:id="50"/>
      <w:bookmarkEnd w:id="51"/>
      <w:bookmarkEnd w:id="52"/>
      <w:r>
        <w:rPr>
          <w:rFonts w:hint="eastAsia" w:ascii="宋体" w:hAnsi="宋体" w:eastAsia="宋体" w:cs="宋体"/>
          <w:b/>
          <w:bCs/>
          <w:color w:val="auto"/>
          <w:kern w:val="2"/>
          <w:sz w:val="24"/>
          <w:szCs w:val="24"/>
          <w:highlight w:val="none"/>
          <w:lang w:val="hr-HR" w:eastAsia="zh-CN" w:bidi="ar-SA"/>
        </w:rPr>
        <w:t xml:space="preserve"> </w:t>
      </w:r>
    </w:p>
    <w:p w14:paraId="7F0135DE">
      <w:pPr>
        <w:pStyle w:val="37"/>
        <w:spacing w:line="360" w:lineRule="auto"/>
        <w:rPr>
          <w:rFonts w:hint="eastAsia" w:ascii="宋体" w:hAnsi="宋体" w:eastAsia="宋体" w:cs="宋体"/>
          <w:color w:val="auto"/>
          <w:sz w:val="24"/>
          <w:szCs w:val="24"/>
          <w:highlight w:val="none"/>
          <w:lang w:val="hr-HR"/>
        </w:rPr>
      </w:pPr>
      <w:bookmarkStart w:id="53" w:name="_Hlk130457234"/>
      <w:bookmarkStart w:id="54" w:name="_Toc28359015"/>
      <w:bookmarkStart w:id="55" w:name="_Hlk130457261"/>
      <w:bookmarkStart w:id="56" w:name="_Toc35393801"/>
      <w:bookmarkStart w:id="57" w:name="_Hlk130457327"/>
      <w:bookmarkStart w:id="58" w:name="_Toc28359092"/>
      <w:bookmarkStart w:id="59" w:name="_Toc35393632"/>
      <w:r>
        <w:rPr>
          <w:rFonts w:hint="eastAsia" w:ascii="宋体" w:hAnsi="宋体" w:eastAsia="宋体" w:cs="宋体"/>
          <w:color w:val="auto"/>
          <w:sz w:val="24"/>
          <w:szCs w:val="24"/>
          <w:highlight w:val="none"/>
          <w:lang w:val="hr-HR"/>
        </w:rPr>
        <w:t>1.时间：</w:t>
      </w:r>
      <w:r>
        <w:rPr>
          <w:rFonts w:hint="eastAsia" w:ascii="宋体" w:hAnsi="宋体" w:eastAsia="宋体" w:cs="宋体"/>
          <w:color w:val="auto"/>
          <w:sz w:val="24"/>
          <w:szCs w:val="24"/>
          <w:highlight w:val="none"/>
          <w:u w:val="single"/>
        </w:rPr>
        <w:t xml:space="preserve"> </w:t>
      </w:r>
      <w:r>
        <w:rPr>
          <w:rFonts w:hint="eastAsia" w:cs="宋体"/>
          <w:color w:val="auto"/>
          <w:sz w:val="24"/>
          <w:szCs w:val="24"/>
          <w:highlight w:val="none"/>
          <w:u w:val="single"/>
          <w:lang w:val="en-US" w:eastAsia="zh-CN"/>
        </w:rPr>
        <w:t>2026</w:t>
      </w:r>
      <w:r>
        <w:rPr>
          <w:rFonts w:hint="eastAsia" w:ascii="宋体" w:hAnsi="宋体" w:eastAsia="宋体" w:cs="宋体"/>
          <w:color w:val="auto"/>
          <w:sz w:val="24"/>
          <w:szCs w:val="24"/>
          <w:highlight w:val="none"/>
          <w:u w:val="single"/>
        </w:rPr>
        <w:t>年</w:t>
      </w:r>
      <w:r>
        <w:rPr>
          <w:rFonts w:hint="eastAsia" w:cs="宋体"/>
          <w:color w:val="auto"/>
          <w:sz w:val="24"/>
          <w:szCs w:val="24"/>
          <w:highlight w:val="none"/>
          <w:u w:val="single"/>
          <w:lang w:val="en-US" w:eastAsia="zh-CN"/>
        </w:rPr>
        <w:t>04</w:t>
      </w:r>
      <w:r>
        <w:rPr>
          <w:rFonts w:hint="eastAsia" w:ascii="宋体" w:hAnsi="宋体" w:eastAsia="宋体" w:cs="宋体"/>
          <w:color w:val="auto"/>
          <w:sz w:val="24"/>
          <w:szCs w:val="24"/>
          <w:highlight w:val="none"/>
          <w:u w:val="single"/>
        </w:rPr>
        <w:t>月</w:t>
      </w:r>
      <w:r>
        <w:rPr>
          <w:rFonts w:hint="eastAsia" w:cs="宋体"/>
          <w:color w:val="auto"/>
          <w:sz w:val="24"/>
          <w:szCs w:val="24"/>
          <w:highlight w:val="none"/>
          <w:u w:val="single"/>
          <w:lang w:val="en-US" w:eastAsia="zh-CN"/>
        </w:rPr>
        <w:t>28</w:t>
      </w:r>
      <w:r>
        <w:rPr>
          <w:rFonts w:hint="eastAsia" w:ascii="宋体" w:hAnsi="宋体" w:eastAsia="宋体" w:cs="宋体"/>
          <w:color w:val="auto"/>
          <w:sz w:val="24"/>
          <w:szCs w:val="24"/>
          <w:highlight w:val="none"/>
          <w:u w:val="single"/>
        </w:rPr>
        <w:t>日</w:t>
      </w:r>
      <w:r>
        <w:rPr>
          <w:rFonts w:hint="eastAsia" w:cs="宋体"/>
          <w:color w:val="auto"/>
          <w:sz w:val="24"/>
          <w:szCs w:val="24"/>
          <w:highlight w:val="none"/>
          <w:u w:val="single"/>
          <w:lang w:val="en-US" w:eastAsia="zh-CN"/>
        </w:rPr>
        <w:t>00</w:t>
      </w:r>
      <w:r>
        <w:rPr>
          <w:rFonts w:hint="eastAsia" w:ascii="宋体" w:hAnsi="宋体" w:eastAsia="宋体" w:cs="宋体"/>
          <w:color w:val="auto"/>
          <w:sz w:val="24"/>
          <w:szCs w:val="24"/>
          <w:highlight w:val="none"/>
          <w:u w:val="single"/>
        </w:rPr>
        <w:t>时</w:t>
      </w:r>
      <w:r>
        <w:rPr>
          <w:rFonts w:hint="eastAsia" w:cs="宋体"/>
          <w:color w:val="auto"/>
          <w:sz w:val="24"/>
          <w:szCs w:val="24"/>
          <w:highlight w:val="none"/>
          <w:u w:val="single"/>
          <w:lang w:val="en-US" w:eastAsia="zh-CN"/>
        </w:rPr>
        <w:t>00</w:t>
      </w:r>
      <w:r>
        <w:rPr>
          <w:rFonts w:hint="eastAsia" w:ascii="宋体" w:hAnsi="宋体" w:eastAsia="宋体" w:cs="宋体"/>
          <w:color w:val="auto"/>
          <w:sz w:val="24"/>
          <w:szCs w:val="24"/>
          <w:highlight w:val="none"/>
          <w:u w:val="single"/>
        </w:rPr>
        <w:t>分</w:t>
      </w:r>
      <w:r>
        <w:rPr>
          <w:rFonts w:hint="eastAsia" w:ascii="宋体" w:hAnsi="宋体" w:eastAsia="宋体" w:cs="宋体"/>
          <w:color w:val="auto"/>
          <w:sz w:val="24"/>
          <w:szCs w:val="24"/>
          <w:highlight w:val="none"/>
          <w:lang w:val="hr-HR"/>
        </w:rPr>
        <w:t>至</w:t>
      </w:r>
      <w:r>
        <w:rPr>
          <w:rFonts w:hint="eastAsia" w:cs="宋体"/>
          <w:color w:val="auto"/>
          <w:sz w:val="24"/>
          <w:szCs w:val="24"/>
          <w:highlight w:val="none"/>
          <w:u w:val="single"/>
          <w:lang w:val="en-US" w:eastAsia="zh-CN"/>
        </w:rPr>
        <w:t>2026</w:t>
      </w:r>
      <w:r>
        <w:rPr>
          <w:rFonts w:hint="eastAsia" w:ascii="宋体" w:hAnsi="宋体" w:eastAsia="宋体" w:cs="宋体"/>
          <w:color w:val="auto"/>
          <w:sz w:val="24"/>
          <w:szCs w:val="24"/>
          <w:highlight w:val="none"/>
          <w:u w:val="single"/>
        </w:rPr>
        <w:t>年</w:t>
      </w:r>
      <w:r>
        <w:rPr>
          <w:rFonts w:hint="eastAsia" w:cs="宋体"/>
          <w:color w:val="auto"/>
          <w:sz w:val="24"/>
          <w:szCs w:val="24"/>
          <w:highlight w:val="none"/>
          <w:u w:val="single"/>
          <w:lang w:val="en-US" w:eastAsia="zh-CN"/>
        </w:rPr>
        <w:t>05</w:t>
      </w:r>
      <w:r>
        <w:rPr>
          <w:rFonts w:hint="eastAsia" w:ascii="宋体" w:hAnsi="宋体" w:eastAsia="宋体" w:cs="宋体"/>
          <w:color w:val="auto"/>
          <w:sz w:val="24"/>
          <w:szCs w:val="24"/>
          <w:highlight w:val="none"/>
          <w:u w:val="single"/>
        </w:rPr>
        <w:t>月</w:t>
      </w:r>
      <w:r>
        <w:rPr>
          <w:rFonts w:hint="eastAsia" w:cs="宋体"/>
          <w:color w:val="auto"/>
          <w:sz w:val="24"/>
          <w:szCs w:val="24"/>
          <w:highlight w:val="none"/>
          <w:u w:val="single"/>
          <w:lang w:val="en-US" w:eastAsia="zh-CN"/>
        </w:rPr>
        <w:t>08</w:t>
      </w:r>
      <w:r>
        <w:rPr>
          <w:rFonts w:hint="eastAsia" w:ascii="宋体" w:hAnsi="宋体" w:eastAsia="宋体" w:cs="宋体"/>
          <w:color w:val="auto"/>
          <w:sz w:val="24"/>
          <w:szCs w:val="24"/>
          <w:highlight w:val="none"/>
          <w:u w:val="single"/>
        </w:rPr>
        <w:t>日</w:t>
      </w:r>
      <w:r>
        <w:rPr>
          <w:rFonts w:hint="eastAsia" w:cs="宋体"/>
          <w:color w:val="auto"/>
          <w:sz w:val="24"/>
          <w:szCs w:val="24"/>
          <w:highlight w:val="none"/>
          <w:u w:val="single"/>
          <w:lang w:val="en-US" w:eastAsia="zh-CN"/>
        </w:rPr>
        <w:t>23</w:t>
      </w:r>
      <w:r>
        <w:rPr>
          <w:rFonts w:hint="eastAsia" w:ascii="宋体" w:hAnsi="宋体" w:eastAsia="宋体" w:cs="宋体"/>
          <w:color w:val="auto"/>
          <w:sz w:val="24"/>
          <w:szCs w:val="24"/>
          <w:highlight w:val="none"/>
          <w:u w:val="single"/>
        </w:rPr>
        <w:t>时</w:t>
      </w:r>
      <w:r>
        <w:rPr>
          <w:rFonts w:hint="eastAsia" w:cs="宋体"/>
          <w:color w:val="auto"/>
          <w:sz w:val="24"/>
          <w:szCs w:val="24"/>
          <w:highlight w:val="none"/>
          <w:u w:val="single"/>
          <w:lang w:val="en-US" w:eastAsia="zh-CN"/>
        </w:rPr>
        <w:t>59</w:t>
      </w:r>
      <w:r>
        <w:rPr>
          <w:rFonts w:hint="eastAsia" w:ascii="宋体" w:hAnsi="宋体" w:eastAsia="宋体" w:cs="宋体"/>
          <w:color w:val="auto"/>
          <w:sz w:val="24"/>
          <w:szCs w:val="24"/>
          <w:highlight w:val="none"/>
          <w:u w:val="single"/>
        </w:rPr>
        <w:t>分</w:t>
      </w:r>
      <w:r>
        <w:rPr>
          <w:rFonts w:hint="eastAsia" w:ascii="宋体" w:hAnsi="宋体" w:eastAsia="宋体" w:cs="宋体"/>
          <w:color w:val="auto"/>
          <w:sz w:val="24"/>
          <w:szCs w:val="24"/>
          <w:highlight w:val="none"/>
          <w:lang w:val="hr-HR"/>
        </w:rPr>
        <w:t>（北京时间）。</w:t>
      </w:r>
    </w:p>
    <w:bookmarkEnd w:id="53"/>
    <w:p w14:paraId="34FD69CE">
      <w:pPr>
        <w:pStyle w:val="37"/>
        <w:spacing w:line="360" w:lineRule="auto"/>
        <w:rPr>
          <w:rFonts w:hint="eastAsia" w:ascii="宋体" w:hAnsi="宋体" w:eastAsia="宋体" w:cs="宋体"/>
          <w:color w:val="auto"/>
          <w:sz w:val="24"/>
          <w:szCs w:val="24"/>
          <w:highlight w:val="none"/>
          <w:lang w:val="hr-HR"/>
        </w:rPr>
      </w:pPr>
      <w:r>
        <w:rPr>
          <w:rFonts w:hint="eastAsia" w:ascii="宋体" w:hAnsi="宋体" w:eastAsia="宋体" w:cs="宋体"/>
          <w:color w:val="auto"/>
          <w:sz w:val="24"/>
          <w:szCs w:val="24"/>
          <w:highlight w:val="none"/>
          <w:lang w:val="hr-HR"/>
        </w:rPr>
        <w:t>2.</w:t>
      </w:r>
      <w:r>
        <w:rPr>
          <w:rFonts w:hint="eastAsia" w:ascii="宋体" w:hAnsi="宋体" w:eastAsia="宋体" w:cs="宋体"/>
          <w:color w:val="auto"/>
          <w:sz w:val="24"/>
          <w:szCs w:val="24"/>
          <w:highlight w:val="none"/>
        </w:rPr>
        <w:t>地点</w:t>
      </w:r>
      <w:r>
        <w:rPr>
          <w:rFonts w:hint="eastAsia" w:ascii="宋体" w:hAnsi="宋体" w:eastAsia="宋体" w:cs="宋体"/>
          <w:color w:val="auto"/>
          <w:sz w:val="24"/>
          <w:szCs w:val="24"/>
          <w:highlight w:val="none"/>
          <w:lang w:val="hr-HR"/>
        </w:rPr>
        <w:t>：</w:t>
      </w:r>
      <w:bookmarkStart w:id="60" w:name="_Hlk89807779"/>
      <w:r>
        <w:rPr>
          <w:rFonts w:hint="eastAsia" w:cs="宋体"/>
          <w:color w:val="auto"/>
          <w:sz w:val="24"/>
          <w:szCs w:val="24"/>
          <w:highlight w:val="none"/>
          <w:lang w:val="en-US" w:eastAsia="zh-CN"/>
        </w:rPr>
        <w:t>新疆</w:t>
      </w:r>
      <w:r>
        <w:rPr>
          <w:rFonts w:hint="eastAsia" w:ascii="宋体" w:hAnsi="宋体" w:eastAsia="宋体" w:cs="宋体"/>
          <w:color w:val="auto"/>
          <w:sz w:val="24"/>
          <w:szCs w:val="24"/>
          <w:highlight w:val="none"/>
        </w:rPr>
        <w:t>政府采购</w:t>
      </w:r>
      <w:r>
        <w:rPr>
          <w:rFonts w:hint="eastAsia" w:ascii="宋体" w:hAnsi="宋体" w:eastAsia="宋体" w:cs="宋体"/>
          <w:color w:val="auto"/>
          <w:sz w:val="24"/>
          <w:szCs w:val="24"/>
          <w:highlight w:val="none"/>
          <w:lang w:val="en-US"/>
        </w:rPr>
        <w:t>电子交易云</w:t>
      </w:r>
      <w:r>
        <w:rPr>
          <w:rFonts w:hint="eastAsia" w:ascii="宋体" w:hAnsi="宋体" w:eastAsia="宋体" w:cs="宋体"/>
          <w:color w:val="auto"/>
          <w:sz w:val="24"/>
          <w:szCs w:val="24"/>
          <w:highlight w:val="none"/>
        </w:rPr>
        <w:t>平台</w:t>
      </w:r>
      <w:r>
        <w:rPr>
          <w:rFonts w:hint="eastAsia" w:ascii="宋体" w:hAnsi="宋体" w:eastAsia="宋体" w:cs="宋体"/>
          <w:color w:val="auto"/>
          <w:sz w:val="24"/>
          <w:szCs w:val="24"/>
          <w:highlight w:val="none"/>
          <w:lang w:val="hr-HR"/>
        </w:rPr>
        <w:t>（</w:t>
      </w:r>
      <w:r>
        <w:rPr>
          <w:rFonts w:hint="eastAsia" w:ascii="宋体" w:hAnsi="宋体" w:eastAsia="宋体" w:cs="宋体"/>
          <w:color w:val="auto"/>
          <w:sz w:val="24"/>
          <w:szCs w:val="24"/>
          <w:highlight w:val="none"/>
        </w:rPr>
        <w:t>网址</w:t>
      </w:r>
      <w:r>
        <w:rPr>
          <w:rFonts w:hint="eastAsia" w:ascii="宋体" w:hAnsi="宋体" w:eastAsia="宋体" w:cs="宋体"/>
          <w:color w:val="auto"/>
          <w:sz w:val="24"/>
          <w:szCs w:val="24"/>
          <w:highlight w:val="none"/>
          <w:lang w:val="hr-HR"/>
        </w:rPr>
        <w:t>：http://www.ccgp-xinjiang.gov.cn）</w:t>
      </w:r>
      <w:r>
        <w:rPr>
          <w:rFonts w:hint="eastAsia" w:ascii="宋体" w:hAnsi="宋体" w:eastAsia="宋体" w:cs="宋体"/>
          <w:color w:val="auto"/>
          <w:sz w:val="24"/>
          <w:szCs w:val="24"/>
          <w:highlight w:val="none"/>
        </w:rPr>
        <w:t>。</w:t>
      </w:r>
      <w:bookmarkEnd w:id="60"/>
    </w:p>
    <w:p w14:paraId="5DDD414F">
      <w:pPr>
        <w:pStyle w:val="37"/>
        <w:spacing w:line="360" w:lineRule="auto"/>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hr-HR"/>
        </w:rPr>
        <w:t>3.</w:t>
      </w:r>
      <w:r>
        <w:rPr>
          <w:rFonts w:hint="eastAsia" w:ascii="宋体" w:hAnsi="宋体" w:eastAsia="宋体" w:cs="宋体"/>
          <w:color w:val="auto"/>
          <w:sz w:val="24"/>
          <w:szCs w:val="24"/>
          <w:highlight w:val="none"/>
        </w:rPr>
        <w:t>方式</w:t>
      </w:r>
      <w:r>
        <w:rPr>
          <w:rFonts w:hint="eastAsia" w:ascii="宋体" w:hAnsi="宋体" w:eastAsia="宋体" w:cs="宋体"/>
          <w:color w:val="auto"/>
          <w:sz w:val="24"/>
          <w:szCs w:val="24"/>
          <w:highlight w:val="none"/>
          <w:lang w:val="hr-HR"/>
        </w:rPr>
        <w:t>：</w:t>
      </w:r>
      <w:r>
        <w:rPr>
          <w:rFonts w:hint="eastAsia" w:ascii="宋体" w:hAnsi="宋体" w:eastAsia="宋体" w:cs="宋体"/>
          <w:color w:val="auto"/>
          <w:sz w:val="24"/>
          <w:szCs w:val="24"/>
          <w:highlight w:val="none"/>
          <w:lang w:val="en-US"/>
        </w:rPr>
        <w:t>投标供应商登录政采云平台</w:t>
      </w:r>
      <w:r>
        <w:rPr>
          <w:rFonts w:hint="eastAsia" w:ascii="宋体" w:hAnsi="宋体" w:eastAsia="宋体" w:cs="宋体"/>
          <w:color w:val="auto"/>
          <w:sz w:val="24"/>
          <w:szCs w:val="24"/>
          <w:highlight w:val="none"/>
          <w:lang w:val="hr-HR"/>
        </w:rPr>
        <w:t>https://www.zcygov.cn/</w:t>
      </w:r>
      <w:r>
        <w:rPr>
          <w:rFonts w:hint="eastAsia" w:ascii="宋体" w:hAnsi="宋体" w:eastAsia="宋体" w:cs="宋体"/>
          <w:color w:val="auto"/>
          <w:sz w:val="24"/>
          <w:szCs w:val="24"/>
          <w:highlight w:val="none"/>
          <w:lang w:val="en-US"/>
        </w:rPr>
        <w:t>在线申请</w:t>
      </w:r>
      <w:r>
        <w:rPr>
          <w:rFonts w:hint="eastAsia" w:ascii="宋体" w:hAnsi="宋体" w:eastAsia="宋体" w:cs="宋体"/>
          <w:color w:val="auto"/>
          <w:sz w:val="24"/>
          <w:szCs w:val="24"/>
          <w:highlight w:val="none"/>
          <w:lang w:val="en-US" w:eastAsia="zh-CN"/>
        </w:rPr>
        <w:t>，免费</w:t>
      </w:r>
      <w:r>
        <w:rPr>
          <w:rFonts w:hint="eastAsia" w:ascii="宋体" w:hAnsi="宋体" w:eastAsia="宋体" w:cs="宋体"/>
          <w:color w:val="auto"/>
          <w:sz w:val="24"/>
          <w:szCs w:val="24"/>
          <w:highlight w:val="none"/>
          <w:lang w:val="en-US"/>
        </w:rPr>
        <w:t>获取</w:t>
      </w:r>
      <w:r>
        <w:rPr>
          <w:rFonts w:hint="eastAsia" w:ascii="宋体" w:hAnsi="宋体" w:eastAsia="宋体" w:cs="宋体"/>
          <w:color w:val="auto"/>
          <w:sz w:val="24"/>
          <w:szCs w:val="24"/>
          <w:highlight w:val="none"/>
          <w:lang w:val="en-US" w:eastAsia="zh-CN"/>
        </w:rPr>
        <w:t>电子</w:t>
      </w:r>
      <w:r>
        <w:rPr>
          <w:rFonts w:hint="eastAsia" w:ascii="宋体" w:hAnsi="宋体" w:eastAsia="宋体" w:cs="宋体"/>
          <w:color w:val="auto"/>
          <w:sz w:val="24"/>
          <w:szCs w:val="24"/>
          <w:highlight w:val="none"/>
          <w:lang w:val="en-US"/>
        </w:rPr>
        <w:t>采购文件</w:t>
      </w:r>
      <w:r>
        <w:rPr>
          <w:rFonts w:hint="eastAsia" w:ascii="宋体" w:hAnsi="宋体" w:eastAsia="宋体" w:cs="宋体"/>
          <w:color w:val="auto"/>
          <w:sz w:val="24"/>
          <w:szCs w:val="24"/>
          <w:highlight w:val="none"/>
          <w:lang w:val="hr-HR"/>
        </w:rPr>
        <w:t>（</w:t>
      </w:r>
      <w:r>
        <w:rPr>
          <w:rFonts w:hint="eastAsia" w:ascii="宋体" w:hAnsi="宋体" w:eastAsia="宋体" w:cs="宋体"/>
          <w:color w:val="auto"/>
          <w:sz w:val="24"/>
          <w:szCs w:val="24"/>
          <w:highlight w:val="none"/>
          <w:lang w:val="en-US"/>
        </w:rPr>
        <w:t>进入</w:t>
      </w:r>
      <w:r>
        <w:rPr>
          <w:rFonts w:hint="eastAsia" w:ascii="宋体" w:hAnsi="宋体" w:eastAsia="宋体" w:cs="宋体"/>
          <w:color w:val="auto"/>
          <w:sz w:val="24"/>
          <w:szCs w:val="24"/>
          <w:highlight w:val="none"/>
          <w:lang w:val="hr-HR"/>
        </w:rPr>
        <w:t>“</w:t>
      </w:r>
      <w:r>
        <w:rPr>
          <w:rFonts w:hint="eastAsia" w:ascii="宋体" w:hAnsi="宋体" w:eastAsia="宋体" w:cs="宋体"/>
          <w:color w:val="auto"/>
          <w:sz w:val="24"/>
          <w:szCs w:val="24"/>
          <w:highlight w:val="none"/>
          <w:lang w:val="en-US"/>
        </w:rPr>
        <w:t>项目采购</w:t>
      </w:r>
      <w:r>
        <w:rPr>
          <w:rFonts w:hint="eastAsia" w:ascii="宋体" w:hAnsi="宋体" w:eastAsia="宋体" w:cs="宋体"/>
          <w:color w:val="auto"/>
          <w:sz w:val="24"/>
          <w:szCs w:val="24"/>
          <w:highlight w:val="none"/>
          <w:lang w:val="hr-HR"/>
        </w:rPr>
        <w:t>”</w:t>
      </w:r>
      <w:r>
        <w:rPr>
          <w:rFonts w:hint="eastAsia" w:ascii="宋体" w:hAnsi="宋体" w:eastAsia="宋体" w:cs="宋体"/>
          <w:color w:val="auto"/>
          <w:sz w:val="24"/>
          <w:szCs w:val="24"/>
          <w:highlight w:val="none"/>
          <w:lang w:val="en-US"/>
        </w:rPr>
        <w:t>应用</w:t>
      </w:r>
      <w:r>
        <w:rPr>
          <w:rFonts w:hint="eastAsia" w:ascii="宋体" w:hAnsi="宋体" w:eastAsia="宋体" w:cs="宋体"/>
          <w:color w:val="auto"/>
          <w:sz w:val="24"/>
          <w:szCs w:val="24"/>
          <w:highlight w:val="none"/>
          <w:lang w:val="hr-HR"/>
        </w:rPr>
        <w:t>，</w:t>
      </w:r>
      <w:r>
        <w:rPr>
          <w:rFonts w:hint="eastAsia" w:ascii="宋体" w:hAnsi="宋体" w:eastAsia="宋体" w:cs="宋体"/>
          <w:color w:val="auto"/>
          <w:sz w:val="24"/>
          <w:szCs w:val="24"/>
          <w:highlight w:val="none"/>
          <w:lang w:val="en-US"/>
        </w:rPr>
        <w:t>在获取采购文件菜单中选择项目</w:t>
      </w:r>
      <w:r>
        <w:rPr>
          <w:rFonts w:hint="eastAsia" w:ascii="宋体" w:hAnsi="宋体" w:eastAsia="宋体" w:cs="宋体"/>
          <w:color w:val="auto"/>
          <w:sz w:val="24"/>
          <w:szCs w:val="24"/>
          <w:highlight w:val="none"/>
          <w:lang w:val="hr-HR"/>
        </w:rPr>
        <w:t>，</w:t>
      </w:r>
      <w:r>
        <w:rPr>
          <w:rFonts w:hint="eastAsia" w:ascii="宋体" w:hAnsi="宋体" w:eastAsia="宋体" w:cs="宋体"/>
          <w:color w:val="auto"/>
          <w:sz w:val="24"/>
          <w:szCs w:val="24"/>
          <w:highlight w:val="none"/>
          <w:lang w:val="en-US"/>
        </w:rPr>
        <w:t>申请获取采购文件</w:t>
      </w:r>
      <w:r>
        <w:rPr>
          <w:rFonts w:hint="eastAsia" w:ascii="宋体" w:hAnsi="宋体" w:eastAsia="宋体" w:cs="宋体"/>
          <w:color w:val="auto"/>
          <w:sz w:val="24"/>
          <w:szCs w:val="24"/>
          <w:highlight w:val="none"/>
          <w:lang w:val="hr-HR"/>
        </w:rPr>
        <w:t>）</w:t>
      </w:r>
      <w:r>
        <w:rPr>
          <w:rFonts w:hint="eastAsia" w:ascii="宋体" w:hAnsi="宋体" w:eastAsia="宋体" w:cs="宋体"/>
          <w:color w:val="auto"/>
          <w:sz w:val="24"/>
          <w:szCs w:val="24"/>
          <w:highlight w:val="none"/>
          <w:lang w:val="en-US"/>
        </w:rPr>
        <w:t>。</w:t>
      </w:r>
    </w:p>
    <w:p w14:paraId="613582C4">
      <w:pPr>
        <w:pStyle w:val="37"/>
        <w:spacing w:line="360" w:lineRule="auto"/>
        <w:rPr>
          <w:rFonts w:hint="eastAsia" w:ascii="宋体" w:hAnsi="宋体" w:eastAsia="宋体" w:cs="宋体"/>
          <w:color w:val="auto"/>
          <w:sz w:val="24"/>
          <w:szCs w:val="24"/>
          <w:highlight w:val="none"/>
          <w:lang w:val="hr-HR"/>
        </w:rPr>
      </w:pPr>
      <w:r>
        <w:rPr>
          <w:rFonts w:hint="eastAsia" w:ascii="宋体" w:hAnsi="宋体" w:eastAsia="宋体" w:cs="宋体"/>
          <w:color w:val="auto"/>
          <w:sz w:val="24"/>
          <w:szCs w:val="24"/>
          <w:highlight w:val="none"/>
          <w:lang w:val="en-US" w:eastAsia="zh-CN"/>
        </w:rPr>
        <w:t>4.售价：0元。</w:t>
      </w:r>
      <w:r>
        <w:rPr>
          <w:rFonts w:hint="eastAsia" w:ascii="宋体" w:hAnsi="宋体" w:eastAsia="宋体" w:cs="宋体"/>
          <w:color w:val="auto"/>
          <w:sz w:val="24"/>
          <w:szCs w:val="24"/>
          <w:highlight w:val="none"/>
          <w:lang w:val="hr-HR"/>
        </w:rPr>
        <w:t xml:space="preserve"> </w:t>
      </w:r>
      <w:bookmarkEnd w:id="54"/>
      <w:bookmarkEnd w:id="55"/>
      <w:bookmarkEnd w:id="56"/>
      <w:bookmarkEnd w:id="57"/>
      <w:bookmarkEnd w:id="58"/>
      <w:bookmarkEnd w:id="59"/>
      <w:bookmarkStart w:id="61" w:name="_Toc109899413"/>
      <w:bookmarkStart w:id="62" w:name="_Toc140132748"/>
      <w:bookmarkStart w:id="63" w:name="_Toc155185863"/>
      <w:bookmarkStart w:id="64" w:name="_Toc109899832"/>
      <w:bookmarkStart w:id="65" w:name="_Toc109900251"/>
      <w:bookmarkStart w:id="66" w:name="_Toc5152"/>
      <w:bookmarkStart w:id="67" w:name="_Toc30285"/>
      <w:bookmarkStart w:id="68" w:name="_Toc25593"/>
      <w:bookmarkStart w:id="69" w:name="_Toc11313"/>
      <w:bookmarkStart w:id="70" w:name="_Hlk130457395"/>
      <w:bookmarkStart w:id="71" w:name="_Toc28359094"/>
      <w:bookmarkStart w:id="72" w:name="_Toc35393634"/>
      <w:bookmarkStart w:id="73" w:name="_Toc35393803"/>
      <w:bookmarkStart w:id="74" w:name="_Toc44583633"/>
      <w:bookmarkStart w:id="75" w:name="_Toc28359017"/>
    </w:p>
    <w:p w14:paraId="62F53623">
      <w:pPr>
        <w:pStyle w:val="37"/>
        <w:spacing w:line="360" w:lineRule="auto"/>
        <w:ind w:left="0" w:leftChars="0" w:firstLine="0" w:firstLineChars="0"/>
        <w:rPr>
          <w:rFonts w:hint="eastAsia" w:ascii="宋体" w:hAnsi="宋体" w:eastAsia="宋体" w:cs="宋体"/>
          <w:b/>
          <w:bCs/>
          <w:color w:val="auto"/>
          <w:kern w:val="2"/>
          <w:sz w:val="24"/>
          <w:szCs w:val="24"/>
          <w:highlight w:val="none"/>
          <w:lang w:val="hr-HR" w:eastAsia="zh-CN" w:bidi="ar-SA"/>
        </w:rPr>
      </w:pPr>
      <w:r>
        <w:rPr>
          <w:rFonts w:hint="eastAsia" w:ascii="宋体" w:hAnsi="宋体" w:eastAsia="宋体" w:cs="宋体"/>
          <w:b/>
          <w:bCs/>
          <w:color w:val="auto"/>
          <w:kern w:val="2"/>
          <w:sz w:val="24"/>
          <w:szCs w:val="24"/>
          <w:highlight w:val="none"/>
          <w:lang w:val="en-US" w:eastAsia="zh-CN" w:bidi="ar-SA"/>
        </w:rPr>
        <w:t>四、</w:t>
      </w:r>
      <w:bookmarkEnd w:id="61"/>
      <w:bookmarkEnd w:id="62"/>
      <w:bookmarkEnd w:id="63"/>
      <w:bookmarkEnd w:id="64"/>
      <w:bookmarkEnd w:id="65"/>
      <w:r>
        <w:rPr>
          <w:rFonts w:hint="eastAsia" w:ascii="宋体" w:hAnsi="宋体" w:eastAsia="宋体" w:cs="宋体"/>
          <w:b/>
          <w:bCs/>
          <w:color w:val="auto"/>
          <w:kern w:val="2"/>
          <w:sz w:val="24"/>
          <w:szCs w:val="24"/>
          <w:highlight w:val="none"/>
          <w:lang w:val="hr-HR" w:eastAsia="zh-CN" w:bidi="ar-SA"/>
        </w:rPr>
        <w:t>提交投标文件截止时间</w:t>
      </w:r>
      <w:r>
        <w:rPr>
          <w:rFonts w:hint="eastAsia" w:ascii="宋体" w:hAnsi="宋体" w:eastAsia="宋体" w:cs="宋体"/>
          <w:b/>
          <w:bCs/>
          <w:color w:val="auto"/>
          <w:kern w:val="2"/>
          <w:sz w:val="24"/>
          <w:szCs w:val="24"/>
          <w:highlight w:val="none"/>
          <w:lang w:val="en-US" w:eastAsia="zh-CN" w:bidi="ar-SA"/>
        </w:rPr>
        <w:t>/</w:t>
      </w:r>
      <w:r>
        <w:rPr>
          <w:rFonts w:hint="eastAsia" w:ascii="宋体" w:hAnsi="宋体" w:eastAsia="宋体" w:cs="宋体"/>
          <w:b/>
          <w:bCs/>
          <w:color w:val="auto"/>
          <w:kern w:val="2"/>
          <w:sz w:val="24"/>
          <w:szCs w:val="24"/>
          <w:highlight w:val="none"/>
          <w:lang w:val="hr-HR" w:eastAsia="zh-CN" w:bidi="ar-SA"/>
        </w:rPr>
        <w:t>开标时间、递交方式和</w:t>
      </w:r>
      <w:r>
        <w:rPr>
          <w:rFonts w:hint="eastAsia" w:ascii="宋体" w:hAnsi="宋体" w:eastAsia="宋体" w:cs="宋体"/>
          <w:b/>
          <w:bCs/>
          <w:color w:val="auto"/>
          <w:kern w:val="2"/>
          <w:sz w:val="24"/>
          <w:szCs w:val="24"/>
          <w:highlight w:val="none"/>
          <w:lang w:val="en-US" w:eastAsia="zh-CN" w:bidi="ar-SA"/>
        </w:rPr>
        <w:t>开标</w:t>
      </w:r>
      <w:r>
        <w:rPr>
          <w:rFonts w:hint="eastAsia" w:ascii="宋体" w:hAnsi="宋体" w:eastAsia="宋体" w:cs="宋体"/>
          <w:b/>
          <w:bCs/>
          <w:color w:val="auto"/>
          <w:kern w:val="2"/>
          <w:sz w:val="24"/>
          <w:szCs w:val="24"/>
          <w:highlight w:val="none"/>
          <w:lang w:val="hr-HR" w:eastAsia="zh-CN" w:bidi="ar-SA"/>
        </w:rPr>
        <w:t>地点</w:t>
      </w:r>
      <w:bookmarkEnd w:id="66"/>
      <w:bookmarkEnd w:id="67"/>
      <w:bookmarkEnd w:id="68"/>
      <w:bookmarkEnd w:id="69"/>
    </w:p>
    <w:p w14:paraId="2D110B47">
      <w:pPr>
        <w:pStyle w:val="37"/>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1.截止时间</w:t>
      </w:r>
      <w:r>
        <w:rPr>
          <w:rFonts w:hint="eastAsia" w:ascii="宋体" w:hAnsi="宋体" w:eastAsia="宋体" w:cs="宋体"/>
          <w:color w:val="auto"/>
          <w:sz w:val="24"/>
          <w:szCs w:val="24"/>
          <w:highlight w:val="none"/>
          <w:lang w:val="en-US"/>
        </w:rPr>
        <w:t>/</w:t>
      </w:r>
      <w:r>
        <w:rPr>
          <w:rFonts w:hint="eastAsia" w:ascii="宋体" w:hAnsi="宋体" w:eastAsia="宋体" w:cs="宋体"/>
          <w:color w:val="auto"/>
          <w:sz w:val="24"/>
          <w:szCs w:val="24"/>
          <w:highlight w:val="none"/>
        </w:rPr>
        <w:t>开标时间：</w:t>
      </w:r>
      <w:r>
        <w:rPr>
          <w:rFonts w:hint="eastAsia" w:ascii="宋体" w:hAnsi="宋体" w:eastAsia="宋体" w:cs="宋体"/>
          <w:color w:val="auto"/>
          <w:sz w:val="24"/>
          <w:szCs w:val="24"/>
          <w:highlight w:val="none"/>
          <w:u w:val="single"/>
        </w:rPr>
        <w:t xml:space="preserve"> </w:t>
      </w:r>
      <w:r>
        <w:rPr>
          <w:rFonts w:hint="eastAsia" w:cs="宋体"/>
          <w:color w:val="auto"/>
          <w:sz w:val="24"/>
          <w:szCs w:val="24"/>
          <w:highlight w:val="none"/>
          <w:u w:val="single"/>
          <w:lang w:val="en-US" w:eastAsia="zh-CN"/>
        </w:rPr>
        <w:t>2026</w:t>
      </w:r>
      <w:r>
        <w:rPr>
          <w:rFonts w:hint="eastAsia" w:ascii="宋体" w:hAnsi="宋体" w:eastAsia="宋体" w:cs="宋体"/>
          <w:color w:val="auto"/>
          <w:sz w:val="24"/>
          <w:szCs w:val="24"/>
          <w:highlight w:val="none"/>
          <w:u w:val="single"/>
        </w:rPr>
        <w:t>年</w:t>
      </w:r>
      <w:r>
        <w:rPr>
          <w:rFonts w:hint="eastAsia" w:cs="宋体"/>
          <w:color w:val="auto"/>
          <w:sz w:val="24"/>
          <w:szCs w:val="24"/>
          <w:highlight w:val="none"/>
          <w:u w:val="single"/>
          <w:lang w:val="en-US" w:eastAsia="zh-CN"/>
        </w:rPr>
        <w:t>05</w:t>
      </w:r>
      <w:r>
        <w:rPr>
          <w:rFonts w:hint="eastAsia" w:ascii="宋体" w:hAnsi="宋体" w:eastAsia="宋体" w:cs="宋体"/>
          <w:color w:val="auto"/>
          <w:sz w:val="24"/>
          <w:szCs w:val="24"/>
          <w:highlight w:val="none"/>
          <w:u w:val="single"/>
        </w:rPr>
        <w:t>月</w:t>
      </w:r>
      <w:r>
        <w:rPr>
          <w:rFonts w:hint="eastAsia" w:cs="宋体"/>
          <w:color w:val="auto"/>
          <w:sz w:val="24"/>
          <w:szCs w:val="24"/>
          <w:highlight w:val="none"/>
          <w:u w:val="single"/>
          <w:lang w:val="en-US" w:eastAsia="zh-CN"/>
        </w:rPr>
        <w:t>19</w:t>
      </w:r>
      <w:r>
        <w:rPr>
          <w:rFonts w:hint="eastAsia" w:ascii="宋体" w:hAnsi="宋体" w:eastAsia="宋体" w:cs="宋体"/>
          <w:color w:val="auto"/>
          <w:sz w:val="24"/>
          <w:szCs w:val="24"/>
          <w:highlight w:val="none"/>
          <w:u w:val="single"/>
        </w:rPr>
        <w:t>日</w:t>
      </w:r>
      <w:r>
        <w:rPr>
          <w:rFonts w:hint="eastAsia" w:cs="宋体"/>
          <w:color w:val="auto"/>
          <w:sz w:val="24"/>
          <w:szCs w:val="24"/>
          <w:highlight w:val="none"/>
          <w:u w:val="single"/>
          <w:lang w:val="en-US" w:eastAsia="zh-CN"/>
        </w:rPr>
        <w:t>11</w:t>
      </w:r>
      <w:r>
        <w:rPr>
          <w:rFonts w:hint="eastAsia" w:ascii="宋体" w:hAnsi="宋体" w:eastAsia="宋体" w:cs="宋体"/>
          <w:color w:val="auto"/>
          <w:sz w:val="24"/>
          <w:szCs w:val="24"/>
          <w:highlight w:val="none"/>
          <w:u w:val="single"/>
        </w:rPr>
        <w:t>时</w:t>
      </w:r>
      <w:r>
        <w:rPr>
          <w:rFonts w:hint="eastAsia" w:cs="宋体"/>
          <w:color w:val="auto"/>
          <w:sz w:val="24"/>
          <w:szCs w:val="24"/>
          <w:highlight w:val="none"/>
          <w:u w:val="single"/>
          <w:lang w:val="en-US" w:eastAsia="zh-CN"/>
        </w:rPr>
        <w:t>00</w:t>
      </w:r>
      <w:r>
        <w:rPr>
          <w:rFonts w:hint="eastAsia" w:ascii="宋体" w:hAnsi="宋体" w:eastAsia="宋体" w:cs="宋体"/>
          <w:color w:val="auto"/>
          <w:sz w:val="24"/>
          <w:szCs w:val="24"/>
          <w:highlight w:val="none"/>
          <w:u w:val="single"/>
        </w:rPr>
        <w:t>分</w:t>
      </w:r>
      <w:r>
        <w:rPr>
          <w:rFonts w:hint="eastAsia" w:ascii="宋体" w:hAnsi="宋体" w:eastAsia="宋体" w:cs="宋体"/>
          <w:color w:val="auto"/>
          <w:sz w:val="24"/>
          <w:szCs w:val="24"/>
          <w:highlight w:val="none"/>
        </w:rPr>
        <w:t>（北京时间）。</w:t>
      </w:r>
    </w:p>
    <w:p w14:paraId="51B173F3">
      <w:pPr>
        <w:pStyle w:val="37"/>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2.递交方式：</w:t>
      </w:r>
      <w:bookmarkStart w:id="76" w:name="_Hlk89807823"/>
      <w:r>
        <w:rPr>
          <w:rFonts w:hint="eastAsia" w:ascii="宋体" w:hAnsi="宋体" w:eastAsia="宋体" w:cs="宋体"/>
          <w:color w:val="auto"/>
          <w:sz w:val="24"/>
          <w:szCs w:val="24"/>
          <w:highlight w:val="none"/>
        </w:rPr>
        <w:t>在</w:t>
      </w:r>
      <w:r>
        <w:rPr>
          <w:rFonts w:hint="eastAsia" w:cs="宋体"/>
          <w:color w:val="auto"/>
          <w:sz w:val="24"/>
          <w:szCs w:val="24"/>
          <w:highlight w:val="none"/>
          <w:lang w:val="en-US" w:eastAsia="zh-CN"/>
        </w:rPr>
        <w:t>新疆</w:t>
      </w:r>
      <w:r>
        <w:rPr>
          <w:rFonts w:hint="eastAsia" w:ascii="宋体" w:hAnsi="宋体" w:eastAsia="宋体" w:cs="宋体"/>
          <w:color w:val="auto"/>
          <w:sz w:val="24"/>
          <w:szCs w:val="24"/>
          <w:highlight w:val="none"/>
        </w:rPr>
        <w:t>政府采购电子交易云平台进入“项目采购”应用，在投标文件上传菜单中选择项目进行上传。</w:t>
      </w:r>
      <w:bookmarkEnd w:id="76"/>
    </w:p>
    <w:p w14:paraId="276D3E17">
      <w:pPr>
        <w:pStyle w:val="37"/>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3.开标</w:t>
      </w:r>
      <w:r>
        <w:rPr>
          <w:rFonts w:hint="eastAsia" w:ascii="宋体" w:hAnsi="宋体" w:eastAsia="宋体" w:cs="宋体"/>
          <w:color w:val="auto"/>
          <w:sz w:val="24"/>
          <w:szCs w:val="24"/>
          <w:highlight w:val="none"/>
          <w:lang w:val="en-US"/>
        </w:rPr>
        <w:t>地点</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rPr>
        <w:t>投标</w:t>
      </w:r>
      <w:r>
        <w:rPr>
          <w:rFonts w:hint="eastAsia" w:ascii="宋体" w:hAnsi="宋体" w:eastAsia="宋体" w:cs="宋体"/>
          <w:color w:val="auto"/>
          <w:sz w:val="24"/>
          <w:szCs w:val="24"/>
          <w:highlight w:val="none"/>
          <w:lang w:val="en-US" w:eastAsia="zh-CN"/>
        </w:rPr>
        <w:t>人</w:t>
      </w:r>
      <w:r>
        <w:rPr>
          <w:rFonts w:hint="eastAsia" w:ascii="宋体" w:hAnsi="宋体" w:eastAsia="宋体" w:cs="宋体"/>
          <w:color w:val="auto"/>
          <w:sz w:val="24"/>
          <w:szCs w:val="24"/>
          <w:highlight w:val="none"/>
          <w:lang w:val="en-US"/>
        </w:rPr>
        <w:t>登录政采云平台，进入项目采购</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val="en-US"/>
        </w:rPr>
        <w:t>开</w:t>
      </w:r>
      <w:r>
        <w:rPr>
          <w:rFonts w:hint="eastAsia" w:ascii="宋体" w:hAnsi="宋体" w:eastAsia="宋体" w:cs="宋体"/>
          <w:color w:val="auto"/>
          <w:sz w:val="24"/>
          <w:szCs w:val="24"/>
          <w:highlight w:val="none"/>
          <w:lang w:val="en-US" w:eastAsia="zh-CN"/>
        </w:rPr>
        <w:t>标</w:t>
      </w:r>
      <w:r>
        <w:rPr>
          <w:rFonts w:hint="eastAsia" w:ascii="宋体" w:hAnsi="宋体" w:eastAsia="宋体" w:cs="宋体"/>
          <w:color w:val="auto"/>
          <w:sz w:val="24"/>
          <w:szCs w:val="24"/>
          <w:highlight w:val="none"/>
          <w:lang w:val="en-US"/>
        </w:rPr>
        <w:t>评标</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val="en-US"/>
        </w:rPr>
        <w:t>右边选择对应项目点击“进入项目”进入开标大厅</w:t>
      </w:r>
      <w:r>
        <w:rPr>
          <w:rFonts w:hint="eastAsia" w:ascii="宋体" w:hAnsi="宋体" w:eastAsia="宋体" w:cs="宋体"/>
          <w:color w:val="auto"/>
          <w:sz w:val="24"/>
          <w:szCs w:val="24"/>
          <w:highlight w:val="none"/>
        </w:rPr>
        <w:t>。</w:t>
      </w:r>
    </w:p>
    <w:bookmarkEnd w:id="70"/>
    <w:p w14:paraId="679A69E0">
      <w:pPr>
        <w:pStyle w:val="3"/>
        <w:keepNext/>
        <w:keepLines/>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420" w:leftChars="0" w:hanging="420" w:firstLineChars="0"/>
        <w:textAlignment w:val="auto"/>
        <w:rPr>
          <w:rFonts w:hint="eastAsia" w:ascii="宋体" w:hAnsi="宋体" w:eastAsia="宋体" w:cs="宋体"/>
          <w:b/>
          <w:bCs/>
          <w:color w:val="auto"/>
          <w:kern w:val="2"/>
          <w:sz w:val="24"/>
          <w:szCs w:val="24"/>
          <w:highlight w:val="none"/>
          <w:lang w:val="hr-HR" w:eastAsia="zh-CN" w:bidi="ar-SA"/>
        </w:rPr>
      </w:pPr>
      <w:bookmarkStart w:id="77" w:name="_Toc5825"/>
      <w:bookmarkStart w:id="78" w:name="_Toc22987"/>
      <w:bookmarkStart w:id="79" w:name="_Toc109899414"/>
      <w:bookmarkStart w:id="80" w:name="_Toc140132749"/>
      <w:bookmarkStart w:id="81" w:name="_Toc27965"/>
      <w:bookmarkStart w:id="82" w:name="_Toc155185864"/>
      <w:bookmarkStart w:id="83" w:name="_Toc22506"/>
      <w:bookmarkStart w:id="84" w:name="_Toc109900252"/>
      <w:bookmarkStart w:id="85" w:name="_Toc109899833"/>
      <w:r>
        <w:rPr>
          <w:rFonts w:hint="eastAsia" w:ascii="宋体" w:hAnsi="宋体" w:eastAsia="宋体" w:cs="宋体"/>
          <w:b/>
          <w:bCs/>
          <w:color w:val="auto"/>
          <w:kern w:val="2"/>
          <w:sz w:val="24"/>
          <w:szCs w:val="24"/>
          <w:highlight w:val="none"/>
          <w:lang w:val="en-US" w:eastAsia="zh-CN" w:bidi="ar-SA"/>
        </w:rPr>
        <w:t>五、</w:t>
      </w:r>
      <w:r>
        <w:rPr>
          <w:rFonts w:hint="eastAsia" w:ascii="宋体" w:hAnsi="宋体" w:eastAsia="宋体" w:cs="宋体"/>
          <w:b/>
          <w:bCs/>
          <w:color w:val="auto"/>
          <w:kern w:val="2"/>
          <w:sz w:val="24"/>
          <w:szCs w:val="24"/>
          <w:highlight w:val="none"/>
          <w:lang w:val="hr-HR" w:eastAsia="zh-CN" w:bidi="ar-SA"/>
        </w:rPr>
        <w:t>公告期限</w:t>
      </w:r>
      <w:bookmarkEnd w:id="71"/>
      <w:bookmarkEnd w:id="72"/>
      <w:bookmarkEnd w:id="73"/>
      <w:bookmarkEnd w:id="74"/>
      <w:bookmarkEnd w:id="75"/>
      <w:bookmarkEnd w:id="77"/>
      <w:bookmarkEnd w:id="78"/>
      <w:bookmarkEnd w:id="79"/>
      <w:bookmarkEnd w:id="80"/>
      <w:bookmarkEnd w:id="81"/>
      <w:bookmarkEnd w:id="82"/>
      <w:bookmarkEnd w:id="83"/>
      <w:bookmarkEnd w:id="84"/>
      <w:bookmarkEnd w:id="85"/>
    </w:p>
    <w:p w14:paraId="32028F42">
      <w:pPr>
        <w:pStyle w:val="37"/>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自招标公告发布之日起5个工作日。</w:t>
      </w:r>
    </w:p>
    <w:p w14:paraId="20DD1AA0">
      <w:pPr>
        <w:pStyle w:val="3"/>
        <w:keepNext/>
        <w:keepLines/>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420" w:leftChars="0" w:hanging="420" w:firstLineChars="0"/>
        <w:textAlignment w:val="auto"/>
        <w:rPr>
          <w:rFonts w:hint="eastAsia" w:ascii="宋体" w:hAnsi="宋体" w:eastAsia="宋体" w:cs="宋体"/>
          <w:b/>
          <w:bCs/>
          <w:color w:val="auto"/>
          <w:kern w:val="2"/>
          <w:sz w:val="24"/>
          <w:szCs w:val="24"/>
          <w:highlight w:val="none"/>
          <w:lang w:val="hr-HR" w:eastAsia="zh-CN" w:bidi="ar-SA"/>
        </w:rPr>
      </w:pPr>
      <w:bookmarkStart w:id="86" w:name="_Toc35393635"/>
      <w:bookmarkStart w:id="87" w:name="_Toc109899415"/>
      <w:bookmarkStart w:id="88" w:name="_Toc140132750"/>
      <w:bookmarkStart w:id="89" w:name="_Toc35393804"/>
      <w:bookmarkStart w:id="90" w:name="_Toc44583634"/>
      <w:bookmarkStart w:id="91" w:name="_Toc155185865"/>
      <w:bookmarkStart w:id="92" w:name="_Toc109899834"/>
      <w:bookmarkStart w:id="93" w:name="_Toc109900253"/>
      <w:bookmarkStart w:id="94" w:name="_Toc32450"/>
      <w:bookmarkStart w:id="95" w:name="_Toc19698"/>
      <w:bookmarkStart w:id="96" w:name="_Toc10290"/>
      <w:bookmarkStart w:id="97" w:name="_Toc299"/>
      <w:bookmarkStart w:id="98" w:name="_Toc35393637"/>
      <w:bookmarkStart w:id="99" w:name="_Toc35393806"/>
      <w:bookmarkStart w:id="100" w:name="_Toc28359019"/>
      <w:bookmarkStart w:id="101" w:name="_Toc28359096"/>
      <w:r>
        <w:rPr>
          <w:rFonts w:hint="eastAsia" w:ascii="宋体" w:hAnsi="宋体" w:eastAsia="宋体" w:cs="宋体"/>
          <w:b/>
          <w:bCs/>
          <w:color w:val="auto"/>
          <w:kern w:val="2"/>
          <w:sz w:val="24"/>
          <w:szCs w:val="24"/>
          <w:highlight w:val="none"/>
          <w:lang w:val="en-US" w:eastAsia="zh-CN" w:bidi="ar-SA"/>
        </w:rPr>
        <w:t>六、</w:t>
      </w:r>
      <w:r>
        <w:rPr>
          <w:rFonts w:hint="eastAsia" w:ascii="宋体" w:hAnsi="宋体" w:eastAsia="宋体" w:cs="宋体"/>
          <w:b/>
          <w:bCs/>
          <w:color w:val="auto"/>
          <w:kern w:val="2"/>
          <w:sz w:val="24"/>
          <w:szCs w:val="24"/>
          <w:highlight w:val="none"/>
          <w:lang w:val="hr-HR" w:eastAsia="zh-CN" w:bidi="ar-SA"/>
        </w:rPr>
        <w:t>其他补充事宜</w:t>
      </w:r>
      <w:bookmarkEnd w:id="86"/>
      <w:bookmarkEnd w:id="87"/>
      <w:bookmarkEnd w:id="88"/>
      <w:bookmarkEnd w:id="89"/>
      <w:bookmarkEnd w:id="90"/>
      <w:bookmarkEnd w:id="91"/>
      <w:bookmarkEnd w:id="92"/>
      <w:bookmarkEnd w:id="93"/>
      <w:r>
        <w:rPr>
          <w:rFonts w:hint="eastAsia" w:ascii="宋体" w:hAnsi="宋体" w:eastAsia="宋体" w:cs="宋体"/>
          <w:b/>
          <w:bCs/>
          <w:color w:val="auto"/>
          <w:kern w:val="2"/>
          <w:sz w:val="24"/>
          <w:szCs w:val="24"/>
          <w:highlight w:val="none"/>
          <w:lang w:val="hr-HR" w:eastAsia="zh-CN" w:bidi="ar-SA"/>
        </w:rPr>
        <w:t>【如政采云平台信息内容更新，按最新内容自行修改】</w:t>
      </w:r>
      <w:bookmarkEnd w:id="94"/>
      <w:bookmarkEnd w:id="95"/>
      <w:bookmarkEnd w:id="96"/>
      <w:bookmarkEnd w:id="97"/>
    </w:p>
    <w:p w14:paraId="743BCBD0">
      <w:pPr>
        <w:pStyle w:val="37"/>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1、本项目实行网上投标，采用电子投标文件；</w:t>
      </w:r>
    </w:p>
    <w:p w14:paraId="1175B44A">
      <w:pPr>
        <w:pStyle w:val="37"/>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2、各投标人应在开标前应确保成为政采云平台供应商，并完成CA数字证书（符合国密标准）申领。因未注册入库、未办理CA数字证书等原因造成无法投标或投标失败等后果由投标人自行承担。有意向参与</w:t>
      </w:r>
      <w:r>
        <w:rPr>
          <w:rFonts w:hint="eastAsia" w:cs="宋体"/>
          <w:color w:val="auto"/>
          <w:sz w:val="24"/>
          <w:szCs w:val="24"/>
          <w:highlight w:val="none"/>
          <w:lang w:val="en-US" w:eastAsia="zh-CN"/>
        </w:rPr>
        <w:t>新疆</w:t>
      </w:r>
      <w:r>
        <w:rPr>
          <w:rFonts w:hint="eastAsia" w:ascii="宋体" w:hAnsi="宋体" w:eastAsia="宋体" w:cs="宋体"/>
          <w:color w:val="auto"/>
          <w:sz w:val="24"/>
          <w:szCs w:val="24"/>
          <w:highlight w:val="none"/>
          <w:lang w:val="en-US" w:eastAsia="zh-CN"/>
        </w:rPr>
        <w:t>区域电子开评标的投标人，可访问</w:t>
      </w:r>
      <w:r>
        <w:rPr>
          <w:rFonts w:hint="eastAsia" w:cs="宋体"/>
          <w:color w:val="auto"/>
          <w:sz w:val="24"/>
          <w:szCs w:val="24"/>
          <w:highlight w:val="none"/>
          <w:lang w:val="en-US" w:eastAsia="zh-CN"/>
        </w:rPr>
        <w:t>新疆</w:t>
      </w:r>
      <w:r>
        <w:rPr>
          <w:rFonts w:hint="eastAsia" w:ascii="宋体" w:hAnsi="宋体" w:eastAsia="宋体" w:cs="宋体"/>
          <w:color w:val="auto"/>
          <w:sz w:val="24"/>
          <w:szCs w:val="24"/>
          <w:highlight w:val="none"/>
          <w:lang w:val="en-US" w:eastAsia="zh-CN"/>
        </w:rPr>
        <w:t>政府采购网-办事指南-操作指南-CA证书办理操作指南自行进行申领。</w:t>
      </w:r>
    </w:p>
    <w:p w14:paraId="34AAF104">
      <w:pPr>
        <w:pStyle w:val="37"/>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3、投标人将政采云电子交易客户端下载、安装完成后，可通过账号密码或CA登录客户端进行投标文件的制作。在使用政采云</w:t>
      </w:r>
      <w:r>
        <w:rPr>
          <w:rFonts w:hint="eastAsia"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投标客户端</w:t>
      </w:r>
      <w:r>
        <w:rPr>
          <w:rFonts w:hint="eastAsia"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时，建议使用WIN7（64位）及以上操作系统。客户端请至</w:t>
      </w:r>
      <w:r>
        <w:rPr>
          <w:rFonts w:hint="eastAsia" w:cs="宋体"/>
          <w:color w:val="auto"/>
          <w:sz w:val="24"/>
          <w:szCs w:val="24"/>
          <w:highlight w:val="none"/>
          <w:lang w:val="en-US" w:eastAsia="zh-CN"/>
        </w:rPr>
        <w:t>新疆</w:t>
      </w:r>
      <w:r>
        <w:rPr>
          <w:rFonts w:hint="eastAsia" w:ascii="宋体" w:hAnsi="宋体" w:eastAsia="宋体" w:cs="宋体"/>
          <w:color w:val="auto"/>
          <w:sz w:val="24"/>
          <w:szCs w:val="24"/>
          <w:highlight w:val="none"/>
          <w:lang w:val="en-US" w:eastAsia="zh-CN"/>
        </w:rPr>
        <w:t>政府采购网下载专区查看，如有问题可拨打政采云客户服务热线95763进行咨询。如因投标人自身原因导致在规定时间内无法正常解密的（如：浏览器故障、未安装相关驱动、网络故障、加密CA与解密CA不一致等），视为投标人自动弃标。</w:t>
      </w:r>
    </w:p>
    <w:bookmarkEnd w:id="2"/>
    <w:bookmarkEnd w:id="98"/>
    <w:bookmarkEnd w:id="99"/>
    <w:bookmarkEnd w:id="100"/>
    <w:bookmarkEnd w:id="101"/>
    <w:p w14:paraId="723251BD">
      <w:pPr>
        <w:pStyle w:val="3"/>
        <w:keepNext/>
        <w:keepLines/>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420" w:leftChars="0" w:hanging="420" w:firstLineChars="0"/>
        <w:textAlignment w:val="auto"/>
        <w:rPr>
          <w:rFonts w:hint="eastAsia" w:ascii="宋体" w:hAnsi="宋体" w:eastAsia="宋体" w:cs="宋体"/>
          <w:b/>
          <w:bCs/>
          <w:color w:val="auto"/>
          <w:kern w:val="2"/>
          <w:sz w:val="24"/>
          <w:szCs w:val="24"/>
          <w:highlight w:val="none"/>
          <w:lang w:val="hr-HR" w:eastAsia="zh-CN" w:bidi="ar-SA"/>
        </w:rPr>
      </w:pPr>
      <w:bookmarkStart w:id="102" w:name="_Toc28359095"/>
      <w:bookmarkStart w:id="103" w:name="_Toc28359018"/>
      <w:bookmarkStart w:id="104" w:name="_Toc35393805"/>
      <w:bookmarkStart w:id="105" w:name="_Toc109900254"/>
      <w:bookmarkStart w:id="106" w:name="_Toc155185866"/>
      <w:bookmarkStart w:id="107" w:name="_Toc109899416"/>
      <w:bookmarkStart w:id="108" w:name="_Toc35393636"/>
      <w:bookmarkStart w:id="109" w:name="_Toc140132751"/>
      <w:bookmarkStart w:id="110" w:name="_Toc44583635"/>
      <w:bookmarkStart w:id="111" w:name="_Toc109899835"/>
      <w:bookmarkStart w:id="112" w:name="_Toc10776"/>
      <w:bookmarkStart w:id="113" w:name="_Toc17135"/>
      <w:bookmarkStart w:id="114" w:name="_Toc15605"/>
      <w:bookmarkStart w:id="115" w:name="_Toc22952"/>
      <w:r>
        <w:rPr>
          <w:rFonts w:hint="eastAsia" w:ascii="宋体" w:hAnsi="宋体" w:eastAsia="宋体" w:cs="宋体"/>
          <w:b/>
          <w:bCs/>
          <w:color w:val="auto"/>
          <w:kern w:val="2"/>
          <w:sz w:val="24"/>
          <w:szCs w:val="24"/>
          <w:highlight w:val="none"/>
          <w:lang w:val="en-US" w:eastAsia="zh-CN" w:bidi="ar-SA"/>
        </w:rPr>
        <w:t>七、</w:t>
      </w:r>
      <w:bookmarkEnd w:id="102"/>
      <w:bookmarkEnd w:id="103"/>
      <w:bookmarkEnd w:id="104"/>
      <w:bookmarkEnd w:id="105"/>
      <w:bookmarkEnd w:id="106"/>
      <w:bookmarkEnd w:id="107"/>
      <w:bookmarkEnd w:id="108"/>
      <w:bookmarkEnd w:id="109"/>
      <w:bookmarkEnd w:id="110"/>
      <w:bookmarkEnd w:id="111"/>
      <w:r>
        <w:rPr>
          <w:rFonts w:hint="eastAsia" w:ascii="宋体" w:hAnsi="宋体" w:eastAsia="宋体" w:cs="宋体"/>
          <w:b/>
          <w:bCs/>
          <w:color w:val="auto"/>
          <w:kern w:val="2"/>
          <w:sz w:val="24"/>
          <w:szCs w:val="24"/>
          <w:highlight w:val="none"/>
          <w:lang w:val="hr-HR" w:eastAsia="zh-CN" w:bidi="ar-SA"/>
        </w:rPr>
        <w:t>对本次</w:t>
      </w:r>
      <w:r>
        <w:rPr>
          <w:rFonts w:hint="eastAsia" w:ascii="宋体" w:hAnsi="宋体" w:eastAsia="宋体" w:cs="宋体"/>
          <w:b/>
          <w:bCs/>
          <w:color w:val="auto"/>
          <w:kern w:val="2"/>
          <w:sz w:val="24"/>
          <w:szCs w:val="24"/>
          <w:highlight w:val="none"/>
          <w:lang w:val="en-US" w:eastAsia="zh-CN" w:bidi="ar-SA"/>
        </w:rPr>
        <w:t>招标</w:t>
      </w:r>
      <w:r>
        <w:rPr>
          <w:rFonts w:hint="eastAsia" w:ascii="宋体" w:hAnsi="宋体" w:eastAsia="宋体" w:cs="宋体"/>
          <w:b/>
          <w:bCs/>
          <w:color w:val="auto"/>
          <w:kern w:val="2"/>
          <w:sz w:val="24"/>
          <w:szCs w:val="24"/>
          <w:highlight w:val="none"/>
          <w:lang w:val="hr-HR" w:eastAsia="zh-CN" w:bidi="ar-SA"/>
        </w:rPr>
        <w:t>提出询问，请按以下方式联系</w:t>
      </w:r>
      <w:bookmarkEnd w:id="112"/>
      <w:bookmarkEnd w:id="113"/>
      <w:bookmarkEnd w:id="114"/>
      <w:bookmarkEnd w:id="115"/>
    </w:p>
    <w:p w14:paraId="6885C635">
      <w:pPr>
        <w:keepNext w:val="0"/>
        <w:keepLines w:val="0"/>
        <w:pageBreakBefore w:val="0"/>
        <w:widowControl/>
        <w:kinsoku/>
        <w:wordWrap/>
        <w:overflowPunct/>
        <w:topLinePunct w:val="0"/>
        <w:autoSpaceDE/>
        <w:autoSpaceDN/>
        <w:bidi w:val="0"/>
        <w:adjustRightInd/>
        <w:snapToGrid/>
        <w:spacing w:line="380" w:lineRule="exact"/>
        <w:ind w:firstLine="480" w:firstLineChars="200"/>
        <w:textAlignment w:val="auto"/>
        <w:rPr>
          <w:rFonts w:hint="eastAsia" w:ascii="宋体" w:hAnsi="宋体" w:cs="宋体"/>
          <w:color w:val="auto"/>
          <w:sz w:val="24"/>
        </w:rPr>
      </w:pPr>
      <w:bookmarkStart w:id="116" w:name="_Toc35393808"/>
      <w:bookmarkStart w:id="117" w:name="_Toc28359098"/>
      <w:bookmarkStart w:id="118" w:name="_Toc35393639"/>
      <w:bookmarkStart w:id="119" w:name="_Toc28359021"/>
      <w:r>
        <w:rPr>
          <w:rFonts w:hint="eastAsia" w:ascii="宋体" w:hAnsi="宋体" w:eastAsia="宋体" w:cs="宋体"/>
          <w:sz w:val="24"/>
          <w:szCs w:val="24"/>
          <w:u w:val="none"/>
          <w:lang w:val="en-US" w:eastAsia="zh-CN"/>
        </w:rPr>
        <w:t>1</w:t>
      </w:r>
      <w:r>
        <w:rPr>
          <w:rFonts w:hint="eastAsia" w:ascii="宋体" w:hAnsi="宋体" w:eastAsia="宋体" w:cs="宋体"/>
          <w:sz w:val="24"/>
          <w:szCs w:val="24"/>
          <w:u w:val="none"/>
        </w:rPr>
        <w:t>、采购人名称：</w:t>
      </w:r>
      <w:r>
        <w:rPr>
          <w:rFonts w:hint="eastAsia" w:ascii="宋体" w:hAnsi="宋体" w:cs="宋体"/>
          <w:color w:val="auto"/>
          <w:sz w:val="24"/>
        </w:rPr>
        <w:t>伊犁哈萨克自治州妇幼保健院</w:t>
      </w:r>
    </w:p>
    <w:p w14:paraId="77B52693">
      <w:pPr>
        <w:keepNext w:val="0"/>
        <w:keepLines w:val="0"/>
        <w:pageBreakBefore w:val="0"/>
        <w:widowControl/>
        <w:numPr>
          <w:ilvl w:val="0"/>
          <w:numId w:val="0"/>
        </w:numPr>
        <w:kinsoku/>
        <w:wordWrap/>
        <w:overflowPunct/>
        <w:topLinePunct w:val="0"/>
        <w:autoSpaceDE/>
        <w:autoSpaceDN/>
        <w:bidi w:val="0"/>
        <w:adjustRightInd/>
        <w:snapToGrid/>
        <w:spacing w:line="380" w:lineRule="exact"/>
        <w:ind w:firstLine="480" w:firstLineChars="200"/>
        <w:textAlignment w:val="auto"/>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联 系 人：闫华江</w:t>
      </w:r>
    </w:p>
    <w:p w14:paraId="032EC4AA">
      <w:pPr>
        <w:keepNext w:val="0"/>
        <w:keepLines w:val="0"/>
        <w:pageBreakBefore w:val="0"/>
        <w:widowControl/>
        <w:numPr>
          <w:ilvl w:val="0"/>
          <w:numId w:val="0"/>
        </w:numPr>
        <w:kinsoku/>
        <w:wordWrap/>
        <w:overflowPunct/>
        <w:topLinePunct w:val="0"/>
        <w:autoSpaceDE/>
        <w:autoSpaceDN/>
        <w:bidi w:val="0"/>
        <w:adjustRightInd/>
        <w:snapToGrid/>
        <w:spacing w:line="380" w:lineRule="exact"/>
        <w:ind w:firstLine="480" w:firstLineChars="200"/>
        <w:textAlignment w:val="auto"/>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联系电话：18997599676</w:t>
      </w:r>
    </w:p>
    <w:p w14:paraId="29CC9978">
      <w:pPr>
        <w:keepNext w:val="0"/>
        <w:keepLines w:val="0"/>
        <w:pageBreakBefore w:val="0"/>
        <w:widowControl/>
        <w:kinsoku/>
        <w:wordWrap/>
        <w:overflowPunct/>
        <w:topLinePunct w:val="0"/>
        <w:autoSpaceDE/>
        <w:autoSpaceDN/>
        <w:bidi w:val="0"/>
        <w:adjustRightInd/>
        <w:snapToGrid/>
        <w:spacing w:line="380" w:lineRule="exact"/>
        <w:ind w:firstLine="480" w:firstLineChars="200"/>
        <w:textAlignment w:val="auto"/>
        <w:rPr>
          <w:rFonts w:hint="eastAsia" w:ascii="宋体" w:hAnsi="宋体" w:eastAsia="宋体" w:cs="宋体"/>
          <w:sz w:val="24"/>
          <w:szCs w:val="24"/>
          <w:u w:val="none"/>
        </w:rPr>
      </w:pPr>
      <w:r>
        <w:rPr>
          <w:rFonts w:hint="eastAsia" w:ascii="宋体" w:hAnsi="宋体" w:eastAsia="宋体" w:cs="宋体"/>
          <w:sz w:val="24"/>
          <w:szCs w:val="24"/>
          <w:u w:val="none"/>
          <w:lang w:val="en-US" w:eastAsia="zh-CN"/>
        </w:rPr>
        <w:t>2</w:t>
      </w:r>
      <w:r>
        <w:rPr>
          <w:rFonts w:hint="eastAsia" w:ascii="宋体" w:hAnsi="宋体" w:eastAsia="宋体" w:cs="宋体"/>
          <w:sz w:val="24"/>
          <w:szCs w:val="24"/>
          <w:u w:val="none"/>
        </w:rPr>
        <w:t>、采购代理机构名称：</w:t>
      </w:r>
      <w:r>
        <w:rPr>
          <w:rFonts w:hint="eastAsia" w:ascii="宋体" w:hAnsi="宋体" w:eastAsia="宋体" w:cs="宋体"/>
          <w:sz w:val="24"/>
          <w:szCs w:val="24"/>
          <w:u w:val="none"/>
          <w:lang w:eastAsia="zh-CN"/>
        </w:rPr>
        <w:t>新疆星世豪项目管理有限公司</w:t>
      </w:r>
      <w:r>
        <w:rPr>
          <w:rFonts w:hint="eastAsia" w:ascii="宋体" w:hAnsi="宋体" w:eastAsia="宋体" w:cs="宋体"/>
          <w:sz w:val="24"/>
          <w:szCs w:val="24"/>
          <w:u w:val="none"/>
        </w:rPr>
        <w:t> </w:t>
      </w:r>
    </w:p>
    <w:p w14:paraId="67166EC8">
      <w:pPr>
        <w:keepNext w:val="0"/>
        <w:keepLines w:val="0"/>
        <w:pageBreakBefore w:val="0"/>
        <w:widowControl/>
        <w:numPr>
          <w:ilvl w:val="0"/>
          <w:numId w:val="0"/>
        </w:numPr>
        <w:kinsoku/>
        <w:wordWrap/>
        <w:overflowPunct/>
        <w:topLinePunct w:val="0"/>
        <w:autoSpaceDE/>
        <w:autoSpaceDN/>
        <w:bidi w:val="0"/>
        <w:adjustRightInd/>
        <w:snapToGrid/>
        <w:spacing w:line="380" w:lineRule="exact"/>
        <w:ind w:firstLine="480" w:firstLineChars="200"/>
        <w:textAlignment w:val="auto"/>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联系人：辛海蓉</w:t>
      </w:r>
    </w:p>
    <w:p w14:paraId="60CB7A51">
      <w:pPr>
        <w:keepNext w:val="0"/>
        <w:keepLines w:val="0"/>
        <w:pageBreakBefore w:val="0"/>
        <w:widowControl/>
        <w:numPr>
          <w:ilvl w:val="0"/>
          <w:numId w:val="0"/>
        </w:numPr>
        <w:kinsoku/>
        <w:wordWrap/>
        <w:overflowPunct/>
        <w:topLinePunct w:val="0"/>
        <w:autoSpaceDE/>
        <w:autoSpaceDN/>
        <w:bidi w:val="0"/>
        <w:adjustRightInd/>
        <w:snapToGrid/>
        <w:spacing w:line="380" w:lineRule="exact"/>
        <w:ind w:firstLine="480" w:firstLineChars="200"/>
        <w:textAlignment w:val="auto"/>
        <w:rPr>
          <w:rFonts w:hint="default"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联系电话：18699959566</w:t>
      </w:r>
    </w:p>
    <w:p w14:paraId="3D50EAA6">
      <w:pPr>
        <w:pStyle w:val="37"/>
        <w:keepNext w:val="0"/>
        <w:keepLines w:val="0"/>
        <w:pageBreakBefore w:val="0"/>
        <w:widowControl w:val="0"/>
        <w:kinsoku/>
        <w:wordWrap w:val="0"/>
        <w:overflowPunct/>
        <w:topLinePunct w:val="0"/>
        <w:autoSpaceDE/>
        <w:autoSpaceDN/>
        <w:bidi w:val="0"/>
        <w:adjustRightInd/>
        <w:snapToGrid/>
        <w:spacing w:line="360" w:lineRule="auto"/>
        <w:ind w:firstLine="482"/>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项目联系方式</w:t>
      </w:r>
    </w:p>
    <w:bookmarkEnd w:id="116"/>
    <w:bookmarkEnd w:id="117"/>
    <w:bookmarkEnd w:id="118"/>
    <w:bookmarkEnd w:id="119"/>
    <w:p w14:paraId="25305AE1">
      <w:pPr>
        <w:keepNext w:val="0"/>
        <w:keepLines w:val="0"/>
        <w:pageBreakBefore w:val="0"/>
        <w:widowControl/>
        <w:numPr>
          <w:ilvl w:val="0"/>
          <w:numId w:val="0"/>
        </w:numPr>
        <w:kinsoku/>
        <w:wordWrap/>
        <w:overflowPunct/>
        <w:topLinePunct w:val="0"/>
        <w:autoSpaceDE/>
        <w:autoSpaceDN/>
        <w:bidi w:val="0"/>
        <w:adjustRightInd/>
        <w:snapToGrid/>
        <w:spacing w:line="380" w:lineRule="exact"/>
        <w:ind w:firstLine="480" w:firstLineChars="200"/>
        <w:textAlignment w:val="auto"/>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项目联系人：辛海蓉</w:t>
      </w:r>
    </w:p>
    <w:p w14:paraId="2786536D">
      <w:pPr>
        <w:keepNext w:val="0"/>
        <w:keepLines w:val="0"/>
        <w:pageBreakBefore w:val="0"/>
        <w:widowControl/>
        <w:numPr>
          <w:ilvl w:val="0"/>
          <w:numId w:val="0"/>
        </w:numPr>
        <w:kinsoku/>
        <w:wordWrap/>
        <w:overflowPunct/>
        <w:topLinePunct w:val="0"/>
        <w:autoSpaceDE/>
        <w:autoSpaceDN/>
        <w:bidi w:val="0"/>
        <w:adjustRightInd/>
        <w:snapToGrid/>
        <w:spacing w:line="380" w:lineRule="exact"/>
        <w:ind w:firstLine="480" w:firstLineChars="200"/>
        <w:textAlignment w:val="auto"/>
        <w:rPr>
          <w:rFonts w:hint="default"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联系电话：18699959566</w:t>
      </w:r>
    </w:p>
    <w:p w14:paraId="004B3597">
      <w:pPr>
        <w:pageBreakBefore w:val="0"/>
        <w:widowControl w:val="0"/>
        <w:kinsoku/>
        <w:overflowPunct/>
        <w:topLinePunct w:val="0"/>
        <w:autoSpaceDE/>
        <w:autoSpaceDN/>
        <w:bidi w:val="0"/>
        <w:adjustRightInd/>
        <w:snapToGrid/>
        <w:spacing w:line="360" w:lineRule="auto"/>
        <w:textAlignment w:val="auto"/>
        <w:rPr>
          <w:rFonts w:hint="eastAsia" w:ascii="宋体" w:hAnsi="宋体" w:eastAsia="宋体" w:cs="宋体"/>
          <w:color w:val="auto"/>
          <w:sz w:val="24"/>
          <w:highlight w:val="none"/>
        </w:rPr>
        <w:sectPr>
          <w:footerReference r:id="rId7" w:type="default"/>
          <w:pgSz w:w="11906" w:h="16838"/>
          <w:pgMar w:top="1440" w:right="1800" w:bottom="1440" w:left="1800" w:header="851" w:footer="992" w:gutter="0"/>
          <w:pgBorders>
            <w:top w:val="none" w:sz="0" w:space="0"/>
            <w:left w:val="none" w:sz="0" w:space="0"/>
            <w:bottom w:val="none" w:sz="0" w:space="0"/>
            <w:right w:val="none" w:sz="0" w:space="0"/>
          </w:pgBorders>
          <w:pgNumType w:fmt="numberInDash" w:start="1"/>
          <w:cols w:space="425" w:num="1"/>
          <w:docGrid w:type="lines" w:linePitch="312" w:charSpace="0"/>
        </w:sectPr>
      </w:pPr>
    </w:p>
    <w:p w14:paraId="6A56ADB8">
      <w:pPr>
        <w:pStyle w:val="2"/>
        <w:keepNext/>
        <w:keepLines/>
        <w:pageBreakBefore w:val="0"/>
        <w:widowControl w:val="0"/>
        <w:numPr>
          <w:ilvl w:val="0"/>
          <w:numId w:val="0"/>
        </w:numPr>
        <w:kinsoku/>
        <w:wordWrap/>
        <w:overflowPunct/>
        <w:topLinePunct w:val="0"/>
        <w:autoSpaceDE/>
        <w:autoSpaceDN/>
        <w:bidi w:val="0"/>
        <w:adjustRightInd/>
        <w:snapToGrid/>
        <w:spacing w:before="220" w:after="220" w:line="360" w:lineRule="auto"/>
        <w:ind w:left="420" w:leftChars="0" w:hanging="420" w:firstLineChars="0"/>
        <w:textAlignment w:val="auto"/>
        <w:rPr>
          <w:rFonts w:hint="eastAsia" w:ascii="宋体" w:hAnsi="宋体" w:eastAsia="宋体" w:cs="宋体"/>
          <w:b/>
          <w:bCs/>
          <w:color w:val="auto"/>
          <w:kern w:val="44"/>
          <w:sz w:val="36"/>
          <w:szCs w:val="36"/>
          <w:highlight w:val="none"/>
          <w:lang w:val="en-US" w:eastAsia="zh-CN" w:bidi="ar-SA"/>
        </w:rPr>
      </w:pPr>
      <w:bookmarkStart w:id="120" w:name="_Toc155185867"/>
      <w:bookmarkStart w:id="121" w:name="_Toc26793"/>
      <w:bookmarkStart w:id="122" w:name="_Toc32500"/>
      <w:r>
        <w:rPr>
          <w:rFonts w:hint="eastAsia" w:ascii="宋体" w:hAnsi="宋体" w:eastAsia="宋体" w:cs="宋体"/>
          <w:b/>
          <w:bCs/>
          <w:color w:val="auto"/>
          <w:kern w:val="44"/>
          <w:sz w:val="36"/>
          <w:szCs w:val="36"/>
          <w:highlight w:val="none"/>
          <w:lang w:val="en-US" w:eastAsia="zh-CN" w:bidi="ar-SA"/>
        </w:rPr>
        <w:t>第二章 投标人须知</w:t>
      </w:r>
      <w:bookmarkEnd w:id="120"/>
      <w:bookmarkEnd w:id="121"/>
      <w:bookmarkEnd w:id="122"/>
    </w:p>
    <w:p w14:paraId="75B79534">
      <w:pPr>
        <w:pStyle w:val="3"/>
        <w:keepNext/>
        <w:keepLines/>
        <w:pageBreakBefore w:val="0"/>
        <w:widowControl w:val="0"/>
        <w:numPr>
          <w:ilvl w:val="0"/>
          <w:numId w:val="0"/>
        </w:numPr>
        <w:kinsoku/>
        <w:wordWrap/>
        <w:overflowPunct/>
        <w:topLinePunct w:val="0"/>
        <w:autoSpaceDE/>
        <w:autoSpaceDN/>
        <w:bidi w:val="0"/>
        <w:adjustRightInd/>
        <w:snapToGrid/>
        <w:spacing w:before="80" w:after="80" w:line="360" w:lineRule="auto"/>
        <w:ind w:left="420" w:leftChars="0" w:hanging="420" w:firstLineChars="0"/>
        <w:textAlignment w:val="auto"/>
        <w:rPr>
          <w:rFonts w:hint="eastAsia" w:eastAsia="宋体" w:asciiTheme="majorHAnsi" w:hAnsiTheme="majorHAnsi" w:cstheme="majorBidi"/>
          <w:b/>
          <w:bCs/>
          <w:color w:val="auto"/>
          <w:kern w:val="2"/>
          <w:sz w:val="28"/>
          <w:szCs w:val="28"/>
          <w:highlight w:val="none"/>
          <w:lang w:val="en-US" w:eastAsia="zh-CN" w:bidi="ar-SA"/>
        </w:rPr>
      </w:pPr>
      <w:bookmarkStart w:id="123" w:name="_Toc2970"/>
      <w:bookmarkStart w:id="124" w:name="_Toc155185868"/>
      <w:bookmarkStart w:id="125" w:name="_Toc1168"/>
      <w:r>
        <w:rPr>
          <w:rFonts w:hint="eastAsia" w:eastAsia="宋体" w:asciiTheme="majorHAnsi" w:hAnsiTheme="majorHAnsi" w:cstheme="majorBidi"/>
          <w:b/>
          <w:bCs/>
          <w:color w:val="auto"/>
          <w:kern w:val="2"/>
          <w:sz w:val="28"/>
          <w:szCs w:val="28"/>
          <w:highlight w:val="none"/>
          <w:lang w:val="en-US" w:eastAsia="zh-CN" w:bidi="ar-SA"/>
        </w:rPr>
        <w:t>一、投标人须知前附表</w:t>
      </w:r>
      <w:bookmarkEnd w:id="123"/>
      <w:bookmarkEnd w:id="124"/>
      <w:bookmarkEnd w:id="125"/>
    </w:p>
    <w:p w14:paraId="7F3ACB7A">
      <w:pPr>
        <w:pStyle w:val="37"/>
        <w:keepNext w:val="0"/>
        <w:keepLines w:val="0"/>
        <w:pageBreakBefore w:val="0"/>
        <w:widowControl w:val="0"/>
        <w:kinsoku/>
        <w:overflowPunct/>
        <w:topLinePunct w:val="0"/>
        <w:autoSpaceDE/>
        <w:autoSpaceDN/>
        <w:bidi w:val="0"/>
        <w:adjustRightInd/>
        <w:snapToGrid/>
        <w:textAlignment w:val="auto"/>
        <w:rPr>
          <w:rFonts w:hint="default" w:eastAsia="宋体"/>
          <w:color w:val="auto"/>
          <w:highlight w:val="none"/>
          <w:lang w:val="en-US" w:eastAsia="zh-CN"/>
        </w:rPr>
      </w:pPr>
      <w:r>
        <w:rPr>
          <w:rFonts w:hint="eastAsia"/>
          <w:color w:val="auto"/>
          <w:sz w:val="24"/>
          <w:szCs w:val="24"/>
          <w:highlight w:val="none"/>
        </w:rPr>
        <w:t>投标人应仔细阅读本招标文件的第二章“投标人须知”，下面所列资料是对“投标人须知”的具体补充和说明</w:t>
      </w:r>
      <w:r>
        <w:rPr>
          <w:rFonts w:hint="eastAsia"/>
          <w:color w:val="auto"/>
          <w:sz w:val="24"/>
          <w:szCs w:val="24"/>
          <w:highlight w:val="none"/>
          <w:lang w:eastAsia="zh-CN"/>
        </w:rPr>
        <w:t>，</w:t>
      </w:r>
      <w:r>
        <w:rPr>
          <w:rFonts w:hint="eastAsia"/>
          <w:color w:val="auto"/>
          <w:sz w:val="24"/>
          <w:szCs w:val="24"/>
          <w:highlight w:val="none"/>
        </w:rPr>
        <w:t>如有矛盾，应以本表为准。</w:t>
      </w:r>
      <w:r>
        <w:rPr>
          <w:rFonts w:hint="eastAsia"/>
          <w:color w:val="auto"/>
          <w:sz w:val="24"/>
          <w:szCs w:val="24"/>
          <w:highlight w:val="none"/>
          <w:lang w:val="en-US" w:eastAsia="zh-CN"/>
        </w:rPr>
        <w:t>标记“</w:t>
      </w:r>
      <w:r>
        <w:rPr>
          <w:rFonts w:hint="eastAsia" w:ascii="宋体" w:hAnsi="宋体" w:eastAsia="宋体"/>
          <w:color w:val="auto"/>
          <w:sz w:val="24"/>
          <w:szCs w:val="24"/>
          <w:highlight w:val="none"/>
          <w:lang w:val="en-US" w:eastAsia="zh-CN"/>
        </w:rPr>
        <w:t>☑”的选项意为适用于本项目，标记“□”的选项意为不适用于本项目</w:t>
      </w:r>
      <w:r>
        <w:rPr>
          <w:rFonts w:hint="eastAsia" w:ascii="宋体" w:hAnsi="宋体" w:eastAsia="宋体"/>
          <w:color w:val="auto"/>
          <w:highlight w:val="none"/>
          <w:lang w:val="en-US" w:eastAsia="zh-CN"/>
        </w:rPr>
        <w:t>。</w:t>
      </w:r>
    </w:p>
    <w:tbl>
      <w:tblPr>
        <w:tblStyle w:val="29"/>
        <w:tblW w:w="9408" w:type="dxa"/>
        <w:tblInd w:w="-352"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57" w:type="dxa"/>
          <w:left w:w="108" w:type="dxa"/>
          <w:bottom w:w="57" w:type="dxa"/>
          <w:right w:w="108" w:type="dxa"/>
        </w:tblCellMar>
      </w:tblPr>
      <w:tblGrid>
        <w:gridCol w:w="970"/>
        <w:gridCol w:w="1738"/>
        <w:gridCol w:w="6700"/>
      </w:tblGrid>
      <w:tr w14:paraId="1B64B25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373" w:hRule="atLeast"/>
          <w:tblHeader/>
        </w:trPr>
        <w:tc>
          <w:tcPr>
            <w:tcW w:w="970"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4C4440DB">
            <w:pPr>
              <w:pStyle w:val="49"/>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条款号</w:t>
            </w:r>
          </w:p>
        </w:tc>
        <w:tc>
          <w:tcPr>
            <w:tcW w:w="1738"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0B9EABEB">
            <w:pPr>
              <w:pStyle w:val="49"/>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条款名称</w:t>
            </w:r>
          </w:p>
        </w:tc>
        <w:tc>
          <w:tcPr>
            <w:tcW w:w="6700"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5C7B3B70">
            <w:pPr>
              <w:pStyle w:val="49"/>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内  容</w:t>
            </w:r>
          </w:p>
        </w:tc>
      </w:tr>
      <w:tr w14:paraId="46137A4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725" w:hRule="atLeast"/>
        </w:trPr>
        <w:tc>
          <w:tcPr>
            <w:tcW w:w="970" w:type="dxa"/>
            <w:vAlign w:val="center"/>
          </w:tcPr>
          <w:p w14:paraId="60441C76">
            <w:pPr>
              <w:pStyle w:val="49"/>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2.5</w:t>
            </w:r>
          </w:p>
        </w:tc>
        <w:tc>
          <w:tcPr>
            <w:tcW w:w="1738" w:type="dxa"/>
            <w:shd w:val="clear" w:color="auto" w:fill="auto"/>
            <w:vAlign w:val="center"/>
          </w:tcPr>
          <w:p w14:paraId="3D9DB5F0">
            <w:pPr>
              <w:pStyle w:val="4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服务包含的内容</w:t>
            </w:r>
          </w:p>
        </w:tc>
        <w:tc>
          <w:tcPr>
            <w:tcW w:w="6700" w:type="dxa"/>
            <w:shd w:val="clear" w:color="auto" w:fill="auto"/>
            <w:vAlign w:val="center"/>
          </w:tcPr>
          <w:p w14:paraId="00234006">
            <w:pPr>
              <w:pStyle w:val="49"/>
              <w:rPr>
                <w:rFonts w:hint="eastAsia" w:ascii="宋体" w:hAnsi="宋体" w:eastAsia="宋体" w:cs="宋体"/>
                <w:color w:val="auto"/>
                <w:sz w:val="24"/>
                <w:szCs w:val="24"/>
                <w:highlight w:val="none"/>
                <w:lang w:val="en-US" w:eastAsia="zh-CN"/>
              </w:rPr>
            </w:pPr>
            <w:r>
              <w:rPr>
                <w:rFonts w:hint="eastAsia"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主要内容：</w:t>
            </w:r>
            <w:r>
              <w:rPr>
                <w:rFonts w:hint="eastAsia" w:cs="宋体"/>
                <w:color w:val="auto"/>
                <w:sz w:val="24"/>
                <w:szCs w:val="24"/>
                <w:highlight w:val="none"/>
                <w:u w:val="single"/>
                <w:lang w:val="en-US" w:eastAsia="zh-CN"/>
              </w:rPr>
              <w:t>采购</w:t>
            </w:r>
            <w:r>
              <w:rPr>
                <w:rFonts w:hint="eastAsia" w:ascii="宋体" w:hAnsi="宋体" w:eastAsia="宋体" w:cs="宋体"/>
                <w:color w:val="auto"/>
                <w:sz w:val="24"/>
                <w:szCs w:val="24"/>
                <w:highlight w:val="none"/>
                <w:u w:val="single"/>
                <w:lang w:val="en-US" w:eastAsia="zh-CN"/>
              </w:rPr>
              <w:t xml:space="preserve">洗涤外包服务2年 </w:t>
            </w:r>
            <w:r>
              <w:rPr>
                <w:rFonts w:hint="eastAsia" w:ascii="宋体" w:hAnsi="宋体" w:eastAsia="宋体" w:cs="宋体"/>
                <w:color w:val="auto"/>
                <w:sz w:val="24"/>
                <w:szCs w:val="24"/>
                <w:highlight w:val="none"/>
                <w:lang w:val="en-US" w:eastAsia="zh-CN"/>
              </w:rPr>
              <w:t>。</w:t>
            </w:r>
          </w:p>
          <w:p w14:paraId="15D5290A">
            <w:pPr>
              <w:pStyle w:val="49"/>
              <w:rPr>
                <w:rFonts w:hint="eastAsia" w:ascii="宋体" w:hAnsi="宋体" w:eastAsia="宋体" w:cs="宋体"/>
                <w:color w:val="auto"/>
                <w:kern w:val="2"/>
                <w:sz w:val="24"/>
                <w:szCs w:val="24"/>
                <w:highlight w:val="none"/>
                <w:lang w:val="en-US" w:eastAsia="zh-CN" w:bidi="ar-SA"/>
              </w:rPr>
            </w:pPr>
            <w:r>
              <w:rPr>
                <w:rFonts w:hint="eastAsia"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其他内容：</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w:t>
            </w:r>
          </w:p>
        </w:tc>
      </w:tr>
      <w:tr w14:paraId="25C4682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1288" w:hRule="atLeast"/>
        </w:trPr>
        <w:tc>
          <w:tcPr>
            <w:tcW w:w="970" w:type="dxa"/>
            <w:vAlign w:val="center"/>
          </w:tcPr>
          <w:p w14:paraId="3A136892">
            <w:pPr>
              <w:pStyle w:val="49"/>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9.1</w:t>
            </w:r>
          </w:p>
        </w:tc>
        <w:tc>
          <w:tcPr>
            <w:tcW w:w="1738" w:type="dxa"/>
            <w:vAlign w:val="center"/>
          </w:tcPr>
          <w:p w14:paraId="117C18AE">
            <w:pPr>
              <w:pStyle w:val="49"/>
              <w:rPr>
                <w:rFonts w:hint="eastAsia" w:ascii="宋体" w:hAnsi="宋体" w:eastAsia="宋体" w:cs="宋体"/>
                <w:color w:val="auto"/>
                <w:sz w:val="24"/>
                <w:szCs w:val="24"/>
                <w:highlight w:val="none"/>
              </w:rPr>
            </w:pPr>
            <w:bookmarkStart w:id="126" w:name="_Hlk143529175"/>
            <w:r>
              <w:rPr>
                <w:rFonts w:hint="eastAsia" w:ascii="宋体" w:hAnsi="宋体" w:eastAsia="宋体" w:cs="宋体"/>
                <w:color w:val="auto"/>
                <w:sz w:val="24"/>
                <w:szCs w:val="24"/>
                <w:highlight w:val="none"/>
              </w:rPr>
              <w:t>现场考察</w:t>
            </w:r>
            <w:bookmarkEnd w:id="126"/>
          </w:p>
        </w:tc>
        <w:tc>
          <w:tcPr>
            <w:tcW w:w="6700" w:type="dxa"/>
            <w:vAlign w:val="center"/>
          </w:tcPr>
          <w:p w14:paraId="36549596">
            <w:pPr>
              <w:pStyle w:val="4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sym w:font="Wingdings" w:char="00FE"/>
            </w:r>
            <w:r>
              <w:rPr>
                <w:rFonts w:hint="eastAsia" w:ascii="宋体" w:hAnsi="宋体" w:eastAsia="宋体" w:cs="宋体"/>
                <w:color w:val="auto"/>
                <w:sz w:val="24"/>
                <w:szCs w:val="24"/>
                <w:highlight w:val="none"/>
              </w:rPr>
              <w:t>不组织，投标人自行前往</w:t>
            </w:r>
            <w:r>
              <w:rPr>
                <w:rFonts w:hint="eastAsia" w:ascii="宋体" w:hAnsi="宋体" w:eastAsia="宋体" w:cs="宋体"/>
                <w:color w:val="auto"/>
                <w:sz w:val="24"/>
                <w:szCs w:val="24"/>
                <w:highlight w:val="none"/>
                <w:lang w:eastAsia="zh-CN"/>
              </w:rPr>
              <w:t>。</w:t>
            </w:r>
          </w:p>
          <w:p w14:paraId="70F71951">
            <w:pPr>
              <w:pStyle w:val="4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组织</w:t>
            </w:r>
          </w:p>
          <w:p w14:paraId="0A578DA1">
            <w:pPr>
              <w:pStyle w:val="49"/>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时间：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6FE8AF39">
            <w:pPr>
              <w:pStyle w:val="49"/>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地点：</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tc>
      </w:tr>
      <w:tr w14:paraId="1938D8F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1324" w:hRule="atLeast"/>
        </w:trPr>
        <w:tc>
          <w:tcPr>
            <w:tcW w:w="970" w:type="dxa"/>
            <w:shd w:val="clear" w:color="auto" w:fill="auto"/>
            <w:vAlign w:val="center"/>
          </w:tcPr>
          <w:p w14:paraId="72B7B10E">
            <w:pPr>
              <w:pStyle w:val="49"/>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9.5</w:t>
            </w:r>
          </w:p>
        </w:tc>
        <w:tc>
          <w:tcPr>
            <w:tcW w:w="1738" w:type="dxa"/>
            <w:shd w:val="clear" w:color="auto" w:fill="auto"/>
            <w:vAlign w:val="center"/>
          </w:tcPr>
          <w:p w14:paraId="52021959">
            <w:pPr>
              <w:pStyle w:val="4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答疑会</w:t>
            </w:r>
          </w:p>
        </w:tc>
        <w:tc>
          <w:tcPr>
            <w:tcW w:w="6700" w:type="dxa"/>
            <w:shd w:val="clear" w:color="auto" w:fill="auto"/>
            <w:vAlign w:val="center"/>
          </w:tcPr>
          <w:p w14:paraId="632E2EEB">
            <w:pPr>
              <w:pStyle w:val="4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sym w:font="Wingdings" w:char="00FE"/>
            </w:r>
            <w:r>
              <w:rPr>
                <w:rFonts w:hint="eastAsia" w:ascii="宋体" w:hAnsi="宋体" w:eastAsia="宋体" w:cs="宋体"/>
                <w:color w:val="auto"/>
                <w:sz w:val="24"/>
                <w:szCs w:val="24"/>
                <w:highlight w:val="none"/>
              </w:rPr>
              <w:t>不组织</w:t>
            </w:r>
          </w:p>
          <w:p w14:paraId="6646290B">
            <w:pPr>
              <w:pStyle w:val="4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组织</w:t>
            </w:r>
          </w:p>
          <w:p w14:paraId="7A836479">
            <w:pPr>
              <w:pStyle w:val="49"/>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时间：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28CC81D0">
            <w:pPr>
              <w:pStyle w:val="49"/>
              <w:ind w:firstLine="240" w:firstLineChars="1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地点：</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tc>
      </w:tr>
      <w:tr w14:paraId="58EAFCE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vAlign w:val="center"/>
          </w:tcPr>
          <w:p w14:paraId="09017C90">
            <w:pPr>
              <w:pStyle w:val="49"/>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.1</w:t>
            </w:r>
          </w:p>
        </w:tc>
        <w:tc>
          <w:tcPr>
            <w:tcW w:w="1738" w:type="dxa"/>
            <w:vAlign w:val="center"/>
          </w:tcPr>
          <w:p w14:paraId="14B3667D">
            <w:pPr>
              <w:pStyle w:val="4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询问</w:t>
            </w:r>
          </w:p>
        </w:tc>
        <w:tc>
          <w:tcPr>
            <w:tcW w:w="6700" w:type="dxa"/>
            <w:vAlign w:val="center"/>
          </w:tcPr>
          <w:p w14:paraId="28DF44F8">
            <w:pPr>
              <w:pStyle w:val="4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方式：</w:t>
            </w:r>
            <w:r>
              <w:rPr>
                <w:rFonts w:hint="eastAsia" w:ascii="宋体" w:hAnsi="宋体" w:eastAsia="宋体" w:cs="宋体"/>
                <w:color w:val="auto"/>
                <w:sz w:val="24"/>
                <w:szCs w:val="24"/>
                <w:highlight w:val="none"/>
                <w:u w:val="single"/>
              </w:rPr>
              <w:t>在供应商客户端中按照格式填写询问函，并在生成询问函后加盖电子印章提交；其他询问方式：通过电话或者电子邮箱联系（联系电话：</w:t>
            </w:r>
            <w:r>
              <w:rPr>
                <w:rFonts w:hint="eastAsia" w:cs="宋体"/>
                <w:color w:val="auto"/>
                <w:sz w:val="24"/>
                <w:szCs w:val="24"/>
                <w:highlight w:val="none"/>
                <w:u w:val="single"/>
                <w:lang w:val="en-US" w:eastAsia="zh-CN"/>
              </w:rPr>
              <w:t>18699959566</w:t>
            </w:r>
            <w:r>
              <w:rPr>
                <w:rFonts w:hint="eastAsia" w:ascii="宋体" w:hAnsi="宋体" w:eastAsia="宋体" w:cs="宋体"/>
                <w:color w:val="auto"/>
                <w:sz w:val="24"/>
                <w:szCs w:val="24"/>
                <w:highlight w:val="none"/>
                <w:u w:val="single"/>
              </w:rPr>
              <w:t>电子邮箱：</w:t>
            </w:r>
            <w:r>
              <w:rPr>
                <w:rFonts w:hint="eastAsia" w:cs="宋体"/>
                <w:color w:val="auto"/>
                <w:sz w:val="24"/>
                <w:szCs w:val="24"/>
                <w:highlight w:val="none"/>
                <w:u w:val="single"/>
                <w:lang w:val="en-US" w:eastAsia="zh-CN"/>
              </w:rPr>
              <w:t>1531131030</w:t>
            </w:r>
            <w:r>
              <w:rPr>
                <w:rFonts w:hint="eastAsia" w:ascii="宋体" w:hAnsi="宋体" w:eastAsia="宋体" w:cs="宋体"/>
                <w:color w:val="auto"/>
                <w:sz w:val="24"/>
                <w:szCs w:val="24"/>
                <w:highlight w:val="none"/>
                <w:u w:val="single"/>
              </w:rPr>
              <w:t>@qq.com ）</w:t>
            </w:r>
            <w:r>
              <w:rPr>
                <w:rFonts w:hint="eastAsia" w:ascii="宋体" w:hAnsi="宋体" w:eastAsia="宋体" w:cs="宋体"/>
                <w:color w:val="auto"/>
                <w:sz w:val="24"/>
                <w:szCs w:val="24"/>
                <w:highlight w:val="none"/>
              </w:rPr>
              <w:t>。</w:t>
            </w:r>
          </w:p>
          <w:p w14:paraId="04C562B5">
            <w:pPr>
              <w:pStyle w:val="4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时间</w:t>
            </w:r>
            <w:r>
              <w:rPr>
                <w:rFonts w:hint="eastAsia" w:ascii="宋体" w:hAnsi="宋体" w:eastAsia="宋体" w:cs="宋体"/>
                <w:color w:val="auto"/>
                <w:sz w:val="24"/>
                <w:szCs w:val="24"/>
                <w:highlight w:val="none"/>
                <w:lang w:val="en-US" w:eastAsia="zh-CN"/>
              </w:rPr>
              <w:t>要求</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u w:val="single"/>
              </w:rPr>
              <w:t>响应文件提交截止时间</w:t>
            </w:r>
            <w:r>
              <w:rPr>
                <w:rFonts w:hint="eastAsia" w:cs="宋体"/>
                <w:color w:val="auto"/>
                <w:sz w:val="24"/>
                <w:szCs w:val="24"/>
                <w:highlight w:val="none"/>
                <w:u w:val="single"/>
                <w:lang w:val="en-US" w:eastAsia="zh-CN"/>
              </w:rPr>
              <w:t>前</w:t>
            </w:r>
            <w:r>
              <w:rPr>
                <w:rFonts w:hint="eastAsia" w:ascii="宋体" w:hAnsi="宋体" w:eastAsia="宋体" w:cs="宋体"/>
                <w:color w:val="auto"/>
                <w:sz w:val="24"/>
                <w:szCs w:val="24"/>
                <w:highlight w:val="none"/>
              </w:rPr>
              <w:t>。</w:t>
            </w:r>
          </w:p>
        </w:tc>
      </w:tr>
      <w:tr w14:paraId="67C3BC2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vAlign w:val="center"/>
          </w:tcPr>
          <w:p w14:paraId="1A104107">
            <w:pPr>
              <w:pStyle w:val="49"/>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.1</w:t>
            </w:r>
          </w:p>
        </w:tc>
        <w:tc>
          <w:tcPr>
            <w:tcW w:w="1738" w:type="dxa"/>
            <w:vAlign w:val="center"/>
          </w:tcPr>
          <w:p w14:paraId="79A1D807">
            <w:pPr>
              <w:pStyle w:val="4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投标有效期</w:t>
            </w:r>
          </w:p>
        </w:tc>
        <w:tc>
          <w:tcPr>
            <w:tcW w:w="6700" w:type="dxa"/>
            <w:vAlign w:val="center"/>
          </w:tcPr>
          <w:p w14:paraId="41DD7733">
            <w:pPr>
              <w:pStyle w:val="4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投标截止</w:t>
            </w:r>
            <w:r>
              <w:rPr>
                <w:rFonts w:hint="eastAsia" w:ascii="宋体" w:hAnsi="宋体" w:eastAsia="宋体" w:cs="宋体"/>
                <w:color w:val="auto"/>
                <w:sz w:val="24"/>
                <w:szCs w:val="24"/>
                <w:highlight w:val="none"/>
                <w:lang w:val="en-US" w:eastAsia="zh-CN"/>
              </w:rPr>
              <w:t>时间</w:t>
            </w:r>
            <w:r>
              <w:rPr>
                <w:rFonts w:hint="eastAsia" w:ascii="宋体" w:hAnsi="宋体" w:eastAsia="宋体" w:cs="宋体"/>
                <w:color w:val="auto"/>
                <w:sz w:val="24"/>
                <w:szCs w:val="24"/>
                <w:highlight w:val="none"/>
              </w:rPr>
              <w:t>后</w:t>
            </w:r>
            <w:r>
              <w:rPr>
                <w:rFonts w:hint="eastAsia" w:ascii="宋体" w:hAnsi="宋体" w:eastAsia="宋体" w:cs="宋体"/>
                <w:color w:val="auto"/>
                <w:sz w:val="24"/>
                <w:szCs w:val="24"/>
                <w:highlight w:val="none"/>
                <w:u w:val="single"/>
              </w:rPr>
              <w:t>90</w:t>
            </w:r>
            <w:r>
              <w:rPr>
                <w:rFonts w:hint="eastAsia" w:ascii="宋体" w:hAnsi="宋体" w:eastAsia="宋体" w:cs="宋体"/>
                <w:color w:val="auto"/>
                <w:sz w:val="24"/>
                <w:szCs w:val="24"/>
                <w:highlight w:val="none"/>
              </w:rPr>
              <w:t>日历日。</w:t>
            </w:r>
          </w:p>
        </w:tc>
      </w:tr>
      <w:tr w14:paraId="05426BC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vAlign w:val="center"/>
          </w:tcPr>
          <w:p w14:paraId="3DB59B05">
            <w:pPr>
              <w:pStyle w:val="49"/>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17.1</w:t>
            </w:r>
          </w:p>
        </w:tc>
        <w:tc>
          <w:tcPr>
            <w:tcW w:w="1738" w:type="dxa"/>
            <w:vAlign w:val="center"/>
          </w:tcPr>
          <w:p w14:paraId="02D54664">
            <w:pPr>
              <w:pStyle w:val="49"/>
              <w:rPr>
                <w:rFonts w:hint="eastAsia" w:ascii="宋体" w:hAnsi="宋体" w:eastAsia="宋体" w:cs="宋体"/>
                <w:color w:val="auto"/>
                <w:sz w:val="24"/>
                <w:szCs w:val="24"/>
                <w:highlight w:val="none"/>
                <w:lang w:val="en-US" w:eastAsia="zh-CN"/>
              </w:rPr>
            </w:pPr>
            <w:r>
              <w:rPr>
                <w:rFonts w:hint="eastAsia"/>
                <w:color w:val="auto"/>
                <w:kern w:val="0"/>
                <w:sz w:val="24"/>
                <w:highlight w:val="none"/>
                <w:lang w:val="en-US" w:eastAsia="zh-CN"/>
              </w:rPr>
              <w:t>投标</w:t>
            </w:r>
            <w:r>
              <w:rPr>
                <w:rFonts w:hint="eastAsia" w:ascii="宋体" w:hAnsi="宋体" w:eastAsia="宋体" w:cs="宋体"/>
                <w:color w:val="auto"/>
                <w:sz w:val="24"/>
                <w:szCs w:val="24"/>
                <w:highlight w:val="none"/>
                <w:lang w:val="en-US" w:eastAsia="zh-CN"/>
              </w:rPr>
              <w:t>保证金</w:t>
            </w:r>
          </w:p>
        </w:tc>
        <w:tc>
          <w:tcPr>
            <w:tcW w:w="6700" w:type="dxa"/>
            <w:vAlign w:val="center"/>
          </w:tcPr>
          <w:p w14:paraId="127A3BCE">
            <w:pPr>
              <w:pStyle w:val="53"/>
              <w:keepNext w:val="0"/>
              <w:keepLines w:val="0"/>
              <w:pageBreakBefore w:val="0"/>
              <w:widowControl w:val="0"/>
              <w:shd w:val="clear" w:color="auto" w:fill="auto"/>
              <w:kinsoku/>
              <w:wordWrap/>
              <w:overflowPunct/>
              <w:topLinePunct w:val="0"/>
              <w:autoSpaceDE/>
              <w:autoSpaceDN/>
              <w:bidi w:val="0"/>
              <w:adjustRightInd/>
              <w:snapToGrid/>
              <w:spacing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金额：</w:t>
            </w:r>
          </w:p>
          <w:p w14:paraId="5216F0B1">
            <w:pPr>
              <w:pStyle w:val="53"/>
              <w:keepNext w:val="0"/>
              <w:keepLines w:val="0"/>
              <w:pageBreakBefore w:val="0"/>
              <w:widowControl w:val="0"/>
              <w:shd w:val="clear" w:color="auto" w:fill="auto"/>
              <w:kinsoku/>
              <w:wordWrap/>
              <w:overflowPunct/>
              <w:topLinePunct w:val="0"/>
              <w:autoSpaceDE/>
              <w:autoSpaceDN/>
              <w:bidi w:val="0"/>
              <w:adjustRightInd/>
              <w:snapToGrid/>
              <w:spacing w:line="340" w:lineRule="exact"/>
              <w:ind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免收</w:t>
            </w:r>
          </w:p>
          <w:p w14:paraId="611DCA5A">
            <w:pPr>
              <w:pStyle w:val="53"/>
              <w:keepNext w:val="0"/>
              <w:keepLines w:val="0"/>
              <w:pageBreakBefore w:val="0"/>
              <w:widowControl w:val="0"/>
              <w:shd w:val="clear" w:color="auto" w:fill="auto"/>
              <w:kinsoku/>
              <w:wordWrap/>
              <w:overflowPunct/>
              <w:topLinePunct w:val="0"/>
              <w:autoSpaceDE/>
              <w:autoSpaceDN/>
              <w:bidi w:val="0"/>
              <w:adjustRightInd/>
              <w:snapToGrid/>
              <w:spacing w:line="340" w:lineRule="exact"/>
              <w:ind w:firstLine="240" w:firstLineChars="100"/>
              <w:textAlignment w:val="auto"/>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预算金额</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2</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eastAsia="zh-CN"/>
              </w:rPr>
              <w:t>。</w:t>
            </w:r>
          </w:p>
          <w:p w14:paraId="6AE57A74">
            <w:pPr>
              <w:pStyle w:val="53"/>
              <w:keepNext w:val="0"/>
              <w:keepLines w:val="0"/>
              <w:pageBreakBefore w:val="0"/>
              <w:widowControl w:val="0"/>
              <w:shd w:val="clear" w:color="auto" w:fill="auto"/>
              <w:kinsoku/>
              <w:wordWrap/>
              <w:overflowPunct/>
              <w:topLinePunct w:val="0"/>
              <w:autoSpaceDE/>
              <w:autoSpaceDN/>
              <w:bidi w:val="0"/>
              <w:adjustRightInd/>
              <w:snapToGrid/>
              <w:spacing w:line="340" w:lineRule="exact"/>
              <w:ind w:firstLine="240" w:firstLineChars="10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投标保证金：36000元（大写：叁万陆仟元整）</w:t>
            </w:r>
          </w:p>
          <w:p w14:paraId="5E3DBDE4">
            <w:pPr>
              <w:pStyle w:val="53"/>
              <w:keepNext w:val="0"/>
              <w:keepLines w:val="0"/>
              <w:pageBreakBefore w:val="0"/>
              <w:widowControl w:val="0"/>
              <w:shd w:val="clear" w:color="auto" w:fill="auto"/>
              <w:kinsoku/>
              <w:wordWrap/>
              <w:overflowPunct/>
              <w:topLinePunct w:val="0"/>
              <w:autoSpaceDE/>
              <w:autoSpaceDN/>
              <w:bidi w:val="0"/>
              <w:adjustRightInd/>
              <w:snapToGrid/>
              <w:spacing w:line="340" w:lineRule="exact"/>
              <w:ind w:firstLine="240" w:firstLineChars="1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定额收取：</w:t>
            </w:r>
            <w:r>
              <w:rPr>
                <w:rFonts w:hint="eastAsia" w:ascii="宋体" w:hAnsi="宋体" w:eastAsia="宋体" w:cs="宋体"/>
                <w:color w:val="auto"/>
                <w:sz w:val="24"/>
                <w:szCs w:val="24"/>
                <w:highlight w:val="none"/>
                <w:u w:val="single"/>
              </w:rPr>
              <w:t xml:space="preserve">人民币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元</w:t>
            </w:r>
            <w:r>
              <w:rPr>
                <w:rFonts w:hint="eastAsia" w:ascii="宋体" w:hAnsi="宋体" w:eastAsia="宋体" w:cs="宋体"/>
                <w:color w:val="auto"/>
                <w:sz w:val="24"/>
                <w:szCs w:val="24"/>
                <w:highlight w:val="none"/>
                <w:lang w:eastAsia="zh-CN"/>
              </w:rPr>
              <w:t>。</w:t>
            </w:r>
          </w:p>
          <w:p w14:paraId="6CB17C23">
            <w:pPr>
              <w:pStyle w:val="53"/>
              <w:keepNext w:val="0"/>
              <w:keepLines w:val="0"/>
              <w:pageBreakBefore w:val="0"/>
              <w:widowControl w:val="0"/>
              <w:shd w:val="clear" w:color="auto" w:fill="auto"/>
              <w:kinsoku/>
              <w:wordWrap/>
              <w:overflowPunct/>
              <w:topLinePunct w:val="0"/>
              <w:autoSpaceDE/>
              <w:autoSpaceDN/>
              <w:bidi w:val="0"/>
              <w:adjustRightInd/>
              <w:snapToGrid/>
              <w:spacing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支付方式：</w:t>
            </w:r>
          </w:p>
          <w:p w14:paraId="2909B0F2">
            <w:pPr>
              <w:pStyle w:val="53"/>
              <w:keepNext w:val="0"/>
              <w:keepLines w:val="0"/>
              <w:pageBreakBefore w:val="0"/>
              <w:widowControl w:val="0"/>
              <w:shd w:val="clear" w:color="auto" w:fill="auto"/>
              <w:kinsoku/>
              <w:wordWrap/>
              <w:overflowPunct/>
              <w:topLinePunct w:val="0"/>
              <w:autoSpaceDE/>
              <w:autoSpaceDN/>
              <w:bidi w:val="0"/>
              <w:adjustRightInd/>
              <w:snapToGrid/>
              <w:spacing w:line="340" w:lineRule="exact"/>
              <w:ind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供应商可自主选择以支票、汇票、本票、电汇、转账、网银、保函等非现金形式缴纳或提交保证金。</w:t>
            </w:r>
          </w:p>
          <w:p w14:paraId="7BBD0F01">
            <w:pPr>
              <w:pStyle w:val="53"/>
              <w:keepNext w:val="0"/>
              <w:keepLines w:val="0"/>
              <w:pageBreakBefore w:val="0"/>
              <w:widowControl w:val="0"/>
              <w:shd w:val="clear" w:color="auto" w:fill="auto"/>
              <w:kinsoku/>
              <w:wordWrap/>
              <w:overflowPunct/>
              <w:topLinePunct w:val="0"/>
              <w:autoSpaceDE/>
              <w:autoSpaceDN/>
              <w:bidi w:val="0"/>
              <w:adjustRightInd/>
              <w:snapToGrid/>
              <w:spacing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 xml:space="preserve">收取单位：新疆星世豪项目管理有限公司                            </w:t>
            </w:r>
          </w:p>
          <w:p w14:paraId="432BCFB8">
            <w:pPr>
              <w:pStyle w:val="53"/>
              <w:keepNext w:val="0"/>
              <w:keepLines w:val="0"/>
              <w:pageBreakBefore w:val="0"/>
              <w:widowControl w:val="0"/>
              <w:shd w:val="clear" w:color="auto" w:fill="auto"/>
              <w:kinsoku/>
              <w:wordWrap/>
              <w:overflowPunct/>
              <w:topLinePunct w:val="0"/>
              <w:autoSpaceDE/>
              <w:autoSpaceDN/>
              <w:bidi w:val="0"/>
              <w:adjustRightInd/>
              <w:snapToGrid/>
              <w:spacing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4.收取账号：</w:t>
            </w:r>
            <w:r>
              <w:rPr>
                <w:rFonts w:hint="eastAsia" w:ascii="宋体" w:hAnsi="宋体" w:cs="宋体"/>
                <w:color w:val="auto"/>
                <w:sz w:val="24"/>
                <w:szCs w:val="24"/>
                <w:highlight w:val="none"/>
                <w:lang w:eastAsia="zh-CN"/>
              </w:rPr>
              <w:t>812050012010114701477（银行开户名称：新疆伊犁农村商业银行解放路支行）</w:t>
            </w:r>
            <w:r>
              <w:rPr>
                <w:rFonts w:hint="eastAsia" w:ascii="宋体" w:hAnsi="宋体" w:eastAsia="宋体" w:cs="宋体"/>
                <w:color w:val="auto"/>
                <w:sz w:val="24"/>
                <w:szCs w:val="24"/>
                <w:highlight w:val="none"/>
              </w:rPr>
              <w:t xml:space="preserve">  </w:t>
            </w:r>
          </w:p>
          <w:p w14:paraId="3AF15B0D">
            <w:pPr>
              <w:pStyle w:val="53"/>
              <w:keepNext w:val="0"/>
              <w:keepLines w:val="0"/>
              <w:pageBreakBefore w:val="0"/>
              <w:widowControl w:val="0"/>
              <w:shd w:val="clear" w:color="auto" w:fill="auto"/>
              <w:kinsoku/>
              <w:wordWrap/>
              <w:overflowPunct/>
              <w:topLinePunct w:val="0"/>
              <w:autoSpaceDE/>
              <w:autoSpaceDN/>
              <w:bidi w:val="0"/>
              <w:adjustRightInd/>
              <w:snapToGrid/>
              <w:spacing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 xml:space="preserve">退还时间：自中标通知书发出之日起5个工作日内退还未中标人的投标保证金，自采购合同签订之日起5个工作日内退还中标人的投标保证金或者转为中标人的履约保证金。                </w:t>
            </w:r>
          </w:p>
          <w:p w14:paraId="086D8BAB">
            <w:pPr>
              <w:pStyle w:val="53"/>
              <w:keepNext w:val="0"/>
              <w:keepLines w:val="0"/>
              <w:pageBreakBefore w:val="0"/>
              <w:widowControl w:val="0"/>
              <w:shd w:val="clear" w:color="auto" w:fill="auto"/>
              <w:kinsoku/>
              <w:wordWrap/>
              <w:overflowPunct/>
              <w:topLinePunct w:val="0"/>
              <w:autoSpaceDE/>
              <w:autoSpaceDN/>
              <w:bidi w:val="0"/>
              <w:adjustRightInd/>
              <w:snapToGrid/>
              <w:spacing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注意事项：</w:t>
            </w:r>
          </w:p>
          <w:p w14:paraId="19DDCA3F">
            <w:pPr>
              <w:pStyle w:val="53"/>
              <w:keepNext w:val="0"/>
              <w:keepLines w:val="0"/>
              <w:pageBreakBefore w:val="0"/>
              <w:widowControl w:val="0"/>
              <w:shd w:val="clear" w:color="auto" w:fill="auto"/>
              <w:kinsoku/>
              <w:wordWrap/>
              <w:overflowPunct/>
              <w:topLinePunct w:val="0"/>
              <w:autoSpaceDE/>
              <w:autoSpaceDN/>
              <w:bidi w:val="0"/>
              <w:adjustRightInd/>
              <w:snapToGrid/>
              <w:spacing w:line="340" w:lineRule="exact"/>
              <w:ind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以上各类机构出具的以担保函、保证保险承担责任的方式均须满足无条件见索即付条件。</w:t>
            </w:r>
          </w:p>
          <w:p w14:paraId="5BF78832">
            <w:pPr>
              <w:pStyle w:val="53"/>
              <w:keepNext w:val="0"/>
              <w:keepLines w:val="0"/>
              <w:pageBreakBefore w:val="0"/>
              <w:widowControl w:val="0"/>
              <w:shd w:val="clear" w:color="auto" w:fill="auto"/>
              <w:kinsoku/>
              <w:wordWrap/>
              <w:overflowPunct/>
              <w:topLinePunct w:val="0"/>
              <w:autoSpaceDE/>
              <w:autoSpaceDN/>
              <w:bidi w:val="0"/>
              <w:adjustRightInd/>
              <w:snapToGrid/>
              <w:spacing w:line="340" w:lineRule="exact"/>
              <w:ind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以担保函、保证保险形式缴纳</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保证金的，受益人和收取单位须为采购人。</w:t>
            </w:r>
          </w:p>
        </w:tc>
      </w:tr>
      <w:tr w14:paraId="4501EC8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3337" w:hRule="atLeast"/>
        </w:trPr>
        <w:tc>
          <w:tcPr>
            <w:tcW w:w="970" w:type="dxa"/>
            <w:vAlign w:val="center"/>
          </w:tcPr>
          <w:p w14:paraId="0FAEE6C9">
            <w:pPr>
              <w:pStyle w:val="49"/>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2</w:t>
            </w:r>
          </w:p>
        </w:tc>
        <w:tc>
          <w:tcPr>
            <w:tcW w:w="1738" w:type="dxa"/>
            <w:vAlign w:val="center"/>
          </w:tcPr>
          <w:p w14:paraId="1A5D11C5">
            <w:pPr>
              <w:pStyle w:val="4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实物样品</w:t>
            </w:r>
          </w:p>
        </w:tc>
        <w:tc>
          <w:tcPr>
            <w:tcW w:w="6700" w:type="dxa"/>
            <w:vAlign w:val="center"/>
          </w:tcPr>
          <w:p w14:paraId="29F70D2B">
            <w:pPr>
              <w:pStyle w:val="49"/>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投标样品递交： </w:t>
            </w:r>
          </w:p>
          <w:p w14:paraId="08448385">
            <w:pPr>
              <w:pStyle w:val="49"/>
              <w:keepNext w:val="0"/>
              <w:keepLines w:val="0"/>
              <w:pageBreakBefore w:val="0"/>
              <w:widowControl w:val="0"/>
              <w:kinsoku/>
              <w:wordWrap/>
              <w:overflowPunct/>
              <w:topLinePunct w:val="0"/>
              <w:autoSpaceDE/>
              <w:autoSpaceDN/>
              <w:bidi w:val="0"/>
              <w:adjustRightInd/>
              <w:snapToGrid/>
              <w:spacing w:line="240" w:lineRule="auto"/>
              <w:ind w:firstLine="240" w:firstLineChars="100"/>
              <w:textAlignment w:val="auto"/>
              <w:rPr>
                <w:rFonts w:hint="eastAsia" w:ascii="宋体" w:hAnsi="宋体" w:eastAsia="宋体" w:cs="宋体"/>
                <w:color w:val="auto"/>
                <w:sz w:val="24"/>
                <w:szCs w:val="24"/>
                <w:highlight w:val="none"/>
              </w:rPr>
            </w:pPr>
            <w:r>
              <w:rPr>
                <w:rFonts w:hint="eastAsia"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 xml:space="preserve">不需要 </w:t>
            </w:r>
          </w:p>
          <w:p w14:paraId="75ABDCC9">
            <w:pPr>
              <w:pStyle w:val="49"/>
              <w:keepNext w:val="0"/>
              <w:keepLines w:val="0"/>
              <w:pageBreakBefore w:val="0"/>
              <w:widowControl w:val="0"/>
              <w:kinsoku/>
              <w:wordWrap/>
              <w:overflowPunct/>
              <w:topLinePunct w:val="0"/>
              <w:autoSpaceDE/>
              <w:autoSpaceDN/>
              <w:bidi w:val="0"/>
              <w:adjustRightInd/>
              <w:snapToGrid/>
              <w:spacing w:line="240" w:lineRule="auto"/>
              <w:ind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□需要，具体要求如下： </w:t>
            </w:r>
          </w:p>
          <w:p w14:paraId="45E00831">
            <w:pPr>
              <w:pStyle w:val="49"/>
              <w:keepNext w:val="0"/>
              <w:keepLines w:val="0"/>
              <w:pageBreakBefore w:val="0"/>
              <w:widowControl w:val="0"/>
              <w:kinsoku/>
              <w:wordWrap/>
              <w:overflowPunct/>
              <w:topLinePunct w:val="0"/>
              <w:autoSpaceDE/>
              <w:autoSpaceDN/>
              <w:bidi w:val="0"/>
              <w:adjustRightInd/>
              <w:snapToGrid/>
              <w:spacing w:line="240" w:lineRule="auto"/>
              <w:ind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1.样品制作的标准和要求：_________； </w:t>
            </w:r>
          </w:p>
          <w:p w14:paraId="636410A9">
            <w:pPr>
              <w:pStyle w:val="49"/>
              <w:keepNext w:val="0"/>
              <w:keepLines w:val="0"/>
              <w:pageBreakBefore w:val="0"/>
              <w:widowControl w:val="0"/>
              <w:kinsoku/>
              <w:wordWrap/>
              <w:overflowPunct/>
              <w:topLinePunct w:val="0"/>
              <w:autoSpaceDE/>
              <w:autoSpaceDN/>
              <w:bidi w:val="0"/>
              <w:adjustRightInd/>
              <w:snapToGrid/>
              <w:spacing w:line="240" w:lineRule="auto"/>
              <w:ind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2.是否需要随样品提交相关检测报告： </w:t>
            </w:r>
          </w:p>
          <w:p w14:paraId="4042F79A">
            <w:pPr>
              <w:pStyle w:val="49"/>
              <w:keepNext w:val="0"/>
              <w:keepLines w:val="0"/>
              <w:pageBreakBefore w:val="0"/>
              <w:widowControl w:val="0"/>
              <w:kinsoku/>
              <w:wordWrap/>
              <w:overflowPunct/>
              <w:topLinePunct w:val="0"/>
              <w:autoSpaceDE/>
              <w:autoSpaceDN/>
              <w:bidi w:val="0"/>
              <w:adjustRightInd/>
              <w:snapToGrid/>
              <w:spacing w:line="240" w:lineRule="auto"/>
              <w:ind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□不需要 </w:t>
            </w:r>
          </w:p>
          <w:p w14:paraId="69ACDCB3">
            <w:pPr>
              <w:pStyle w:val="49"/>
              <w:keepNext w:val="0"/>
              <w:keepLines w:val="0"/>
              <w:pageBreakBefore w:val="0"/>
              <w:widowControl w:val="0"/>
              <w:kinsoku/>
              <w:wordWrap/>
              <w:overflowPunct/>
              <w:topLinePunct w:val="0"/>
              <w:autoSpaceDE/>
              <w:autoSpaceDN/>
              <w:bidi w:val="0"/>
              <w:adjustRightInd/>
              <w:snapToGrid/>
              <w:spacing w:line="240" w:lineRule="auto"/>
              <w:ind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□需要 </w:t>
            </w:r>
          </w:p>
          <w:p w14:paraId="2365C0AF">
            <w:pPr>
              <w:pStyle w:val="49"/>
              <w:keepNext w:val="0"/>
              <w:keepLines w:val="0"/>
              <w:pageBreakBefore w:val="0"/>
              <w:widowControl w:val="0"/>
              <w:kinsoku/>
              <w:wordWrap/>
              <w:overflowPunct/>
              <w:topLinePunct w:val="0"/>
              <w:autoSpaceDE/>
              <w:autoSpaceDN/>
              <w:bidi w:val="0"/>
              <w:adjustRightInd/>
              <w:snapToGrid/>
              <w:spacing w:line="240" w:lineRule="auto"/>
              <w:ind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3.样品递交要求：递交时间：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w:t>
            </w:r>
          </w:p>
          <w:p w14:paraId="0C201764">
            <w:pPr>
              <w:pStyle w:val="49"/>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递交</w:t>
            </w:r>
            <w:r>
              <w:rPr>
                <w:rFonts w:hint="eastAsia" w:ascii="宋体" w:hAnsi="宋体" w:eastAsia="宋体" w:cs="宋体"/>
                <w:color w:val="auto"/>
                <w:sz w:val="24"/>
                <w:szCs w:val="24"/>
                <w:highlight w:val="none"/>
              </w:rPr>
              <w:t>地点：</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，逾期提供的样品将不予接受。</w:t>
            </w:r>
            <w:r>
              <w:rPr>
                <w:rFonts w:hint="eastAsia" w:ascii="宋体" w:hAnsi="宋体" w:eastAsia="宋体" w:cs="宋体"/>
                <w:color w:val="auto"/>
                <w:sz w:val="24"/>
                <w:szCs w:val="24"/>
                <w:highlight w:val="none"/>
                <w:lang w:val="en-US" w:eastAsia="zh-CN"/>
              </w:rPr>
              <w:t xml:space="preserve"> </w:t>
            </w:r>
          </w:p>
          <w:p w14:paraId="20C6A605">
            <w:pPr>
              <w:pStyle w:val="49"/>
              <w:keepNext w:val="0"/>
              <w:keepLines w:val="0"/>
              <w:pageBreakBefore w:val="0"/>
              <w:widowControl w:val="0"/>
              <w:kinsoku/>
              <w:wordWrap/>
              <w:overflowPunct/>
              <w:topLinePunct w:val="0"/>
              <w:autoSpaceDE/>
              <w:autoSpaceDN/>
              <w:bidi w:val="0"/>
              <w:adjustRightInd/>
              <w:snapToGrid/>
              <w:spacing w:line="240" w:lineRule="auto"/>
              <w:ind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4.未中标人样品退还：</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 xml:space="preserve">； </w:t>
            </w:r>
          </w:p>
          <w:p w14:paraId="2FA55552">
            <w:pPr>
              <w:pStyle w:val="49"/>
              <w:keepNext w:val="0"/>
              <w:keepLines w:val="0"/>
              <w:pageBreakBefore w:val="0"/>
              <w:widowControl w:val="0"/>
              <w:kinsoku/>
              <w:wordWrap/>
              <w:overflowPunct/>
              <w:topLinePunct w:val="0"/>
              <w:autoSpaceDE/>
              <w:autoSpaceDN/>
              <w:bidi w:val="0"/>
              <w:adjustRightInd/>
              <w:snapToGrid/>
              <w:spacing w:line="240" w:lineRule="auto"/>
              <w:ind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5.中标人样品保管、封存及退还：_________； </w:t>
            </w:r>
          </w:p>
          <w:p w14:paraId="5F60BBB0">
            <w:pPr>
              <w:pStyle w:val="49"/>
              <w:keepNext w:val="0"/>
              <w:keepLines w:val="0"/>
              <w:pageBreakBefore w:val="0"/>
              <w:widowControl w:val="0"/>
              <w:kinsoku/>
              <w:wordWrap/>
              <w:overflowPunct/>
              <w:topLinePunct w:val="0"/>
              <w:autoSpaceDE/>
              <w:autoSpaceDN/>
              <w:bidi w:val="0"/>
              <w:adjustRightInd/>
              <w:snapToGrid/>
              <w:spacing w:line="240" w:lineRule="auto"/>
              <w:ind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6.其他要求（如有）：_________。 </w:t>
            </w:r>
          </w:p>
        </w:tc>
      </w:tr>
      <w:tr w14:paraId="1C643F0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vAlign w:val="center"/>
          </w:tcPr>
          <w:p w14:paraId="03DA43E2">
            <w:pPr>
              <w:pStyle w:val="49"/>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.1</w:t>
            </w:r>
          </w:p>
        </w:tc>
        <w:tc>
          <w:tcPr>
            <w:tcW w:w="1738" w:type="dxa"/>
            <w:vAlign w:val="center"/>
          </w:tcPr>
          <w:p w14:paraId="22504622">
            <w:pPr>
              <w:pStyle w:val="4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演示</w:t>
            </w:r>
          </w:p>
        </w:tc>
        <w:tc>
          <w:tcPr>
            <w:tcW w:w="6700" w:type="dxa"/>
            <w:vAlign w:val="center"/>
          </w:tcPr>
          <w:p w14:paraId="7B2FDAC1">
            <w:pPr>
              <w:pStyle w:val="4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sym w:font="Wingdings" w:char="00FE"/>
            </w:r>
            <w:r>
              <w:rPr>
                <w:rFonts w:hint="eastAsia" w:ascii="宋体" w:hAnsi="宋体" w:eastAsia="宋体" w:cs="宋体"/>
                <w:color w:val="auto"/>
                <w:sz w:val="24"/>
                <w:szCs w:val="24"/>
                <w:highlight w:val="none"/>
              </w:rPr>
              <w:t>不进行</w:t>
            </w:r>
          </w:p>
          <w:p w14:paraId="7B0141AF">
            <w:pPr>
              <w:pStyle w:val="4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进行，远程线上演示/现场演示</w:t>
            </w:r>
          </w:p>
          <w:p w14:paraId="29D1FB67">
            <w:pPr>
              <w:pStyle w:val="49"/>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1.演示时间不得超过</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分钟；</w:t>
            </w:r>
          </w:p>
          <w:p w14:paraId="0D5B188D">
            <w:pPr>
              <w:pStyle w:val="49"/>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2.进行远程线上演示的，投标人应提前自行准备好演示的软硬配置环境和网络环境，做好演示的各项准备工作。因投标人自身原因无法演示或者演示效果不理想的，导致的后果由投标人自行承担；</w:t>
            </w:r>
          </w:p>
          <w:p w14:paraId="34ED7966">
            <w:pPr>
              <w:pStyle w:val="49"/>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3.进行现场演示的，演示人员不得超过</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人，演示现场提供</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tc>
      </w:tr>
      <w:tr w14:paraId="0976428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0" w:hRule="atLeast"/>
        </w:trPr>
        <w:tc>
          <w:tcPr>
            <w:tcW w:w="970" w:type="dxa"/>
            <w:vAlign w:val="center"/>
          </w:tcPr>
          <w:p w14:paraId="4CE72DC4">
            <w:pPr>
              <w:pStyle w:val="49"/>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.3</w:t>
            </w:r>
          </w:p>
        </w:tc>
        <w:tc>
          <w:tcPr>
            <w:tcW w:w="1738" w:type="dxa"/>
            <w:vAlign w:val="center"/>
          </w:tcPr>
          <w:p w14:paraId="35FB661A">
            <w:pPr>
              <w:pStyle w:val="49"/>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解密投标文件的时限</w:t>
            </w:r>
          </w:p>
        </w:tc>
        <w:tc>
          <w:tcPr>
            <w:tcW w:w="6700" w:type="dxa"/>
            <w:vAlign w:val="center"/>
          </w:tcPr>
          <w:p w14:paraId="44601FEC">
            <w:pPr>
              <w:pStyle w:val="49"/>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不见面开标默认解密时长：</w:t>
            </w:r>
            <w:r>
              <w:rPr>
                <w:rFonts w:hint="eastAsia" w:ascii="宋体" w:hAnsi="宋体" w:eastAsia="宋体" w:cs="宋体"/>
                <w:color w:val="auto"/>
                <w:sz w:val="24"/>
                <w:szCs w:val="24"/>
                <w:highlight w:val="none"/>
                <w:u w:val="single"/>
                <w:lang w:val="en-US" w:eastAsia="zh-CN"/>
              </w:rPr>
              <w:t xml:space="preserve"> </w:t>
            </w:r>
            <w:r>
              <w:rPr>
                <w:rFonts w:hint="eastAsia" w:cs="宋体"/>
                <w:color w:val="auto"/>
                <w:sz w:val="24"/>
                <w:szCs w:val="24"/>
                <w:highlight w:val="none"/>
                <w:u w:val="single"/>
                <w:lang w:val="en-US" w:eastAsia="zh-CN"/>
              </w:rPr>
              <w:t>30</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分钟。</w:t>
            </w:r>
            <w:r>
              <w:rPr>
                <w:rFonts w:hint="eastAsia" w:ascii="宋体" w:hAnsi="宋体" w:eastAsia="宋体" w:cs="宋体"/>
                <w:color w:val="auto"/>
                <w:sz w:val="24"/>
                <w:szCs w:val="24"/>
                <w:highlight w:val="none"/>
              </w:rPr>
              <w:t xml:space="preserve"> </w:t>
            </w:r>
          </w:p>
          <w:p w14:paraId="4C7DC32D">
            <w:pPr>
              <w:pStyle w:val="49"/>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除因交易平台发生故障导致投标文件无法按时解密外，投标文件未按时解密的，视为未按规定提交投标文件</w:t>
            </w:r>
            <w:r>
              <w:rPr>
                <w:rFonts w:hint="eastAsia" w:ascii="宋体" w:hAnsi="宋体" w:eastAsia="宋体" w:cs="宋体"/>
                <w:color w:val="auto"/>
                <w:sz w:val="24"/>
                <w:szCs w:val="24"/>
                <w:highlight w:val="none"/>
              </w:rPr>
              <w:t>。</w:t>
            </w:r>
          </w:p>
        </w:tc>
      </w:tr>
      <w:tr w14:paraId="79EC872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676" w:hRule="atLeast"/>
        </w:trPr>
        <w:tc>
          <w:tcPr>
            <w:tcW w:w="970" w:type="dxa"/>
            <w:vAlign w:val="center"/>
          </w:tcPr>
          <w:p w14:paraId="23FC94CD">
            <w:pPr>
              <w:pStyle w:val="49"/>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29.1</w:t>
            </w:r>
          </w:p>
        </w:tc>
        <w:tc>
          <w:tcPr>
            <w:tcW w:w="1738" w:type="dxa"/>
            <w:vAlign w:val="center"/>
          </w:tcPr>
          <w:p w14:paraId="5A1E858C">
            <w:pPr>
              <w:pStyle w:val="49"/>
              <w:spacing w:line="24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评标方法</w:t>
            </w:r>
          </w:p>
        </w:tc>
        <w:tc>
          <w:tcPr>
            <w:tcW w:w="6700" w:type="dxa"/>
            <w:vAlign w:val="center"/>
          </w:tcPr>
          <w:p w14:paraId="49F2488F">
            <w:pPr>
              <w:pStyle w:val="49"/>
              <w:spacing w:line="24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sym w:font="Wingdings" w:char="00FE"/>
            </w:r>
            <w:r>
              <w:rPr>
                <w:rFonts w:hint="eastAsia" w:ascii="宋体" w:hAnsi="宋体" w:eastAsia="宋体" w:cs="宋体"/>
                <w:color w:val="auto"/>
                <w:sz w:val="24"/>
                <w:szCs w:val="24"/>
                <w:highlight w:val="none"/>
                <w:lang w:val="en-US" w:eastAsia="zh-CN"/>
              </w:rPr>
              <w:t>综合评分法</w:t>
            </w:r>
          </w:p>
          <w:p w14:paraId="63A64BEE">
            <w:pPr>
              <w:pStyle w:val="49"/>
              <w:spacing w:line="24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lang w:val="en-US" w:eastAsia="zh-CN"/>
              </w:rPr>
              <w:t>最低评标价法</w:t>
            </w:r>
          </w:p>
        </w:tc>
      </w:tr>
      <w:tr w14:paraId="5A08727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513" w:hRule="atLeast"/>
        </w:trPr>
        <w:tc>
          <w:tcPr>
            <w:tcW w:w="970" w:type="dxa"/>
            <w:vAlign w:val="center"/>
          </w:tcPr>
          <w:p w14:paraId="42D57B39">
            <w:pPr>
              <w:pStyle w:val="49"/>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29</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p>
        </w:tc>
        <w:tc>
          <w:tcPr>
            <w:tcW w:w="1738" w:type="dxa"/>
            <w:vAlign w:val="center"/>
          </w:tcPr>
          <w:p w14:paraId="109515DE">
            <w:pPr>
              <w:pStyle w:val="49"/>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推荐中标候选人</w:t>
            </w:r>
          </w:p>
        </w:tc>
        <w:tc>
          <w:tcPr>
            <w:tcW w:w="6700" w:type="dxa"/>
            <w:vAlign w:val="center"/>
          </w:tcPr>
          <w:p w14:paraId="0DB0E73E">
            <w:pPr>
              <w:pStyle w:val="49"/>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中标候选人数量</w:t>
            </w:r>
            <w:r>
              <w:rPr>
                <w:rFonts w:hint="eastAsia" w:ascii="宋体" w:hAnsi="宋体" w:eastAsia="宋体" w:cs="宋体"/>
                <w:color w:val="auto"/>
                <w:sz w:val="24"/>
                <w:szCs w:val="24"/>
                <w:highlight w:val="none"/>
                <w:u w:val="single"/>
              </w:rPr>
              <w:t xml:space="preserve"> </w:t>
            </w:r>
            <w:r>
              <w:rPr>
                <w:rFonts w:hint="eastAsia" w:cs="宋体"/>
                <w:color w:val="auto"/>
                <w:sz w:val="24"/>
                <w:szCs w:val="24"/>
                <w:highlight w:val="none"/>
                <w:u w:val="single"/>
                <w:lang w:val="en-US" w:eastAsia="zh-CN"/>
              </w:rPr>
              <w:t>3</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家</w:t>
            </w:r>
          </w:p>
        </w:tc>
      </w:tr>
      <w:tr w14:paraId="176C1C0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vAlign w:val="center"/>
          </w:tcPr>
          <w:p w14:paraId="4EEEE9B4">
            <w:pPr>
              <w:pStyle w:val="49"/>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.1</w:t>
            </w:r>
          </w:p>
        </w:tc>
        <w:tc>
          <w:tcPr>
            <w:tcW w:w="1738" w:type="dxa"/>
            <w:vAlign w:val="center"/>
          </w:tcPr>
          <w:p w14:paraId="266C355B">
            <w:pPr>
              <w:pStyle w:val="49"/>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确定中标人</w:t>
            </w:r>
          </w:p>
        </w:tc>
        <w:tc>
          <w:tcPr>
            <w:tcW w:w="6700" w:type="dxa"/>
            <w:vAlign w:val="center"/>
          </w:tcPr>
          <w:p w14:paraId="3AF868A2">
            <w:pPr>
              <w:pStyle w:val="49"/>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w:char="00FE"/>
            </w:r>
            <w:r>
              <w:rPr>
                <w:rFonts w:hint="eastAsia" w:ascii="宋体" w:hAnsi="宋体" w:eastAsia="宋体" w:cs="宋体"/>
                <w:color w:val="auto"/>
                <w:sz w:val="24"/>
                <w:szCs w:val="24"/>
                <w:highlight w:val="none"/>
              </w:rPr>
              <w:t>采购人按评审报告中推荐的中标候选人排序确定中标人。</w:t>
            </w:r>
          </w:p>
          <w:p w14:paraId="0911185A">
            <w:pPr>
              <w:pStyle w:val="49"/>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采购人委托评标委员会直接确定中标人。</w:t>
            </w:r>
          </w:p>
        </w:tc>
      </w:tr>
      <w:tr w14:paraId="16D85FA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shd w:val="clear" w:color="auto" w:fill="auto"/>
            <w:vAlign w:val="center"/>
          </w:tcPr>
          <w:p w14:paraId="1B46F00E">
            <w:pPr>
              <w:pStyle w:val="49"/>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.1</w:t>
            </w:r>
          </w:p>
        </w:tc>
        <w:tc>
          <w:tcPr>
            <w:tcW w:w="1738" w:type="dxa"/>
            <w:shd w:val="clear" w:color="auto" w:fill="auto"/>
            <w:vAlign w:val="center"/>
          </w:tcPr>
          <w:p w14:paraId="2789643E">
            <w:pPr>
              <w:pStyle w:val="4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履约保证金</w:t>
            </w:r>
          </w:p>
        </w:tc>
        <w:tc>
          <w:tcPr>
            <w:tcW w:w="6700" w:type="dxa"/>
            <w:shd w:val="clear" w:color="auto" w:fill="auto"/>
            <w:vAlign w:val="center"/>
          </w:tcPr>
          <w:p w14:paraId="43C87E86">
            <w:pPr>
              <w:pStyle w:val="4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金额：</w:t>
            </w:r>
          </w:p>
          <w:p w14:paraId="3E87665A">
            <w:pPr>
              <w:pStyle w:val="49"/>
              <w:ind w:firstLine="240" w:firstLineChars="100"/>
              <w:rPr>
                <w:rFonts w:hint="eastAsia" w:ascii="宋体" w:hAnsi="宋体" w:eastAsia="宋体" w:cs="宋体"/>
                <w:color w:val="auto"/>
                <w:sz w:val="24"/>
                <w:szCs w:val="24"/>
                <w:highlight w:val="none"/>
              </w:rPr>
            </w:pPr>
            <w:r>
              <w:rPr>
                <w:rFonts w:hint="eastAsia" w:cs="宋体"/>
                <w:color w:val="auto"/>
                <w:sz w:val="24"/>
                <w:szCs w:val="24"/>
                <w:highlight w:val="none"/>
                <w:lang w:eastAsia="zh-CN"/>
              </w:rPr>
              <w:t>☑</w:t>
            </w:r>
            <w:r>
              <w:rPr>
                <w:rFonts w:hint="eastAsia" w:ascii="宋体" w:hAnsi="宋体" w:eastAsia="宋体" w:cs="宋体"/>
                <w:color w:val="auto"/>
                <w:sz w:val="24"/>
                <w:szCs w:val="24"/>
                <w:highlight w:val="none"/>
              </w:rPr>
              <w:t>免收</w:t>
            </w:r>
          </w:p>
          <w:p w14:paraId="15C105FC">
            <w:pPr>
              <w:pStyle w:val="49"/>
              <w:ind w:firstLine="240" w:firstLineChars="100"/>
              <w:rPr>
                <w:rFonts w:hint="eastAsia" w:cs="宋体"/>
                <w:color w:val="auto"/>
                <w:sz w:val="24"/>
                <w:szCs w:val="24"/>
                <w:highlight w:val="none"/>
                <w:u w:val="single"/>
                <w:lang w:eastAsia="zh-CN"/>
              </w:rPr>
            </w:pPr>
            <w:r>
              <w:rPr>
                <w:rFonts w:hint="eastAsia" w:cs="宋体"/>
                <w:color w:val="auto"/>
                <w:sz w:val="24"/>
                <w:szCs w:val="24"/>
                <w:highlight w:val="none"/>
                <w:lang w:eastAsia="zh-CN"/>
              </w:rPr>
              <w:t>□</w:t>
            </w:r>
            <w:r>
              <w:rPr>
                <w:rFonts w:hint="eastAsia" w:ascii="宋体" w:hAnsi="宋体" w:eastAsia="宋体" w:cs="宋体"/>
                <w:color w:val="auto"/>
                <w:sz w:val="24"/>
                <w:szCs w:val="24"/>
                <w:highlight w:val="none"/>
              </w:rPr>
              <w:t>合同价的</w:t>
            </w:r>
            <w:r>
              <w:rPr>
                <w:rFonts w:hint="eastAsia" w:cs="宋体"/>
                <w:color w:val="auto"/>
                <w:sz w:val="24"/>
                <w:szCs w:val="24"/>
                <w:highlight w:val="none"/>
                <w:u w:val="single"/>
                <w:lang w:val="en-US" w:eastAsia="zh-CN"/>
              </w:rPr>
              <w:t>10</w:t>
            </w:r>
            <w:r>
              <w:rPr>
                <w:rFonts w:hint="eastAsia" w:ascii="宋体" w:hAnsi="宋体" w:eastAsia="宋体" w:cs="宋体"/>
                <w:color w:val="auto"/>
                <w:sz w:val="24"/>
                <w:szCs w:val="24"/>
                <w:highlight w:val="none"/>
                <w:u w:val="single"/>
              </w:rPr>
              <w:t>%</w:t>
            </w:r>
            <w:r>
              <w:rPr>
                <w:rFonts w:hint="eastAsia" w:cs="宋体"/>
                <w:color w:val="auto"/>
                <w:sz w:val="24"/>
                <w:szCs w:val="24"/>
                <w:highlight w:val="none"/>
                <w:u w:val="single"/>
                <w:lang w:eastAsia="zh-CN"/>
              </w:rPr>
              <w:t>（</w:t>
            </w:r>
            <w:r>
              <w:rPr>
                <w:rFonts w:hint="eastAsia" w:ascii="宋体" w:hAnsi="宋体" w:eastAsia="宋体" w:cs="宋体"/>
                <w:color w:val="auto"/>
                <w:sz w:val="24"/>
                <w:szCs w:val="24"/>
                <w:highlight w:val="none"/>
                <w:u w:val="single"/>
              </w:rPr>
              <w:t>招标完成签订购销合同后，中标方支付合同价款10%为履约保证金，合同质保到期后无质量问题无息返还履约保证金。</w:t>
            </w:r>
            <w:r>
              <w:rPr>
                <w:rFonts w:hint="eastAsia" w:cs="宋体"/>
                <w:color w:val="auto"/>
                <w:sz w:val="24"/>
                <w:szCs w:val="24"/>
                <w:highlight w:val="none"/>
                <w:u w:val="single"/>
                <w:lang w:eastAsia="zh-CN"/>
              </w:rPr>
              <w:t>）</w:t>
            </w:r>
          </w:p>
          <w:p w14:paraId="204B4F06">
            <w:pPr>
              <w:pStyle w:val="49"/>
              <w:ind w:firstLine="240" w:firstLineChars="100"/>
              <w:rPr>
                <w:rFonts w:hint="eastAsia" w:ascii="宋体" w:hAnsi="宋体" w:eastAsia="宋体" w:cs="宋体"/>
                <w:color w:val="auto"/>
                <w:sz w:val="24"/>
                <w:szCs w:val="24"/>
                <w:highlight w:val="none"/>
              </w:rPr>
            </w:pPr>
            <w:r>
              <w:rPr>
                <w:rFonts w:hint="eastAsia" w:cs="宋体"/>
                <w:color w:val="auto"/>
                <w:sz w:val="24"/>
                <w:szCs w:val="24"/>
                <w:highlight w:val="none"/>
                <w:lang w:eastAsia="zh-CN"/>
              </w:rPr>
              <w:t>□</w:t>
            </w:r>
            <w:r>
              <w:rPr>
                <w:rFonts w:hint="eastAsia" w:ascii="宋体" w:hAnsi="宋体" w:eastAsia="宋体" w:cs="宋体"/>
                <w:color w:val="auto"/>
                <w:sz w:val="24"/>
                <w:szCs w:val="24"/>
                <w:highlight w:val="none"/>
              </w:rPr>
              <w:t>定额收取：</w:t>
            </w:r>
            <w:r>
              <w:rPr>
                <w:rFonts w:hint="eastAsia" w:ascii="宋体" w:hAnsi="宋体" w:eastAsia="宋体" w:cs="宋体"/>
                <w:color w:val="auto"/>
                <w:sz w:val="24"/>
                <w:szCs w:val="24"/>
                <w:highlight w:val="none"/>
                <w:u w:val="single"/>
              </w:rPr>
              <w:t>人民币           元</w:t>
            </w:r>
          </w:p>
          <w:p w14:paraId="7ED29E0A">
            <w:pPr>
              <w:pStyle w:val="4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支付方式：</w:t>
            </w:r>
          </w:p>
          <w:p w14:paraId="311A79D6">
            <w:pPr>
              <w:pStyle w:val="53"/>
              <w:keepNext w:val="0"/>
              <w:keepLines w:val="0"/>
              <w:pageBreakBefore w:val="0"/>
              <w:widowControl w:val="0"/>
              <w:shd w:val="clear" w:color="auto" w:fill="auto"/>
              <w:kinsoku/>
              <w:wordWrap/>
              <w:overflowPunct/>
              <w:topLinePunct w:val="0"/>
              <w:autoSpaceDE/>
              <w:autoSpaceDN/>
              <w:bidi w:val="0"/>
              <w:adjustRightInd/>
              <w:snapToGrid/>
              <w:spacing w:line="340" w:lineRule="exact"/>
              <w:ind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供应商可自主选择以支票、汇票、本票、电汇、转账、网银等非现金形式缴纳或提交保证金。</w:t>
            </w:r>
          </w:p>
          <w:p w14:paraId="23FA6897">
            <w:pPr>
              <w:pStyle w:val="4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收取单位：</w:t>
            </w:r>
            <w:r>
              <w:rPr>
                <w:rFonts w:hint="eastAsia" w:cs="宋体"/>
                <w:color w:val="auto"/>
                <w:sz w:val="24"/>
                <w:szCs w:val="24"/>
                <w:highlight w:val="none"/>
                <w:lang w:val="en-US" w:eastAsia="zh-CN"/>
              </w:rPr>
              <w:t>详见合同</w:t>
            </w:r>
            <w:r>
              <w:rPr>
                <w:rFonts w:hint="eastAsia" w:ascii="宋体" w:hAnsi="宋体" w:eastAsia="宋体" w:cs="宋体"/>
                <w:color w:val="auto"/>
                <w:sz w:val="24"/>
                <w:szCs w:val="24"/>
                <w:highlight w:val="none"/>
              </w:rPr>
              <w:t xml:space="preserve">                           </w:t>
            </w:r>
          </w:p>
          <w:p w14:paraId="53DB36B8">
            <w:pPr>
              <w:pStyle w:val="4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4.收取账号：</w:t>
            </w:r>
            <w:r>
              <w:rPr>
                <w:rFonts w:hint="eastAsia" w:cs="宋体"/>
                <w:color w:val="auto"/>
                <w:sz w:val="24"/>
                <w:szCs w:val="24"/>
                <w:highlight w:val="none"/>
                <w:lang w:val="en-US" w:eastAsia="zh-CN"/>
              </w:rPr>
              <w:t>详见合同</w:t>
            </w:r>
            <w:r>
              <w:rPr>
                <w:rFonts w:hint="eastAsia" w:ascii="宋体" w:hAnsi="宋体" w:eastAsia="宋体" w:cs="宋体"/>
                <w:color w:val="auto"/>
                <w:sz w:val="24"/>
                <w:szCs w:val="24"/>
                <w:highlight w:val="none"/>
              </w:rPr>
              <w:t xml:space="preserve">           </w:t>
            </w:r>
          </w:p>
          <w:p w14:paraId="6613C40E">
            <w:pPr>
              <w:pStyle w:val="49"/>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 xml:space="preserve">退还时间：履约保证金退回：履约保证金在合同质保到期后无质量问题后，成交人向采购人提交退回履约保证金的申请（格式自拟）、履约保证金汇款凭证复印件、采购合同、采购项目验收报告、原件、成交通知书复印件，前往采购人办理履约保证金退还手续。             </w:t>
            </w:r>
          </w:p>
          <w:p w14:paraId="7F1B118C">
            <w:pPr>
              <w:pStyle w:val="4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注意事项：</w:t>
            </w:r>
          </w:p>
          <w:p w14:paraId="56E48206">
            <w:pPr>
              <w:pStyle w:val="4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以上各类机构出具的以担保函、保证保险承担责任的方式均须满足无条件见索即付条件。</w:t>
            </w:r>
          </w:p>
          <w:p w14:paraId="6288E7EE">
            <w:pPr>
              <w:pStyle w:val="4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以担保函、保证保险形式缴纳履约保证金的，受益人和收取单位须为采购人。</w:t>
            </w:r>
          </w:p>
        </w:tc>
      </w:tr>
      <w:tr w14:paraId="6B1F02A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1922" w:hRule="atLeast"/>
        </w:trPr>
        <w:tc>
          <w:tcPr>
            <w:tcW w:w="970" w:type="dxa"/>
            <w:vAlign w:val="center"/>
          </w:tcPr>
          <w:p w14:paraId="600814BC">
            <w:pPr>
              <w:pStyle w:val="49"/>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34.5</w:t>
            </w:r>
          </w:p>
        </w:tc>
        <w:tc>
          <w:tcPr>
            <w:tcW w:w="1738" w:type="dxa"/>
            <w:vAlign w:val="center"/>
          </w:tcPr>
          <w:p w14:paraId="74D19386">
            <w:pPr>
              <w:pStyle w:val="4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中标后分包</w:t>
            </w:r>
          </w:p>
        </w:tc>
        <w:tc>
          <w:tcPr>
            <w:tcW w:w="6700" w:type="dxa"/>
            <w:vAlign w:val="center"/>
          </w:tcPr>
          <w:p w14:paraId="4344EC45">
            <w:pPr>
              <w:pStyle w:val="4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本项目的非主体、非关键性工作是否允许分包： </w:t>
            </w:r>
          </w:p>
          <w:p w14:paraId="3D901FC0">
            <w:pPr>
              <w:pStyle w:val="49"/>
              <w:ind w:firstLine="240" w:firstLineChars="100"/>
              <w:rPr>
                <w:rFonts w:hint="eastAsia" w:ascii="宋体" w:hAnsi="宋体" w:eastAsia="宋体" w:cs="宋体"/>
                <w:color w:val="auto"/>
                <w:kern w:val="2"/>
                <w:sz w:val="24"/>
                <w:szCs w:val="24"/>
                <w:highlight w:val="none"/>
                <w:lang w:val="en-US" w:eastAsia="zh-CN" w:bidi="ar-SA"/>
              </w:rPr>
            </w:pPr>
            <w:r>
              <w:rPr>
                <w:rFonts w:hint="eastAsia" w:cs="宋体"/>
                <w:color w:val="auto"/>
                <w:kern w:val="2"/>
                <w:sz w:val="24"/>
                <w:szCs w:val="24"/>
                <w:highlight w:val="none"/>
                <w:lang w:val="en-US" w:eastAsia="zh-CN" w:bidi="ar-SA"/>
              </w:rPr>
              <w:t>☑</w:t>
            </w:r>
            <w:r>
              <w:rPr>
                <w:rFonts w:hint="eastAsia" w:ascii="宋体" w:hAnsi="宋体" w:eastAsia="宋体" w:cs="宋体"/>
                <w:color w:val="auto"/>
                <w:kern w:val="2"/>
                <w:sz w:val="24"/>
                <w:szCs w:val="24"/>
                <w:highlight w:val="none"/>
                <w:lang w:val="en-US" w:eastAsia="zh-CN" w:bidi="ar-SA"/>
              </w:rPr>
              <w:t xml:space="preserve">不允许 </w:t>
            </w:r>
          </w:p>
          <w:p w14:paraId="56DFA0F7">
            <w:pPr>
              <w:pStyle w:val="49"/>
              <w:ind w:firstLine="240" w:firstLineChars="1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□允许，具体要求： </w:t>
            </w:r>
          </w:p>
          <w:p w14:paraId="6C445FF2">
            <w:pPr>
              <w:pStyle w:val="4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  1.可以分包履行的具体内容：_____； </w:t>
            </w:r>
          </w:p>
          <w:p w14:paraId="71BE067E">
            <w:pPr>
              <w:pStyle w:val="4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  2.允许分包的金额或者比例：_____； </w:t>
            </w:r>
          </w:p>
          <w:p w14:paraId="2F04DF99">
            <w:pPr>
              <w:pStyle w:val="4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  3.其他要求：_____。 </w:t>
            </w:r>
          </w:p>
        </w:tc>
      </w:tr>
      <w:tr w14:paraId="19B129A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vAlign w:val="center"/>
          </w:tcPr>
          <w:p w14:paraId="5BFFADC2">
            <w:pPr>
              <w:pStyle w:val="49"/>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35.1</w:t>
            </w:r>
          </w:p>
        </w:tc>
        <w:tc>
          <w:tcPr>
            <w:tcW w:w="1738" w:type="dxa"/>
            <w:vAlign w:val="center"/>
          </w:tcPr>
          <w:p w14:paraId="6B25F509">
            <w:pPr>
              <w:pStyle w:val="4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质疑</w:t>
            </w:r>
          </w:p>
        </w:tc>
        <w:tc>
          <w:tcPr>
            <w:tcW w:w="6700" w:type="dxa"/>
            <w:vAlign w:val="center"/>
          </w:tcPr>
          <w:p w14:paraId="4B45FA7E">
            <w:pPr>
              <w:pStyle w:val="57"/>
              <w:keepNext w:val="0"/>
              <w:keepLines w:val="0"/>
              <w:pageBreakBefore w:val="0"/>
              <w:widowControl w:val="0"/>
              <w:kinsoku/>
              <w:wordWrap/>
              <w:overflowPunct/>
              <w:topLinePunct w:val="0"/>
              <w:autoSpaceDE w:val="0"/>
              <w:autoSpaceDN w:val="0"/>
              <w:bidi w:val="0"/>
              <w:adjustRightInd w:val="0"/>
              <w:snapToGrid/>
              <w:spacing w:line="240" w:lineRule="auto"/>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kern w:val="2"/>
                <w:sz w:val="24"/>
                <w:szCs w:val="24"/>
                <w:highlight w:val="none"/>
                <w:lang w:val="zh-CN" w:eastAsia="zh-CN" w:bidi="ar-SA"/>
              </w:rPr>
              <w:t>递交方式：</w:t>
            </w:r>
            <w:r>
              <w:rPr>
                <w:rFonts w:hint="eastAsia" w:ascii="宋体" w:hAnsi="宋体" w:eastAsia="宋体" w:cs="宋体"/>
                <w:color w:val="auto"/>
                <w:sz w:val="24"/>
                <w:szCs w:val="24"/>
                <w:highlight w:val="none"/>
                <w:u w:val="none"/>
              </w:rPr>
              <w:t>1.投标人认为招标文件、招标过程和中标结果使自己的权益受到损害的，可以根据《中华人民共和国政府采购法实施条例》和《政府采购质疑和投诉办法》的有关规定，依法向采购人或其委托的采购代理机构质疑。</w:t>
            </w:r>
          </w:p>
          <w:p w14:paraId="4F2A6072">
            <w:pPr>
              <w:pStyle w:val="57"/>
              <w:keepNext w:val="0"/>
              <w:keepLines w:val="0"/>
              <w:pageBreakBefore w:val="0"/>
              <w:widowControl w:val="0"/>
              <w:kinsoku/>
              <w:wordWrap/>
              <w:overflowPunct/>
              <w:topLinePunct w:val="0"/>
              <w:autoSpaceDE w:val="0"/>
              <w:autoSpaceDN w:val="0"/>
              <w:bidi w:val="0"/>
              <w:adjustRightInd w:val="0"/>
              <w:snapToGrid/>
              <w:spacing w:line="240" w:lineRule="auto"/>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2.质疑投标人应按照财政部制定的《政府采购质疑函范本》格式（可从财政部官方网站下载）和《政府采购质疑和投诉办法》的要求,在法定质疑期内以书面形式提出质疑,针对同一采购程序环节的质疑次数应一次性提供。</w:t>
            </w:r>
          </w:p>
          <w:p w14:paraId="15819F93">
            <w:pPr>
              <w:pStyle w:val="57"/>
              <w:keepNext w:val="0"/>
              <w:keepLines w:val="0"/>
              <w:pageBreakBefore w:val="0"/>
              <w:widowControl w:val="0"/>
              <w:kinsoku/>
              <w:wordWrap/>
              <w:overflowPunct/>
              <w:topLinePunct w:val="0"/>
              <w:autoSpaceDE w:val="0"/>
              <w:autoSpaceDN w:val="0"/>
              <w:bidi w:val="0"/>
              <w:adjustRightInd w:val="0"/>
              <w:snapToGrid/>
              <w:spacing w:line="240" w:lineRule="auto"/>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3.超出法定质疑期提交的质疑将被拒绝。重复或分次提出的、内容或形式不符合《政府采购质疑和投诉办法》的,质疑投标人将依法承担不利后果。</w:t>
            </w:r>
          </w:p>
          <w:p w14:paraId="4D34FC82">
            <w:pPr>
              <w:pStyle w:val="57"/>
              <w:keepNext w:val="0"/>
              <w:keepLines w:val="0"/>
              <w:pageBreakBefore w:val="0"/>
              <w:widowControl w:val="0"/>
              <w:kinsoku/>
              <w:wordWrap/>
              <w:overflowPunct/>
              <w:topLinePunct w:val="0"/>
              <w:autoSpaceDE w:val="0"/>
              <w:autoSpaceDN w:val="0"/>
              <w:bidi w:val="0"/>
              <w:adjustRightInd w:val="0"/>
              <w:snapToGrid/>
              <w:spacing w:line="240" w:lineRule="auto"/>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4.依据：《中华人民共和国政府采购法实施条例》第五十三条政府采购法第五十二条规定的投标人应知其权益受到损害之日，是指：（一） 对可以质疑的采购文件质疑的，为收到采购文件之日或者采购文件公告期限届满之日；（二） 对采购过程质疑的，为各采购程序环节结束之日；（三）对中标或者成交结果质疑的，为中标或者成交结果公告期限届满之日。</w:t>
            </w:r>
          </w:p>
          <w:p w14:paraId="2DD61525">
            <w:pPr>
              <w:pStyle w:val="57"/>
              <w:keepNext w:val="0"/>
              <w:keepLines w:val="0"/>
              <w:pageBreakBefore w:val="0"/>
              <w:widowControl w:val="0"/>
              <w:kinsoku/>
              <w:wordWrap/>
              <w:overflowPunct/>
              <w:topLinePunct w:val="0"/>
              <w:autoSpaceDE w:val="0"/>
              <w:autoSpaceDN w:val="0"/>
              <w:bidi w:val="0"/>
              <w:adjustRightInd w:val="0"/>
              <w:snapToGrid/>
              <w:spacing w:line="240" w:lineRule="auto"/>
              <w:textAlignment w:val="auto"/>
              <w:rPr>
                <w:rFonts w:hint="eastAsia" w:ascii="宋体" w:hAnsi="宋体" w:eastAsia="宋体" w:cs="宋体"/>
                <w:color w:val="auto"/>
                <w:kern w:val="2"/>
                <w:sz w:val="24"/>
                <w:szCs w:val="24"/>
                <w:highlight w:val="none"/>
                <w:u w:val="none"/>
                <w:lang w:val="zh-CN" w:eastAsia="zh-CN" w:bidi="ar-SA"/>
              </w:rPr>
            </w:pPr>
            <w:r>
              <w:rPr>
                <w:rFonts w:hint="eastAsia" w:ascii="宋体" w:hAnsi="宋体" w:eastAsia="宋体" w:cs="宋体"/>
                <w:color w:val="auto"/>
                <w:sz w:val="24"/>
                <w:szCs w:val="24"/>
                <w:highlight w:val="none"/>
                <w:u w:val="none"/>
              </w:rPr>
              <w:t>递交方式：将投标人疑问文件电子版（须为可编辑的WORD文档）与盖章的纸质版原件扫描件PDF版本发送</w:t>
            </w:r>
            <w:r>
              <w:rPr>
                <w:rFonts w:hint="eastAsia" w:ascii="宋体" w:hAnsi="宋体" w:cs="宋体"/>
                <w:color w:val="auto"/>
                <w:sz w:val="24"/>
                <w:szCs w:val="24"/>
                <w:highlight w:val="none"/>
                <w:u w:val="none"/>
                <w:lang w:val="en-US" w:eastAsia="zh-CN"/>
              </w:rPr>
              <w:t>1531131030</w:t>
            </w:r>
            <w:r>
              <w:rPr>
                <w:rFonts w:hint="eastAsia" w:ascii="宋体" w:hAnsi="宋体" w:eastAsia="宋体" w:cs="宋体"/>
                <w:color w:val="auto"/>
                <w:sz w:val="24"/>
                <w:szCs w:val="24"/>
                <w:highlight w:val="none"/>
                <w:u w:val="none"/>
              </w:rPr>
              <w:t>@qq.com；如WORD文档内容与</w:t>
            </w:r>
            <w:r>
              <w:rPr>
                <w:rFonts w:hint="eastAsia" w:ascii="宋体" w:hAnsi="宋体" w:eastAsia="宋体" w:cs="宋体"/>
                <w:color w:val="auto"/>
                <w:kern w:val="2"/>
                <w:sz w:val="24"/>
                <w:szCs w:val="24"/>
                <w:highlight w:val="none"/>
                <w:u w:val="none"/>
                <w:lang w:val="zh-CN" w:eastAsia="zh-CN" w:bidi="ar-SA"/>
              </w:rPr>
              <w:t>盖章的纸质版原件扫描件PDF内容不一致的,以盖章的纸质版原件扫描件</w:t>
            </w:r>
          </w:p>
          <w:p w14:paraId="74708573">
            <w:pPr>
              <w:pStyle w:val="57"/>
              <w:keepNext w:val="0"/>
              <w:keepLines w:val="0"/>
              <w:pageBreakBefore w:val="0"/>
              <w:widowControl w:val="0"/>
              <w:kinsoku/>
              <w:wordWrap/>
              <w:overflowPunct/>
              <w:topLinePunct w:val="0"/>
              <w:autoSpaceDE w:val="0"/>
              <w:autoSpaceDN w:val="0"/>
              <w:bidi w:val="0"/>
              <w:adjustRightInd w:val="0"/>
              <w:snapToGrid/>
              <w:spacing w:line="240" w:lineRule="auto"/>
              <w:textAlignment w:val="auto"/>
              <w:rPr>
                <w:rFonts w:hint="eastAsia" w:ascii="宋体" w:hAnsi="宋体" w:eastAsia="宋体" w:cs="宋体"/>
                <w:color w:val="auto"/>
                <w:kern w:val="2"/>
                <w:sz w:val="24"/>
                <w:szCs w:val="24"/>
                <w:highlight w:val="none"/>
                <w:lang w:val="zh-CN" w:eastAsia="zh-CN" w:bidi="ar-SA"/>
              </w:rPr>
            </w:pPr>
            <w:r>
              <w:rPr>
                <w:rFonts w:hint="eastAsia" w:ascii="宋体" w:hAnsi="宋体" w:eastAsia="宋体" w:cs="宋体"/>
                <w:color w:val="auto"/>
                <w:kern w:val="2"/>
                <w:sz w:val="24"/>
                <w:szCs w:val="24"/>
                <w:highlight w:val="none"/>
                <w:lang w:val="zh-CN" w:eastAsia="zh-CN" w:bidi="ar-SA"/>
              </w:rPr>
              <w:t xml:space="preserve">PDF内容为准。             </w:t>
            </w:r>
          </w:p>
          <w:p w14:paraId="409CCB7B">
            <w:pPr>
              <w:pStyle w:val="57"/>
              <w:keepNext w:val="0"/>
              <w:keepLines w:val="0"/>
              <w:pageBreakBefore w:val="0"/>
              <w:widowControl w:val="0"/>
              <w:kinsoku/>
              <w:wordWrap/>
              <w:overflowPunct/>
              <w:topLinePunct w:val="0"/>
              <w:autoSpaceDE w:val="0"/>
              <w:autoSpaceDN w:val="0"/>
              <w:bidi w:val="0"/>
              <w:adjustRightInd w:val="0"/>
              <w:snapToGrid/>
              <w:spacing w:line="240" w:lineRule="auto"/>
              <w:textAlignment w:val="auto"/>
              <w:rPr>
                <w:rFonts w:hint="eastAsia" w:ascii="宋体" w:hAnsi="宋体" w:eastAsia="宋体" w:cs="宋体"/>
                <w:color w:val="auto"/>
                <w:kern w:val="2"/>
                <w:sz w:val="24"/>
                <w:szCs w:val="24"/>
                <w:highlight w:val="none"/>
                <w:lang w:val="zh-CN" w:eastAsia="zh-CN" w:bidi="ar-SA"/>
              </w:rPr>
            </w:pPr>
            <w:r>
              <w:rPr>
                <w:rFonts w:hint="eastAsia" w:ascii="宋体" w:hAnsi="宋体" w:eastAsia="宋体" w:cs="宋体"/>
                <w:color w:val="auto"/>
                <w:kern w:val="2"/>
                <w:sz w:val="24"/>
                <w:szCs w:val="24"/>
                <w:highlight w:val="none"/>
                <w:lang w:val="zh-CN" w:eastAsia="zh-CN" w:bidi="ar-SA"/>
              </w:rPr>
              <w:t>接收部门：</w:t>
            </w:r>
            <w:r>
              <w:rPr>
                <w:rFonts w:hint="eastAsia" w:ascii="宋体" w:hAnsi="宋体" w:cs="宋体"/>
                <w:color w:val="auto"/>
                <w:sz w:val="24"/>
                <w:szCs w:val="24"/>
                <w:highlight w:val="none"/>
                <w:u w:val="single"/>
                <w:lang w:val="en-US" w:eastAsia="zh-CN"/>
              </w:rPr>
              <w:t>新疆星世豪项目管理有限公司</w:t>
            </w:r>
            <w:r>
              <w:rPr>
                <w:rFonts w:hint="eastAsia" w:ascii="宋体" w:hAnsi="宋体" w:eastAsia="宋体" w:cs="宋体"/>
                <w:color w:val="auto"/>
                <w:kern w:val="2"/>
                <w:sz w:val="24"/>
                <w:szCs w:val="24"/>
                <w:highlight w:val="none"/>
                <w:lang w:val="zh-CN" w:eastAsia="zh-CN" w:bidi="ar-SA"/>
              </w:rPr>
              <w:t xml:space="preserve">              </w:t>
            </w:r>
          </w:p>
          <w:p w14:paraId="69CA89BA">
            <w:pPr>
              <w:pStyle w:val="57"/>
              <w:keepNext w:val="0"/>
              <w:keepLines w:val="0"/>
              <w:pageBreakBefore w:val="0"/>
              <w:widowControl w:val="0"/>
              <w:kinsoku/>
              <w:wordWrap/>
              <w:overflowPunct/>
              <w:topLinePunct w:val="0"/>
              <w:autoSpaceDE w:val="0"/>
              <w:autoSpaceDN w:val="0"/>
              <w:bidi w:val="0"/>
              <w:adjustRightInd w:val="0"/>
              <w:snapToGrid/>
              <w:spacing w:line="240" w:lineRule="auto"/>
              <w:textAlignment w:val="auto"/>
              <w:rPr>
                <w:rFonts w:hint="eastAsia" w:ascii="宋体" w:hAnsi="宋体" w:eastAsia="宋体" w:cs="宋体"/>
                <w:color w:val="auto"/>
                <w:kern w:val="2"/>
                <w:sz w:val="24"/>
                <w:szCs w:val="24"/>
                <w:highlight w:val="none"/>
                <w:lang w:val="zh-CN" w:eastAsia="zh-CN" w:bidi="ar-SA"/>
              </w:rPr>
            </w:pPr>
            <w:r>
              <w:rPr>
                <w:rFonts w:hint="eastAsia" w:ascii="宋体" w:hAnsi="宋体" w:eastAsia="宋体" w:cs="宋体"/>
                <w:color w:val="auto"/>
                <w:kern w:val="2"/>
                <w:sz w:val="24"/>
                <w:szCs w:val="24"/>
                <w:highlight w:val="none"/>
                <w:lang w:val="zh-CN" w:eastAsia="zh-CN" w:bidi="ar-SA"/>
              </w:rPr>
              <w:t>联系电话：</w:t>
            </w:r>
            <w:r>
              <w:rPr>
                <w:rFonts w:hint="eastAsia" w:ascii="宋体" w:hAnsi="宋体" w:cs="宋体"/>
                <w:color w:val="auto"/>
                <w:sz w:val="24"/>
                <w:szCs w:val="24"/>
                <w:highlight w:val="none"/>
                <w:u w:val="single"/>
                <w:lang w:val="en-US" w:eastAsia="zh-CN"/>
              </w:rPr>
              <w:t>18699959566</w:t>
            </w:r>
            <w:r>
              <w:rPr>
                <w:rFonts w:hint="eastAsia" w:ascii="宋体" w:hAnsi="宋体" w:eastAsia="宋体" w:cs="宋体"/>
                <w:color w:val="auto"/>
                <w:kern w:val="2"/>
                <w:sz w:val="24"/>
                <w:szCs w:val="24"/>
                <w:highlight w:val="none"/>
                <w:lang w:val="zh-CN" w:eastAsia="zh-CN" w:bidi="ar-SA"/>
              </w:rPr>
              <w:t xml:space="preserve">             </w:t>
            </w:r>
          </w:p>
          <w:p w14:paraId="6CBCC162">
            <w:pPr>
              <w:pStyle w:val="57"/>
              <w:keepNext w:val="0"/>
              <w:keepLines w:val="0"/>
              <w:pageBreakBefore w:val="0"/>
              <w:widowControl w:val="0"/>
              <w:kinsoku/>
              <w:wordWrap/>
              <w:overflowPunct/>
              <w:topLinePunct w:val="0"/>
              <w:autoSpaceDE w:val="0"/>
              <w:autoSpaceDN w:val="0"/>
              <w:bidi w:val="0"/>
              <w:adjustRightInd w:val="0"/>
              <w:snapToGrid/>
              <w:spacing w:line="240" w:lineRule="auto"/>
              <w:textAlignment w:val="auto"/>
              <w:rPr>
                <w:rFonts w:hint="eastAsia" w:ascii="宋体" w:hAnsi="宋体" w:eastAsia="宋体" w:cs="宋体"/>
                <w:color w:val="auto"/>
                <w:kern w:val="2"/>
                <w:sz w:val="24"/>
                <w:szCs w:val="24"/>
                <w:highlight w:val="none"/>
                <w:lang w:val="zh-CN" w:eastAsia="zh-CN" w:bidi="ar-SA"/>
              </w:rPr>
            </w:pPr>
            <w:r>
              <w:rPr>
                <w:rFonts w:hint="eastAsia" w:ascii="宋体" w:hAnsi="宋体" w:eastAsia="宋体" w:cs="宋体"/>
                <w:color w:val="auto"/>
                <w:kern w:val="2"/>
                <w:sz w:val="24"/>
                <w:szCs w:val="24"/>
                <w:highlight w:val="none"/>
                <w:lang w:val="zh-CN" w:eastAsia="zh-CN" w:bidi="ar-SA"/>
              </w:rPr>
              <w:t>通讯地址：</w:t>
            </w:r>
            <w:r>
              <w:rPr>
                <w:rFonts w:hint="eastAsia" w:ascii="宋体" w:hAnsi="宋体" w:cs="宋体"/>
                <w:color w:val="auto"/>
                <w:sz w:val="24"/>
                <w:szCs w:val="24"/>
                <w:highlight w:val="none"/>
                <w:u w:val="single"/>
                <w:lang w:val="en-US" w:eastAsia="zh-CN"/>
              </w:rPr>
              <w:t>伊宁市江苏大道79号和谐商务综合楼5层502室</w:t>
            </w:r>
          </w:p>
        </w:tc>
      </w:tr>
      <w:tr w14:paraId="3C8ED12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1380" w:hRule="atLeast"/>
        </w:trPr>
        <w:tc>
          <w:tcPr>
            <w:tcW w:w="970" w:type="dxa"/>
            <w:vAlign w:val="center"/>
          </w:tcPr>
          <w:p w14:paraId="422A3CDD">
            <w:pPr>
              <w:pStyle w:val="49"/>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.1</w:t>
            </w:r>
          </w:p>
        </w:tc>
        <w:tc>
          <w:tcPr>
            <w:tcW w:w="1738" w:type="dxa"/>
            <w:vAlign w:val="center"/>
          </w:tcPr>
          <w:p w14:paraId="1782DE51">
            <w:pPr>
              <w:pStyle w:val="4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采购代理服务费收取方式和标准</w:t>
            </w:r>
          </w:p>
        </w:tc>
        <w:tc>
          <w:tcPr>
            <w:tcW w:w="6700" w:type="dxa"/>
            <w:vAlign w:val="center"/>
          </w:tcPr>
          <w:p w14:paraId="6DFC09BA">
            <w:pPr>
              <w:pStyle w:val="4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收</w:t>
            </w:r>
            <w:r>
              <w:rPr>
                <w:rFonts w:hint="eastAsia" w:ascii="宋体" w:hAnsi="宋体" w:eastAsia="宋体" w:cs="宋体"/>
                <w:color w:val="auto"/>
                <w:sz w:val="24"/>
                <w:szCs w:val="24"/>
                <w:highlight w:val="none"/>
              </w:rPr>
              <w:t>费</w:t>
            </w:r>
            <w:r>
              <w:rPr>
                <w:rFonts w:hint="eastAsia" w:ascii="宋体" w:hAnsi="宋体" w:eastAsia="宋体" w:cs="宋体"/>
                <w:color w:val="auto"/>
                <w:sz w:val="24"/>
                <w:szCs w:val="24"/>
                <w:highlight w:val="none"/>
                <w:lang w:val="en-US" w:eastAsia="zh-CN"/>
              </w:rPr>
              <w:t>对象</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 xml:space="preserve">采购人支付 </w:t>
            </w:r>
            <w:r>
              <w:rPr>
                <w:rFonts w:hint="eastAsia" w:ascii="宋体" w:hAnsi="宋体" w:eastAsia="宋体" w:cs="宋体"/>
                <w:color w:val="auto"/>
                <w:sz w:val="24"/>
                <w:szCs w:val="24"/>
                <w:highlight w:val="none"/>
              </w:rPr>
              <w:sym w:font="Wingdings" w:char="00FE"/>
            </w:r>
            <w:r>
              <w:rPr>
                <w:rFonts w:hint="eastAsia" w:ascii="宋体" w:hAnsi="宋体" w:eastAsia="宋体" w:cs="宋体"/>
                <w:color w:val="auto"/>
                <w:sz w:val="24"/>
                <w:szCs w:val="24"/>
                <w:highlight w:val="none"/>
                <w:lang w:val="en-US" w:eastAsia="zh-CN"/>
              </w:rPr>
              <w:t>成交</w:t>
            </w:r>
            <w:r>
              <w:rPr>
                <w:rFonts w:hint="eastAsia" w:ascii="宋体" w:hAnsi="宋体" w:eastAsia="宋体" w:cs="宋体"/>
                <w:color w:val="auto"/>
                <w:sz w:val="24"/>
                <w:szCs w:val="24"/>
                <w:highlight w:val="none"/>
              </w:rPr>
              <w:t xml:space="preserve">人支付 </w:t>
            </w:r>
          </w:p>
          <w:p w14:paraId="1F97CE2A">
            <w:pPr>
              <w:pStyle w:val="4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收费</w:t>
            </w:r>
            <w:r>
              <w:rPr>
                <w:rFonts w:hint="eastAsia" w:ascii="宋体" w:hAnsi="宋体" w:eastAsia="宋体" w:cs="宋体"/>
                <w:color w:val="auto"/>
                <w:sz w:val="24"/>
                <w:szCs w:val="24"/>
                <w:highlight w:val="none"/>
              </w:rPr>
              <w:t>标准：</w:t>
            </w:r>
            <w:r>
              <w:rPr>
                <w:rFonts w:hint="eastAsia" w:ascii="宋体" w:hAnsi="宋体" w:eastAsia="宋体" w:cs="宋体"/>
                <w:color w:val="auto"/>
                <w:sz w:val="24"/>
                <w:szCs w:val="24"/>
                <w:highlight w:val="none"/>
                <w:u w:val="single"/>
              </w:rPr>
              <w:t>本项目招标代理费参照（计价格[2002]1980号）中“招标代理服务收费标准（费率）”计算基础费用及发改价格【2015】299号文定为</w:t>
            </w:r>
            <w:r>
              <w:rPr>
                <w:rFonts w:hint="eastAsia" w:ascii="宋体" w:hAnsi="宋体" w:eastAsia="宋体" w:cs="宋体"/>
                <w:color w:val="auto"/>
                <w:sz w:val="24"/>
                <w:szCs w:val="24"/>
                <w:highlight w:val="none"/>
                <w:u w:val="single"/>
                <w:lang w:val="en-US" w:eastAsia="zh-CN"/>
              </w:rPr>
              <w:t>21400</w:t>
            </w:r>
            <w:r>
              <w:rPr>
                <w:rFonts w:hint="eastAsia" w:ascii="宋体" w:hAnsi="宋体" w:eastAsia="宋体" w:cs="宋体"/>
                <w:color w:val="auto"/>
                <w:sz w:val="24"/>
                <w:szCs w:val="24"/>
                <w:highlight w:val="none"/>
                <w:u w:val="single"/>
              </w:rPr>
              <w:t>元。</w:t>
            </w:r>
          </w:p>
          <w:p w14:paraId="4AC62231">
            <w:pPr>
              <w:pStyle w:val="4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收取</w:t>
            </w:r>
            <w:r>
              <w:rPr>
                <w:rFonts w:hint="eastAsia" w:ascii="宋体" w:hAnsi="宋体" w:eastAsia="宋体" w:cs="宋体"/>
                <w:color w:val="auto"/>
                <w:sz w:val="24"/>
                <w:szCs w:val="24"/>
                <w:highlight w:val="none"/>
              </w:rPr>
              <w:t>时间：</w:t>
            </w:r>
            <w:r>
              <w:rPr>
                <w:rFonts w:hint="eastAsia" w:ascii="宋体" w:hAnsi="宋体" w:eastAsia="宋体" w:cs="宋体"/>
                <w:color w:val="auto"/>
                <w:sz w:val="24"/>
                <w:szCs w:val="24"/>
                <w:highlight w:val="none"/>
                <w:u w:val="single"/>
              </w:rPr>
              <w:t>招标代理服务费由中标企业在领取成交通知书三日内一次性向招标代理机构支付。</w:t>
            </w:r>
          </w:p>
          <w:p w14:paraId="61DCABEC">
            <w:pPr>
              <w:pStyle w:val="49"/>
              <w:rPr>
                <w:rFonts w:hint="eastAsia" w:cs="宋体"/>
                <w:color w:val="auto"/>
                <w:sz w:val="24"/>
                <w:szCs w:val="24"/>
                <w:highlight w:val="none"/>
                <w:u w:val="single"/>
                <w:lang w:val="en-US" w:eastAsia="zh-CN"/>
              </w:rPr>
            </w:pP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val="en-US" w:eastAsia="zh-CN"/>
              </w:rPr>
              <w:t>收取</w:t>
            </w:r>
            <w:r>
              <w:rPr>
                <w:rFonts w:hint="eastAsia" w:ascii="宋体" w:hAnsi="宋体" w:eastAsia="宋体" w:cs="宋体"/>
                <w:color w:val="auto"/>
                <w:sz w:val="24"/>
                <w:szCs w:val="24"/>
                <w:highlight w:val="none"/>
              </w:rPr>
              <w:t>方式：</w:t>
            </w:r>
            <w:r>
              <w:rPr>
                <w:rFonts w:hint="eastAsia" w:cs="宋体"/>
                <w:color w:val="auto"/>
                <w:sz w:val="24"/>
                <w:szCs w:val="24"/>
                <w:highlight w:val="none"/>
                <w:u w:val="single"/>
                <w:lang w:val="en-US" w:eastAsia="zh-CN"/>
              </w:rPr>
              <w:t>电汇</w:t>
            </w:r>
          </w:p>
          <w:p w14:paraId="36D3E0D9">
            <w:pPr>
              <w:pStyle w:val="49"/>
              <w:rPr>
                <w:rFonts w:hint="eastAsia" w:cs="宋体"/>
                <w:color w:val="auto"/>
                <w:sz w:val="24"/>
                <w:szCs w:val="24"/>
                <w:highlight w:val="none"/>
                <w:u w:val="none"/>
                <w:lang w:val="en-US" w:eastAsia="zh-CN"/>
              </w:rPr>
            </w:pPr>
            <w:r>
              <w:rPr>
                <w:rFonts w:hint="eastAsia" w:cs="宋体"/>
                <w:color w:val="auto"/>
                <w:sz w:val="24"/>
                <w:szCs w:val="24"/>
                <w:highlight w:val="none"/>
                <w:u w:val="none"/>
                <w:lang w:val="en-US" w:eastAsia="zh-CN"/>
              </w:rPr>
              <w:t>招标代理服务费缴纳账号：</w:t>
            </w:r>
          </w:p>
          <w:p w14:paraId="1B490BBE">
            <w:pPr>
              <w:pStyle w:val="49"/>
              <w:rPr>
                <w:rFonts w:hint="eastAsia" w:cs="宋体"/>
                <w:color w:val="auto"/>
                <w:sz w:val="24"/>
                <w:szCs w:val="24"/>
                <w:highlight w:val="none"/>
                <w:u w:val="none"/>
                <w:lang w:val="en-US" w:eastAsia="zh-CN"/>
              </w:rPr>
            </w:pPr>
            <w:r>
              <w:rPr>
                <w:rFonts w:hint="eastAsia" w:cs="宋体"/>
                <w:color w:val="auto"/>
                <w:sz w:val="24"/>
                <w:szCs w:val="24"/>
                <w:highlight w:val="none"/>
                <w:u w:val="none"/>
                <w:lang w:val="en-US" w:eastAsia="zh-CN"/>
              </w:rPr>
              <w:t>账户名称：新疆星世豪项目管理有限公司</w:t>
            </w:r>
          </w:p>
          <w:p w14:paraId="3C5DE455">
            <w:pPr>
              <w:pStyle w:val="49"/>
              <w:rPr>
                <w:rFonts w:hint="eastAsia" w:cs="宋体"/>
                <w:color w:val="auto"/>
                <w:sz w:val="24"/>
                <w:szCs w:val="24"/>
                <w:highlight w:val="none"/>
                <w:u w:val="none"/>
                <w:lang w:val="en-US" w:eastAsia="zh-CN"/>
              </w:rPr>
            </w:pPr>
            <w:r>
              <w:rPr>
                <w:rFonts w:hint="eastAsia" w:cs="宋体"/>
                <w:color w:val="auto"/>
                <w:sz w:val="24"/>
                <w:szCs w:val="24"/>
                <w:highlight w:val="none"/>
                <w:u w:val="none"/>
                <w:lang w:val="en-US" w:eastAsia="zh-CN"/>
              </w:rPr>
              <w:t>银行开户名称：新疆伊犁农村商业银行解放路支行</w:t>
            </w:r>
          </w:p>
          <w:p w14:paraId="329BB1B1">
            <w:pPr>
              <w:pStyle w:val="49"/>
              <w:rPr>
                <w:rFonts w:hint="eastAsia" w:ascii="宋体" w:hAnsi="宋体" w:eastAsia="宋体" w:cs="宋体"/>
                <w:color w:val="auto"/>
                <w:sz w:val="24"/>
                <w:szCs w:val="24"/>
                <w:highlight w:val="none"/>
              </w:rPr>
            </w:pPr>
            <w:r>
              <w:rPr>
                <w:rFonts w:hint="eastAsia" w:cs="宋体"/>
                <w:color w:val="auto"/>
                <w:sz w:val="24"/>
                <w:szCs w:val="24"/>
                <w:highlight w:val="none"/>
                <w:u w:val="none"/>
                <w:lang w:val="en-US" w:eastAsia="zh-CN"/>
              </w:rPr>
              <w:t>账号：812050012010114701477</w:t>
            </w:r>
          </w:p>
        </w:tc>
      </w:tr>
      <w:tr w14:paraId="29A915F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751" w:hRule="atLeast"/>
        </w:trPr>
        <w:tc>
          <w:tcPr>
            <w:tcW w:w="970" w:type="dxa"/>
            <w:shd w:val="clear" w:color="auto" w:fill="auto"/>
            <w:vAlign w:val="center"/>
          </w:tcPr>
          <w:p w14:paraId="7FA1EFB0">
            <w:pPr>
              <w:pStyle w:val="49"/>
              <w:jc w:val="center"/>
              <w:rPr>
                <w:rFonts w:hint="eastAsia" w:ascii="宋体" w:hAnsi="宋体" w:eastAsia="宋体" w:cs="宋体"/>
                <w:color w:val="auto"/>
                <w:kern w:val="2"/>
                <w:sz w:val="24"/>
                <w:szCs w:val="24"/>
                <w:highlight w:val="none"/>
                <w:lang w:val="en-US" w:eastAsia="zh-CN" w:bidi="ar-SA"/>
              </w:rPr>
            </w:pPr>
            <w:r>
              <w:rPr>
                <w:rFonts w:hint="eastAsia" w:cs="宋体"/>
                <w:color w:val="auto"/>
                <w:sz w:val="24"/>
                <w:szCs w:val="24"/>
                <w:highlight w:val="none"/>
                <w:lang w:val="en-US" w:eastAsia="zh-CN"/>
              </w:rPr>
              <w:t>41.1</w:t>
            </w:r>
          </w:p>
        </w:tc>
        <w:tc>
          <w:tcPr>
            <w:tcW w:w="1738" w:type="dxa"/>
            <w:shd w:val="clear" w:color="auto" w:fill="auto"/>
            <w:vAlign w:val="center"/>
          </w:tcPr>
          <w:p w14:paraId="3DC8B9BB">
            <w:pPr>
              <w:pStyle w:val="49"/>
              <w:jc w:val="center"/>
              <w:rPr>
                <w:rFonts w:hint="eastAsia" w:ascii="宋体" w:hAnsi="宋体" w:eastAsia="宋体" w:cs="宋体"/>
                <w:color w:val="auto"/>
                <w:kern w:val="2"/>
                <w:sz w:val="24"/>
                <w:szCs w:val="24"/>
                <w:highlight w:val="none"/>
                <w:lang w:val="zh-CN" w:eastAsia="zh-CN" w:bidi="ar-SA"/>
              </w:rPr>
            </w:pPr>
            <w:r>
              <w:rPr>
                <w:rFonts w:hint="eastAsia" w:cs="宋体"/>
                <w:color w:val="auto"/>
                <w:sz w:val="24"/>
                <w:szCs w:val="24"/>
                <w:highlight w:val="none"/>
                <w:lang w:eastAsia="zh-CN"/>
              </w:rPr>
              <w:t>支持本国产品政策</w:t>
            </w:r>
          </w:p>
        </w:tc>
        <w:tc>
          <w:tcPr>
            <w:tcW w:w="6700" w:type="dxa"/>
            <w:shd w:val="clear" w:color="auto" w:fill="auto"/>
            <w:vAlign w:val="center"/>
          </w:tcPr>
          <w:p w14:paraId="7671BCB4">
            <w:pPr>
              <w:pStyle w:val="70"/>
              <w:widowControl w:val="0"/>
              <w:spacing w:before="0" w:beforeAutospacing="0" w:after="0" w:afterAutospacing="0" w:line="240" w:lineRule="auto"/>
              <w:jc w:val="both"/>
              <w:rPr>
                <w:rFonts w:hint="eastAsia" w:ascii="宋体" w:hAnsi="宋体" w:eastAsia="宋体" w:cs="宋体"/>
                <w:b/>
                <w:bCs/>
                <w:color w:val="auto"/>
                <w:kern w:val="0"/>
                <w:sz w:val="24"/>
                <w:szCs w:val="24"/>
                <w:highlight w:val="none"/>
                <w:lang w:val="en-US" w:eastAsia="zh-CN" w:bidi="ar-SA"/>
              </w:rPr>
            </w:pPr>
            <w:r>
              <w:rPr>
                <w:rFonts w:hint="eastAsia" w:cs="宋体"/>
                <w:b w:val="0"/>
                <w:bCs/>
                <w:color w:val="auto"/>
                <w:kern w:val="0"/>
                <w:sz w:val="24"/>
                <w:szCs w:val="24"/>
                <w:highlight w:val="none"/>
                <w:lang w:val="en-US" w:eastAsia="zh-CN" w:bidi="ar-SA"/>
              </w:rPr>
              <w:t>对符合本国产品标准的，依法对本国产品给予价格评审优惠，用扣除后的价格参与评审。</w:t>
            </w:r>
          </w:p>
        </w:tc>
      </w:tr>
      <w:tr w14:paraId="30DE59A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751" w:hRule="atLeast"/>
        </w:trPr>
        <w:tc>
          <w:tcPr>
            <w:tcW w:w="970" w:type="dxa"/>
            <w:vAlign w:val="center"/>
          </w:tcPr>
          <w:p w14:paraId="6F1BF374">
            <w:pPr>
              <w:pStyle w:val="49"/>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w:t>
            </w:r>
            <w:r>
              <w:rPr>
                <w:rFonts w:hint="eastAsia" w:cs="宋体"/>
                <w:color w:val="auto"/>
                <w:sz w:val="24"/>
                <w:szCs w:val="24"/>
                <w:highlight w:val="none"/>
                <w:lang w:val="en-US" w:eastAsia="zh-CN"/>
              </w:rPr>
              <w:t>2</w:t>
            </w:r>
          </w:p>
        </w:tc>
        <w:tc>
          <w:tcPr>
            <w:tcW w:w="1738" w:type="dxa"/>
            <w:vAlign w:val="center"/>
          </w:tcPr>
          <w:p w14:paraId="5D860FC6">
            <w:pPr>
              <w:pStyle w:val="4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rPr>
              <w:t>是否接受进口产品</w:t>
            </w:r>
          </w:p>
        </w:tc>
        <w:tc>
          <w:tcPr>
            <w:tcW w:w="6700" w:type="dxa"/>
            <w:vAlign w:val="center"/>
          </w:tcPr>
          <w:p w14:paraId="438B47DA">
            <w:pPr>
              <w:pStyle w:val="4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w:char="00FE"/>
            </w:r>
            <w:r>
              <w:rPr>
                <w:rFonts w:hint="eastAsia" w:ascii="宋体" w:hAnsi="宋体" w:eastAsia="宋体" w:cs="宋体"/>
                <w:color w:val="auto"/>
                <w:sz w:val="24"/>
                <w:szCs w:val="24"/>
                <w:highlight w:val="none"/>
              </w:rPr>
              <w:t>不接受</w:t>
            </w:r>
          </w:p>
          <w:p w14:paraId="1481386A">
            <w:pPr>
              <w:pStyle w:val="4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lang w:val="zh-CN"/>
              </w:rPr>
              <w:t>接受</w:t>
            </w:r>
          </w:p>
        </w:tc>
      </w:tr>
      <w:tr w14:paraId="2539FC1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1924" w:hRule="atLeast"/>
        </w:trPr>
        <w:tc>
          <w:tcPr>
            <w:tcW w:w="970" w:type="dxa"/>
            <w:vAlign w:val="center"/>
          </w:tcPr>
          <w:p w14:paraId="06648806">
            <w:pPr>
              <w:pStyle w:val="49"/>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val="en-US" w:eastAsia="zh-CN"/>
              </w:rPr>
              <w:t>2</w:t>
            </w:r>
          </w:p>
        </w:tc>
        <w:tc>
          <w:tcPr>
            <w:tcW w:w="1738" w:type="dxa"/>
            <w:vAlign w:val="center"/>
          </w:tcPr>
          <w:p w14:paraId="34AA4482">
            <w:pPr>
              <w:pStyle w:val="4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支持中小企业政策</w:t>
            </w:r>
          </w:p>
        </w:tc>
        <w:tc>
          <w:tcPr>
            <w:tcW w:w="6700" w:type="dxa"/>
            <w:vAlign w:val="center"/>
          </w:tcPr>
          <w:p w14:paraId="0F0FBEA6">
            <w:pPr>
              <w:pStyle w:val="74"/>
              <w:spacing w:before="19" w:line="199" w:lineRule="auto"/>
              <w:rPr>
                <w:rFonts w:hint="eastAsia" w:eastAsia="宋体"/>
                <w:highlight w:val="none"/>
                <w:lang w:eastAsia="zh-CN"/>
              </w:rPr>
            </w:pPr>
            <w:r>
              <w:rPr>
                <w:rFonts w:hint="eastAsia" w:ascii="宋体" w:hAnsi="宋体" w:eastAsia="宋体" w:cs="宋体"/>
                <w:color w:val="auto"/>
                <w:sz w:val="24"/>
                <w:szCs w:val="24"/>
                <w:highlight w:val="none"/>
              </w:rPr>
              <w:sym w:font="Wingdings" w:char="00FE"/>
            </w:r>
            <w:r>
              <w:rPr>
                <w:spacing w:val="2"/>
                <w:highlight w:val="none"/>
              </w:rPr>
              <w:t>专门面向中小企业；</w:t>
            </w:r>
            <w:r>
              <w:rPr>
                <w:rFonts w:hint="eastAsia"/>
                <w:spacing w:val="2"/>
                <w:highlight w:val="none"/>
                <w:lang w:eastAsia="zh-CN"/>
              </w:rPr>
              <w:t>（</w:t>
            </w:r>
            <w:r>
              <w:rPr>
                <w:rFonts w:hint="eastAsia"/>
                <w:spacing w:val="3"/>
                <w:highlight w:val="none"/>
                <w:lang w:val="en-US" w:eastAsia="zh-CN"/>
              </w:rPr>
              <w:t>本项目专门面向中小微企业采购（小微企业不再享受价格扣除优惠），不接受大型企业投标。</w:t>
            </w:r>
            <w:r>
              <w:rPr>
                <w:rFonts w:hint="eastAsia"/>
                <w:spacing w:val="2"/>
                <w:highlight w:val="none"/>
                <w:lang w:eastAsia="zh-CN"/>
              </w:rPr>
              <w:t>）</w:t>
            </w:r>
          </w:p>
          <w:p w14:paraId="11274B33">
            <w:pPr>
              <w:pStyle w:val="74"/>
              <w:spacing w:before="18" w:line="198" w:lineRule="auto"/>
              <w:jc w:val="center"/>
              <w:rPr>
                <w:spacing w:val="-4"/>
                <w:sz w:val="21"/>
                <w:szCs w:val="21"/>
                <w:highlight w:val="none"/>
              </w:rPr>
            </w:pPr>
            <w:r>
              <w:rPr>
                <w:rFonts w:hint="eastAsia" w:ascii="微软雅黑" w:hAnsi="微软雅黑" w:eastAsia="微软雅黑" w:cs="微软雅黑"/>
                <w:b/>
                <w:bCs/>
                <w:spacing w:val="-4"/>
                <w:sz w:val="21"/>
                <w:szCs w:val="21"/>
                <w:highlight w:val="none"/>
                <w:lang w:val="en-US" w:eastAsia="zh-CN"/>
              </w:rPr>
              <w:t xml:space="preserve">  </w:t>
            </w:r>
            <w:r>
              <w:rPr>
                <w:rFonts w:hint="eastAsia" w:ascii="微软雅黑" w:hAnsi="微软雅黑" w:eastAsia="微软雅黑" w:cs="微软雅黑"/>
                <w:b/>
                <w:bCs/>
                <w:spacing w:val="-4"/>
                <w:sz w:val="21"/>
                <w:szCs w:val="21"/>
                <w:highlight w:val="none"/>
                <w:lang w:eastAsia="zh-CN"/>
              </w:rPr>
              <w:t>☑</w:t>
            </w:r>
            <w:r>
              <w:rPr>
                <w:rFonts w:hint="eastAsia" w:ascii="微软雅黑" w:hAnsi="微软雅黑" w:eastAsia="微软雅黑" w:cs="微软雅黑"/>
                <w:b/>
                <w:bCs/>
                <w:spacing w:val="-4"/>
                <w:sz w:val="21"/>
                <w:szCs w:val="21"/>
                <w:highlight w:val="none"/>
                <w:lang w:val="en-US" w:eastAsia="zh-CN"/>
              </w:rPr>
              <w:t xml:space="preserve"> </w:t>
            </w:r>
            <w:r>
              <w:rPr>
                <w:spacing w:val="-4"/>
                <w:sz w:val="21"/>
                <w:szCs w:val="21"/>
                <w:highlight w:val="none"/>
              </w:rPr>
              <w:t>服务全部由符合政策要求的中小</w:t>
            </w:r>
            <w:r>
              <w:rPr>
                <w:rFonts w:hint="eastAsia"/>
                <w:spacing w:val="-4"/>
                <w:sz w:val="21"/>
                <w:szCs w:val="21"/>
                <w:highlight w:val="none"/>
                <w:lang w:val="en-US" w:eastAsia="zh-CN"/>
              </w:rPr>
              <w:t>微</w:t>
            </w:r>
            <w:r>
              <w:rPr>
                <w:spacing w:val="-4"/>
                <w:sz w:val="21"/>
                <w:szCs w:val="21"/>
                <w:highlight w:val="none"/>
              </w:rPr>
              <w:t>企业承接，提供中小企业声明函；</w:t>
            </w:r>
          </w:p>
          <w:p w14:paraId="7E862081">
            <w:pPr>
              <w:pStyle w:val="74"/>
              <w:spacing w:before="18" w:line="198" w:lineRule="auto"/>
              <w:jc w:val="center"/>
              <w:rPr>
                <w:spacing w:val="-4"/>
                <w:sz w:val="21"/>
                <w:szCs w:val="21"/>
                <w:highlight w:val="none"/>
              </w:rPr>
            </w:pPr>
            <w:r>
              <w:rPr>
                <w:rFonts w:hint="eastAsia" w:ascii="微软雅黑" w:hAnsi="微软雅黑" w:eastAsia="微软雅黑" w:cs="微软雅黑"/>
                <w:b/>
                <w:bCs/>
                <w:spacing w:val="-4"/>
                <w:sz w:val="21"/>
                <w:szCs w:val="21"/>
                <w:highlight w:val="none"/>
                <w:lang w:val="en-US" w:eastAsia="zh-CN"/>
              </w:rPr>
              <w:t xml:space="preserve"> </w:t>
            </w:r>
            <w:r>
              <w:rPr>
                <w:rFonts w:ascii="微软雅黑" w:hAnsi="微软雅黑" w:eastAsia="微软雅黑" w:cs="微软雅黑"/>
                <w:b/>
                <w:bCs/>
                <w:spacing w:val="-4"/>
                <w:sz w:val="21"/>
                <w:szCs w:val="21"/>
                <w:highlight w:val="none"/>
              </w:rPr>
              <w:t>□</w:t>
            </w:r>
            <w:r>
              <w:rPr>
                <w:rFonts w:hint="eastAsia" w:ascii="微软雅黑" w:hAnsi="微软雅黑" w:eastAsia="微软雅黑" w:cs="微软雅黑"/>
                <w:b/>
                <w:bCs/>
                <w:spacing w:val="-4"/>
                <w:sz w:val="21"/>
                <w:szCs w:val="21"/>
                <w:highlight w:val="none"/>
                <w:lang w:val="en-US" w:eastAsia="zh-CN"/>
              </w:rPr>
              <w:t xml:space="preserve"> </w:t>
            </w:r>
            <w:r>
              <w:rPr>
                <w:spacing w:val="-4"/>
                <w:sz w:val="21"/>
                <w:szCs w:val="21"/>
                <w:highlight w:val="none"/>
              </w:rPr>
              <w:t>服务全部由符合政策要求的小微企业承接，提供中小企业声明函；</w:t>
            </w:r>
          </w:p>
          <w:p w14:paraId="3E0FFEFB">
            <w:pPr>
              <w:pStyle w:val="74"/>
              <w:spacing w:before="18" w:line="198" w:lineRule="auto"/>
              <w:jc w:val="both"/>
              <w:rPr>
                <w:spacing w:val="-6"/>
                <w:highlight w:val="none"/>
              </w:rPr>
            </w:pPr>
            <w:r>
              <w:rPr>
                <w:rFonts w:hint="eastAsia" w:ascii="宋体" w:hAnsi="宋体" w:eastAsia="宋体" w:cs="宋体"/>
                <w:color w:val="auto"/>
                <w:sz w:val="24"/>
                <w:szCs w:val="24"/>
                <w:highlight w:val="none"/>
              </w:rPr>
              <w:sym w:font="Wingdings" w:char="00A8"/>
            </w:r>
            <w:r>
              <w:rPr>
                <w:spacing w:val="-6"/>
                <w:highlight w:val="none"/>
              </w:rPr>
              <w:t>非专门面向中小企业；</w:t>
            </w:r>
          </w:p>
          <w:p w14:paraId="3B63625C">
            <w:pPr>
              <w:pStyle w:val="74"/>
              <w:spacing w:before="20" w:line="176" w:lineRule="auto"/>
              <w:ind w:left="124"/>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1</w:t>
            </w:r>
            <w:r>
              <w:rPr>
                <w:rFonts w:hint="eastAsia" w:ascii="宋体" w:hAnsi="宋体" w:eastAsia="宋体" w:cs="宋体"/>
                <w:b w:val="0"/>
                <w:color w:val="auto"/>
                <w:sz w:val="24"/>
                <w:szCs w:val="24"/>
                <w:highlight w:val="none"/>
                <w:lang w:val="en-US" w:eastAsia="zh-CN"/>
              </w:rPr>
              <w:t>.</w:t>
            </w:r>
            <w:r>
              <w:rPr>
                <w:rFonts w:hint="eastAsia" w:ascii="宋体" w:hAnsi="宋体" w:eastAsia="宋体" w:cs="宋体"/>
                <w:b w:val="0"/>
                <w:color w:val="auto"/>
                <w:sz w:val="24"/>
                <w:szCs w:val="24"/>
                <w:highlight w:val="none"/>
              </w:rPr>
              <w:t>小型和微型企业价格扣除：</w:t>
            </w:r>
            <w:r>
              <w:rPr>
                <w:rFonts w:hint="eastAsia" w:ascii="宋体" w:hAnsi="宋体" w:eastAsia="宋体" w:cs="宋体"/>
                <w:b w:val="0"/>
                <w:color w:val="auto"/>
                <w:sz w:val="24"/>
                <w:szCs w:val="24"/>
                <w:highlight w:val="none"/>
                <w:u w:val="single"/>
                <w:lang w:val="en-US" w:eastAsia="zh-CN"/>
              </w:rPr>
              <w:t xml:space="preserve">  10%  </w:t>
            </w:r>
            <w:r>
              <w:rPr>
                <w:rFonts w:hint="eastAsia" w:ascii="宋体" w:hAnsi="宋体" w:eastAsia="宋体" w:cs="宋体"/>
                <w:b w:val="0"/>
                <w:color w:val="auto"/>
                <w:sz w:val="24"/>
                <w:szCs w:val="24"/>
                <w:highlight w:val="none"/>
                <w:lang w:val="en-US" w:eastAsia="zh-CN"/>
              </w:rPr>
              <w:t xml:space="preserve"> </w:t>
            </w:r>
            <w:r>
              <w:rPr>
                <w:rFonts w:hint="eastAsia" w:ascii="宋体" w:hAnsi="宋体" w:eastAsia="宋体" w:cs="宋体"/>
                <w:b w:val="0"/>
                <w:color w:val="auto"/>
                <w:sz w:val="24"/>
                <w:szCs w:val="24"/>
                <w:highlight w:val="none"/>
              </w:rPr>
              <w:t>。</w:t>
            </w:r>
          </w:p>
          <w:p w14:paraId="011C5C53">
            <w:pPr>
              <w:pStyle w:val="70"/>
              <w:widowControl w:val="0"/>
              <w:spacing w:before="0" w:beforeAutospacing="0" w:after="0" w:afterAutospacing="0" w:line="240" w:lineRule="auto"/>
              <w:jc w:val="both"/>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lang w:val="en-US" w:eastAsia="zh-CN"/>
              </w:rPr>
              <w:t xml:space="preserve"> </w:t>
            </w:r>
            <w:r>
              <w:rPr>
                <w:rFonts w:hint="eastAsia" w:ascii="宋体" w:hAnsi="宋体" w:eastAsia="宋体" w:cs="宋体"/>
                <w:b w:val="0"/>
                <w:color w:val="auto"/>
                <w:sz w:val="24"/>
                <w:szCs w:val="24"/>
                <w:highlight w:val="none"/>
              </w:rPr>
              <w:t>2</w:t>
            </w:r>
            <w:r>
              <w:rPr>
                <w:rFonts w:hint="eastAsia" w:ascii="宋体" w:hAnsi="宋体" w:eastAsia="宋体" w:cs="宋体"/>
                <w:b w:val="0"/>
                <w:color w:val="auto"/>
                <w:sz w:val="24"/>
                <w:szCs w:val="24"/>
                <w:highlight w:val="none"/>
                <w:lang w:val="en-US" w:eastAsia="zh-CN"/>
              </w:rPr>
              <w:t>.</w:t>
            </w:r>
            <w:r>
              <w:rPr>
                <w:rFonts w:hint="eastAsia" w:ascii="宋体" w:hAnsi="宋体" w:eastAsia="宋体" w:cs="宋体"/>
                <w:b w:val="0"/>
                <w:color w:val="auto"/>
                <w:sz w:val="24"/>
                <w:szCs w:val="24"/>
                <w:highlight w:val="none"/>
              </w:rPr>
              <w:t>监狱企业价格扣除：同小型和微型企业。</w:t>
            </w:r>
          </w:p>
          <w:p w14:paraId="7BE52DA6">
            <w:pPr>
              <w:pStyle w:val="70"/>
              <w:widowControl w:val="0"/>
              <w:spacing w:before="0" w:beforeAutospacing="0" w:after="0" w:afterAutospacing="0" w:line="240" w:lineRule="auto"/>
              <w:jc w:val="both"/>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lang w:val="en-US" w:eastAsia="zh-CN"/>
              </w:rPr>
              <w:t xml:space="preserve"> </w:t>
            </w:r>
            <w:r>
              <w:rPr>
                <w:rFonts w:hint="eastAsia" w:ascii="宋体" w:hAnsi="宋体" w:eastAsia="宋体" w:cs="宋体"/>
                <w:b w:val="0"/>
                <w:color w:val="auto"/>
                <w:sz w:val="24"/>
                <w:szCs w:val="24"/>
                <w:highlight w:val="none"/>
              </w:rPr>
              <w:t>3</w:t>
            </w:r>
            <w:r>
              <w:rPr>
                <w:rFonts w:hint="eastAsia" w:ascii="宋体" w:hAnsi="宋体" w:eastAsia="宋体" w:cs="宋体"/>
                <w:b w:val="0"/>
                <w:color w:val="auto"/>
                <w:sz w:val="24"/>
                <w:szCs w:val="24"/>
                <w:highlight w:val="none"/>
                <w:lang w:val="en-US" w:eastAsia="zh-CN"/>
              </w:rPr>
              <w:t>.</w:t>
            </w:r>
            <w:r>
              <w:rPr>
                <w:rFonts w:hint="eastAsia" w:ascii="宋体" w:hAnsi="宋体" w:eastAsia="宋体" w:cs="宋体"/>
                <w:b w:val="0"/>
                <w:color w:val="auto"/>
                <w:sz w:val="24"/>
                <w:szCs w:val="24"/>
                <w:highlight w:val="none"/>
              </w:rPr>
              <w:t>残疾人福利性单位价格扣除：同小型和微型企业。</w:t>
            </w:r>
          </w:p>
          <w:p w14:paraId="7C25EFC1">
            <w:pPr>
              <w:pStyle w:val="70"/>
              <w:widowControl w:val="0"/>
              <w:spacing w:before="0" w:beforeAutospacing="0" w:after="0" w:afterAutospacing="0" w:line="240" w:lineRule="auto"/>
              <w:jc w:val="both"/>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lang w:val="en-US" w:eastAsia="zh-CN"/>
              </w:rPr>
              <w:t xml:space="preserve"> </w:t>
            </w:r>
            <w:r>
              <w:rPr>
                <w:rFonts w:hint="eastAsia" w:ascii="宋体" w:hAnsi="宋体" w:eastAsia="宋体" w:cs="宋体"/>
                <w:b w:val="0"/>
                <w:color w:val="auto"/>
                <w:sz w:val="24"/>
                <w:szCs w:val="24"/>
                <w:highlight w:val="none"/>
              </w:rPr>
              <w:t>4</w:t>
            </w:r>
            <w:r>
              <w:rPr>
                <w:rFonts w:hint="eastAsia" w:ascii="宋体" w:hAnsi="宋体" w:eastAsia="宋体" w:cs="宋体"/>
                <w:b w:val="0"/>
                <w:color w:val="auto"/>
                <w:sz w:val="24"/>
                <w:szCs w:val="24"/>
                <w:highlight w:val="none"/>
                <w:lang w:val="en-US" w:eastAsia="zh-CN"/>
              </w:rPr>
              <w:t>.</w:t>
            </w:r>
            <w:r>
              <w:rPr>
                <w:rFonts w:hint="eastAsia" w:ascii="宋体" w:hAnsi="宋体" w:eastAsia="宋体" w:cs="宋体"/>
                <w:b w:val="0"/>
                <w:color w:val="auto"/>
                <w:sz w:val="24"/>
                <w:szCs w:val="24"/>
                <w:highlight w:val="none"/>
              </w:rPr>
              <w:t>符合条件的联合体价格扣除：</w:t>
            </w:r>
            <w:r>
              <w:rPr>
                <w:rFonts w:hint="eastAsia" w:ascii="宋体" w:hAnsi="宋体" w:eastAsia="宋体" w:cs="宋体"/>
                <w:b w:val="0"/>
                <w:color w:val="auto"/>
                <w:sz w:val="24"/>
                <w:szCs w:val="24"/>
                <w:highlight w:val="none"/>
                <w:lang w:val="en-US" w:eastAsia="zh-CN"/>
              </w:rPr>
              <w:t>：本项目不接受联合体</w:t>
            </w:r>
            <w:r>
              <w:rPr>
                <w:rFonts w:hint="eastAsia" w:ascii="宋体" w:hAnsi="宋体" w:eastAsia="宋体" w:cs="宋体"/>
                <w:b w:val="0"/>
                <w:color w:val="auto"/>
                <w:sz w:val="24"/>
                <w:szCs w:val="24"/>
                <w:highlight w:val="none"/>
              </w:rPr>
              <w:t>。</w:t>
            </w:r>
          </w:p>
          <w:p w14:paraId="18800C23">
            <w:pPr>
              <w:pStyle w:val="70"/>
              <w:widowControl w:val="0"/>
              <w:spacing w:before="0" w:beforeAutospacing="0" w:after="0" w:afterAutospacing="0" w:line="240" w:lineRule="auto"/>
              <w:jc w:val="both"/>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color w:val="auto"/>
                <w:sz w:val="24"/>
                <w:szCs w:val="24"/>
                <w:highlight w:val="none"/>
                <w:lang w:val="en-US" w:eastAsia="zh-CN"/>
              </w:rPr>
              <w:t xml:space="preserve"> </w:t>
            </w:r>
            <w:r>
              <w:rPr>
                <w:rFonts w:hint="eastAsia" w:ascii="宋体" w:hAnsi="宋体" w:eastAsia="宋体" w:cs="宋体"/>
                <w:b w:val="0"/>
                <w:color w:val="auto"/>
                <w:sz w:val="24"/>
                <w:szCs w:val="24"/>
                <w:highlight w:val="none"/>
              </w:rPr>
              <w:t>5</w:t>
            </w:r>
            <w:r>
              <w:rPr>
                <w:rFonts w:hint="eastAsia" w:ascii="宋体" w:hAnsi="宋体" w:eastAsia="宋体" w:cs="宋体"/>
                <w:b w:val="0"/>
                <w:color w:val="auto"/>
                <w:sz w:val="24"/>
                <w:szCs w:val="24"/>
                <w:highlight w:val="none"/>
                <w:lang w:val="en-US" w:eastAsia="zh-CN"/>
              </w:rPr>
              <w:t>.</w:t>
            </w:r>
            <w:r>
              <w:rPr>
                <w:rFonts w:hint="eastAsia" w:ascii="宋体" w:hAnsi="宋体" w:eastAsia="宋体" w:cs="宋体"/>
                <w:b w:val="0"/>
                <w:color w:val="auto"/>
                <w:sz w:val="24"/>
                <w:szCs w:val="24"/>
                <w:highlight w:val="none"/>
              </w:rPr>
              <w:t>符合条件的向小微企业分包的大中型企业价格扣除：</w:t>
            </w:r>
            <w:r>
              <w:rPr>
                <w:rFonts w:hint="eastAsia" w:ascii="宋体" w:hAnsi="宋体" w:eastAsia="宋体" w:cs="宋体"/>
                <w:b w:val="0"/>
                <w:color w:val="auto"/>
                <w:sz w:val="24"/>
                <w:szCs w:val="24"/>
                <w:highlight w:val="none"/>
                <w:u w:val="single"/>
                <w:lang w:val="en-US" w:eastAsia="zh-CN"/>
              </w:rPr>
              <w:t xml:space="preserve"> </w:t>
            </w:r>
            <w:r>
              <w:rPr>
                <w:rFonts w:hint="eastAsia" w:cs="宋体"/>
                <w:b w:val="0"/>
                <w:color w:val="auto"/>
                <w:sz w:val="24"/>
                <w:szCs w:val="24"/>
                <w:highlight w:val="none"/>
                <w:u w:val="single"/>
                <w:lang w:val="en-US" w:eastAsia="zh-CN"/>
              </w:rPr>
              <w:t>本项目不允许分包</w:t>
            </w:r>
            <w:r>
              <w:rPr>
                <w:rFonts w:hint="eastAsia" w:ascii="宋体" w:hAnsi="宋体" w:eastAsia="宋体" w:cs="宋体"/>
                <w:b w:val="0"/>
                <w:color w:val="auto"/>
                <w:sz w:val="24"/>
                <w:szCs w:val="24"/>
                <w:highlight w:val="none"/>
                <w:u w:val="single"/>
                <w:lang w:val="en-US" w:eastAsia="zh-CN"/>
              </w:rPr>
              <w:t xml:space="preserve"> </w:t>
            </w:r>
            <w:r>
              <w:rPr>
                <w:rFonts w:hint="eastAsia" w:ascii="宋体" w:hAnsi="宋体" w:eastAsia="宋体" w:cs="宋体"/>
                <w:b w:val="0"/>
                <w:color w:val="auto"/>
                <w:sz w:val="24"/>
                <w:szCs w:val="24"/>
                <w:highlight w:val="none"/>
              </w:rPr>
              <w:t>。</w:t>
            </w:r>
            <w:r>
              <w:rPr>
                <w:rFonts w:hint="eastAsia" w:ascii="宋体" w:hAnsi="宋体" w:eastAsia="宋体" w:cs="宋体"/>
                <w:b w:val="0"/>
                <w:i w:val="0"/>
                <w:iCs/>
                <w:color w:val="auto"/>
                <w:sz w:val="24"/>
                <w:szCs w:val="24"/>
                <w:highlight w:val="none"/>
              </w:rPr>
              <w:t>（允许大中型企业向小微企业分包的项目适用）</w:t>
            </w:r>
          </w:p>
        </w:tc>
      </w:tr>
      <w:tr w14:paraId="707AAB8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2478" w:hRule="atLeast"/>
        </w:trPr>
        <w:tc>
          <w:tcPr>
            <w:tcW w:w="970" w:type="dxa"/>
            <w:vAlign w:val="center"/>
          </w:tcPr>
          <w:p w14:paraId="3AAFC5B3">
            <w:pPr>
              <w:pStyle w:val="49"/>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42.5</w:t>
            </w:r>
          </w:p>
        </w:tc>
        <w:tc>
          <w:tcPr>
            <w:tcW w:w="1738" w:type="dxa"/>
            <w:vAlign w:val="center"/>
          </w:tcPr>
          <w:p w14:paraId="59931474">
            <w:pPr>
              <w:pStyle w:val="4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标的所属行业</w:t>
            </w:r>
          </w:p>
          <w:p w14:paraId="27995733">
            <w:pPr>
              <w:pStyle w:val="49"/>
              <w:rPr>
                <w:rFonts w:hint="eastAsia" w:ascii="宋体" w:hAnsi="宋体" w:eastAsia="宋体" w:cs="宋体"/>
                <w:color w:val="auto"/>
                <w:sz w:val="24"/>
                <w:szCs w:val="24"/>
                <w:highlight w:val="none"/>
                <w:lang w:val="en-US" w:eastAsia="zh-CN"/>
              </w:rPr>
            </w:pPr>
            <w:r>
              <w:rPr>
                <w:rStyle w:val="32"/>
                <w:rFonts w:hint="eastAsia" w:ascii="宋体" w:hAnsi="宋体" w:eastAsia="宋体" w:cs="宋体"/>
                <w:b w:val="0"/>
                <w:color w:val="auto"/>
                <w:sz w:val="24"/>
                <w:szCs w:val="24"/>
                <w:highlight w:val="none"/>
                <w:lang w:val="en-US" w:eastAsia="zh-CN"/>
              </w:rPr>
              <w:t>参照后附</w:t>
            </w:r>
            <w:r>
              <w:rPr>
                <w:rStyle w:val="32"/>
                <w:rFonts w:hint="eastAsia" w:ascii="宋体" w:hAnsi="宋体" w:eastAsia="宋体" w:cs="宋体"/>
                <w:b w:val="0"/>
                <w:color w:val="auto"/>
                <w:sz w:val="24"/>
                <w:szCs w:val="24"/>
                <w:highlight w:val="none"/>
                <w:lang w:eastAsia="zh-CN"/>
              </w:rPr>
              <w:t>《</w:t>
            </w:r>
            <w:r>
              <w:rPr>
                <w:rStyle w:val="32"/>
                <w:rFonts w:hint="eastAsia" w:ascii="宋体" w:hAnsi="宋体" w:eastAsia="宋体" w:cs="宋体"/>
                <w:b w:val="0"/>
                <w:color w:val="auto"/>
                <w:sz w:val="24"/>
                <w:szCs w:val="24"/>
                <w:highlight w:val="none"/>
              </w:rPr>
              <w:t>工信部联企业〔2011〕300号</w:t>
            </w:r>
            <w:r>
              <w:rPr>
                <w:rStyle w:val="32"/>
                <w:rFonts w:hint="eastAsia" w:ascii="宋体" w:hAnsi="宋体" w:eastAsia="宋体" w:cs="宋体"/>
                <w:b w:val="0"/>
                <w:color w:val="auto"/>
                <w:sz w:val="24"/>
                <w:szCs w:val="24"/>
                <w:highlight w:val="none"/>
                <w:lang w:eastAsia="zh-CN"/>
              </w:rPr>
              <w:t>》</w:t>
            </w:r>
          </w:p>
        </w:tc>
        <w:tc>
          <w:tcPr>
            <w:tcW w:w="6700" w:type="dxa"/>
            <w:vAlign w:val="center"/>
          </w:tcPr>
          <w:p w14:paraId="6804F69E">
            <w:pPr>
              <w:keepNext w:val="0"/>
              <w:keepLines w:val="0"/>
              <w:widowControl/>
              <w:suppressLineNumbers w:val="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本项目采购标的对应的中小企业划分标准所属行业： </w:t>
            </w:r>
          </w:p>
          <w:tbl>
            <w:tblPr>
              <w:tblStyle w:val="30"/>
              <w:tblW w:w="61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7"/>
              <w:gridCol w:w="2662"/>
              <w:gridCol w:w="2407"/>
            </w:tblGrid>
            <w:tr w14:paraId="1CAAD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87" w:type="dxa"/>
                  <w:vAlign w:val="center"/>
                </w:tcPr>
                <w:p w14:paraId="7059451F">
                  <w:pPr>
                    <w:keepNext w:val="0"/>
                    <w:keepLines w:val="0"/>
                    <w:widowControl/>
                    <w:suppressLineNumbers w:val="0"/>
                    <w:spacing w:line="240" w:lineRule="auto"/>
                    <w:jc w:val="center"/>
                    <w:rPr>
                      <w:rFonts w:hint="eastAsia" w:ascii="宋体" w:hAnsi="宋体" w:eastAsia="宋体" w:cs="宋体"/>
                      <w:color w:val="auto"/>
                      <w:kern w:val="0"/>
                      <w:sz w:val="24"/>
                      <w:szCs w:val="24"/>
                      <w:highlight w:val="none"/>
                      <w:vertAlign w:val="baseline"/>
                      <w:lang w:val="en-US" w:eastAsia="zh-CN" w:bidi="ar"/>
                    </w:rPr>
                  </w:pPr>
                  <w:r>
                    <w:rPr>
                      <w:rFonts w:hint="eastAsia" w:ascii="宋体" w:hAnsi="宋体" w:eastAsia="宋体" w:cs="宋体"/>
                      <w:color w:val="auto"/>
                      <w:kern w:val="0"/>
                      <w:sz w:val="24"/>
                      <w:szCs w:val="24"/>
                      <w:highlight w:val="none"/>
                      <w:lang w:val="en-US" w:eastAsia="zh-CN" w:bidi="ar"/>
                    </w:rPr>
                    <w:t>包号</w:t>
                  </w:r>
                </w:p>
              </w:tc>
              <w:tc>
                <w:tcPr>
                  <w:tcW w:w="2662" w:type="dxa"/>
                  <w:vAlign w:val="center"/>
                </w:tcPr>
                <w:p w14:paraId="334359A5">
                  <w:pPr>
                    <w:keepNext w:val="0"/>
                    <w:keepLines w:val="0"/>
                    <w:widowControl/>
                    <w:suppressLineNumbers w:val="0"/>
                    <w:spacing w:line="240" w:lineRule="auto"/>
                    <w:jc w:val="center"/>
                    <w:rPr>
                      <w:rFonts w:hint="eastAsia" w:ascii="宋体" w:hAnsi="宋体" w:eastAsia="宋体" w:cs="宋体"/>
                      <w:color w:val="auto"/>
                      <w:kern w:val="0"/>
                      <w:sz w:val="24"/>
                      <w:szCs w:val="24"/>
                      <w:highlight w:val="none"/>
                      <w:vertAlign w:val="baseline"/>
                      <w:lang w:val="en-US" w:eastAsia="zh-CN" w:bidi="ar"/>
                    </w:rPr>
                  </w:pPr>
                  <w:r>
                    <w:rPr>
                      <w:rFonts w:hint="eastAsia" w:ascii="宋体" w:hAnsi="宋体" w:eastAsia="宋体" w:cs="宋体"/>
                      <w:color w:val="auto"/>
                      <w:kern w:val="0"/>
                      <w:sz w:val="24"/>
                      <w:szCs w:val="24"/>
                      <w:highlight w:val="none"/>
                      <w:lang w:val="en-US" w:eastAsia="zh-CN" w:bidi="ar"/>
                    </w:rPr>
                    <w:t>标的名称</w:t>
                  </w:r>
                </w:p>
              </w:tc>
              <w:tc>
                <w:tcPr>
                  <w:tcW w:w="2407" w:type="dxa"/>
                  <w:vAlign w:val="center"/>
                </w:tcPr>
                <w:p w14:paraId="6E9115BA">
                  <w:pPr>
                    <w:keepNext w:val="0"/>
                    <w:keepLines w:val="0"/>
                    <w:widowControl/>
                    <w:suppressLineNumbers w:val="0"/>
                    <w:spacing w:line="240" w:lineRule="auto"/>
                    <w:jc w:val="center"/>
                    <w:rPr>
                      <w:rFonts w:hint="eastAsia" w:ascii="宋体" w:hAnsi="宋体" w:eastAsia="宋体" w:cs="宋体"/>
                      <w:color w:val="auto"/>
                      <w:kern w:val="0"/>
                      <w:sz w:val="24"/>
                      <w:szCs w:val="24"/>
                      <w:highlight w:val="none"/>
                      <w:vertAlign w:val="baseline"/>
                      <w:lang w:val="en-US" w:eastAsia="zh-CN" w:bidi="ar"/>
                    </w:rPr>
                  </w:pPr>
                  <w:r>
                    <w:rPr>
                      <w:rFonts w:hint="eastAsia" w:ascii="宋体" w:hAnsi="宋体" w:eastAsia="宋体" w:cs="宋体"/>
                      <w:color w:val="auto"/>
                      <w:kern w:val="0"/>
                      <w:sz w:val="24"/>
                      <w:szCs w:val="24"/>
                      <w:highlight w:val="none"/>
                      <w:lang w:val="en-US" w:eastAsia="zh-CN" w:bidi="ar"/>
                    </w:rPr>
                    <w:t>中小企业划分标准所属行业</w:t>
                  </w:r>
                </w:p>
              </w:tc>
            </w:tr>
            <w:tr w14:paraId="123944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7" w:type="dxa"/>
                  <w:vAlign w:val="center"/>
                </w:tcPr>
                <w:p w14:paraId="0F8AAE75">
                  <w:pPr>
                    <w:keepNext w:val="0"/>
                    <w:keepLines w:val="0"/>
                    <w:widowControl/>
                    <w:suppressLineNumbers w:val="0"/>
                    <w:spacing w:line="240" w:lineRule="auto"/>
                    <w:jc w:val="center"/>
                    <w:rPr>
                      <w:rFonts w:hint="eastAsia" w:ascii="宋体" w:hAnsi="宋体" w:eastAsia="宋体" w:cs="宋体"/>
                      <w:color w:val="auto"/>
                      <w:kern w:val="0"/>
                      <w:sz w:val="24"/>
                      <w:szCs w:val="24"/>
                      <w:highlight w:val="none"/>
                      <w:vertAlign w:val="baseline"/>
                      <w:lang w:val="en-US" w:eastAsia="zh-CN" w:bidi="ar"/>
                    </w:rPr>
                  </w:pPr>
                  <w:r>
                    <w:rPr>
                      <w:rFonts w:hint="eastAsia" w:ascii="宋体" w:hAnsi="宋体" w:eastAsia="宋体" w:cs="宋体"/>
                      <w:color w:val="auto"/>
                      <w:kern w:val="0"/>
                      <w:sz w:val="24"/>
                      <w:szCs w:val="24"/>
                      <w:highlight w:val="none"/>
                      <w:vertAlign w:val="baseline"/>
                      <w:lang w:val="en-US" w:eastAsia="zh-CN" w:bidi="ar"/>
                    </w:rPr>
                    <w:t>第2包</w:t>
                  </w:r>
                </w:p>
              </w:tc>
              <w:tc>
                <w:tcPr>
                  <w:tcW w:w="2662" w:type="dxa"/>
                  <w:vAlign w:val="center"/>
                </w:tcPr>
                <w:p w14:paraId="1C0A0773">
                  <w:pPr>
                    <w:keepNext w:val="0"/>
                    <w:keepLines w:val="0"/>
                    <w:widowControl/>
                    <w:suppressLineNumbers w:val="0"/>
                    <w:spacing w:line="240" w:lineRule="auto"/>
                    <w:jc w:val="center"/>
                    <w:rPr>
                      <w:rFonts w:hint="default" w:ascii="宋体" w:hAnsi="宋体" w:eastAsia="宋体" w:cs="宋体"/>
                      <w:color w:val="auto"/>
                      <w:kern w:val="0"/>
                      <w:sz w:val="24"/>
                      <w:szCs w:val="24"/>
                      <w:highlight w:val="none"/>
                      <w:vertAlign w:val="baseline"/>
                      <w:lang w:val="en-US" w:eastAsia="zh-CN" w:bidi="ar"/>
                    </w:rPr>
                  </w:pPr>
                  <w:r>
                    <w:rPr>
                      <w:rFonts w:hint="eastAsia" w:ascii="宋体" w:hAnsi="宋体" w:eastAsia="宋体" w:cs="宋体"/>
                      <w:color w:val="auto"/>
                      <w:kern w:val="0"/>
                      <w:sz w:val="24"/>
                      <w:szCs w:val="24"/>
                      <w:highlight w:val="none"/>
                      <w:vertAlign w:val="baseline"/>
                      <w:lang w:val="en-US" w:eastAsia="zh-CN" w:bidi="ar"/>
                    </w:rPr>
                    <w:t>伊犁州妇幼保健院安保洗涤外包服务采购项目</w:t>
                  </w:r>
                  <w:r>
                    <w:rPr>
                      <w:rFonts w:hint="eastAsia" w:cs="宋体"/>
                      <w:color w:val="auto"/>
                      <w:kern w:val="0"/>
                      <w:sz w:val="24"/>
                      <w:szCs w:val="24"/>
                      <w:highlight w:val="none"/>
                      <w:vertAlign w:val="baseline"/>
                      <w:lang w:val="en-US" w:eastAsia="zh-CN" w:bidi="ar"/>
                    </w:rPr>
                    <w:t>（二标段）二次</w:t>
                  </w:r>
                </w:p>
              </w:tc>
              <w:tc>
                <w:tcPr>
                  <w:tcW w:w="2407" w:type="dxa"/>
                  <w:vAlign w:val="center"/>
                </w:tcPr>
                <w:p w14:paraId="22AB6EE5">
                  <w:pPr>
                    <w:keepNext w:val="0"/>
                    <w:keepLines w:val="0"/>
                    <w:widowControl/>
                    <w:suppressLineNumbers w:val="0"/>
                    <w:spacing w:line="240" w:lineRule="auto"/>
                    <w:jc w:val="center"/>
                    <w:rPr>
                      <w:rFonts w:hint="eastAsia" w:ascii="宋体" w:hAnsi="宋体" w:eastAsia="宋体" w:cs="宋体"/>
                      <w:color w:val="auto"/>
                      <w:kern w:val="0"/>
                      <w:sz w:val="24"/>
                      <w:szCs w:val="24"/>
                      <w:highlight w:val="none"/>
                      <w:u w:val="none" w:color="auto"/>
                      <w:vertAlign w:val="baseline"/>
                      <w:lang w:val="en-US" w:eastAsia="zh-CN" w:bidi="ar"/>
                    </w:rPr>
                  </w:pPr>
                  <w:r>
                    <w:rPr>
                      <w:rFonts w:hint="eastAsia"/>
                      <w:b/>
                      <w:bCs/>
                      <w:spacing w:val="-3"/>
                      <w:highlight w:val="none"/>
                      <w:u w:val="none" w:color="auto"/>
                      <w:lang w:val="en-US" w:eastAsia="zh-CN"/>
                    </w:rPr>
                    <w:t>其他未列明行业</w:t>
                  </w:r>
                </w:p>
              </w:tc>
            </w:tr>
            <w:tr w14:paraId="5F7ACC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56" w:type="dxa"/>
                  <w:gridSpan w:val="3"/>
                  <w:vAlign w:val="center"/>
                </w:tcPr>
                <w:p w14:paraId="15619F96">
                  <w:pPr>
                    <w:keepNext w:val="0"/>
                    <w:keepLines w:val="0"/>
                    <w:widowControl/>
                    <w:suppressLineNumbers w:val="0"/>
                    <w:jc w:val="left"/>
                    <w:rPr>
                      <w:rFonts w:hint="eastAsia"/>
                      <w:b/>
                      <w:bCs/>
                      <w:spacing w:val="-3"/>
                      <w:highlight w:val="none"/>
                      <w:u w:val="none" w:color="auto"/>
                      <w:lang w:val="en-US" w:eastAsia="zh-CN"/>
                    </w:rPr>
                  </w:pPr>
                  <w:r>
                    <w:rPr>
                      <w:rFonts w:hint="eastAsia"/>
                      <w:b/>
                      <w:bCs/>
                      <w:spacing w:val="-3"/>
                      <w:highlight w:val="none"/>
                      <w:u w:val="none" w:color="auto"/>
                      <w:lang w:val="en-US" w:eastAsia="zh-CN"/>
                    </w:rPr>
                    <w:t>其他未列明行业划分标准：</w:t>
                  </w:r>
                  <w:r>
                    <w:rPr>
                      <w:rFonts w:hint="eastAsia"/>
                      <w:spacing w:val="-3"/>
                      <w:highlight w:val="none"/>
                    </w:rPr>
                    <w:t>从业人员300人以下的为中小微型企业。其中，从业人员100人及以上的为中型企业；从业人员10人及以上的为小型企业；从业人员10人以下的为微型企业</w:t>
                  </w:r>
                  <w:r>
                    <w:rPr>
                      <w:spacing w:val="-3"/>
                      <w:highlight w:val="none"/>
                    </w:rPr>
                    <w:t>。</w:t>
                  </w:r>
                </w:p>
              </w:tc>
            </w:tr>
          </w:tbl>
          <w:p w14:paraId="6BCD41A0">
            <w:pPr>
              <w:pStyle w:val="49"/>
              <w:rPr>
                <w:rFonts w:hint="eastAsia" w:ascii="宋体" w:hAnsi="宋体" w:eastAsia="宋体" w:cs="宋体"/>
                <w:color w:val="auto"/>
                <w:sz w:val="24"/>
                <w:szCs w:val="24"/>
                <w:highlight w:val="none"/>
              </w:rPr>
            </w:pPr>
          </w:p>
        </w:tc>
      </w:tr>
      <w:tr w14:paraId="4C8E5A4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1172" w:hRule="atLeast"/>
        </w:trPr>
        <w:tc>
          <w:tcPr>
            <w:tcW w:w="970" w:type="dxa"/>
            <w:shd w:val="clear" w:color="auto" w:fill="auto"/>
            <w:vAlign w:val="center"/>
          </w:tcPr>
          <w:p w14:paraId="213F4586">
            <w:pPr>
              <w:pStyle w:val="49"/>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43.5</w:t>
            </w:r>
          </w:p>
        </w:tc>
        <w:tc>
          <w:tcPr>
            <w:tcW w:w="1738" w:type="dxa"/>
            <w:shd w:val="clear" w:color="auto" w:fill="auto"/>
            <w:vAlign w:val="center"/>
          </w:tcPr>
          <w:p w14:paraId="7C0C8321">
            <w:pPr>
              <w:pStyle w:val="4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优先采购创新节能环保产品</w:t>
            </w:r>
          </w:p>
        </w:tc>
        <w:tc>
          <w:tcPr>
            <w:tcW w:w="6700" w:type="dxa"/>
            <w:shd w:val="clear" w:color="auto" w:fill="auto"/>
            <w:vAlign w:val="center"/>
          </w:tcPr>
          <w:p w14:paraId="1E29B3FF">
            <w:pPr>
              <w:pStyle w:val="49"/>
              <w:rPr>
                <w:rFonts w:hint="eastAsia" w:ascii="宋体" w:hAnsi="宋体" w:eastAsia="宋体" w:cs="宋体"/>
                <w:i w:val="0"/>
                <w:iCs w:val="0"/>
                <w:color w:val="auto"/>
                <w:sz w:val="24"/>
                <w:szCs w:val="24"/>
                <w:highlight w:val="red"/>
              </w:rPr>
            </w:pPr>
            <w:r>
              <w:rPr>
                <w:rFonts w:hint="eastAsia" w:ascii="宋体" w:hAnsi="宋体" w:eastAsia="宋体" w:cs="宋体"/>
                <w:i w:val="0"/>
                <w:iCs w:val="0"/>
                <w:color w:val="auto"/>
                <w:sz w:val="24"/>
                <w:szCs w:val="24"/>
                <w:highlight w:val="none"/>
              </w:rPr>
              <w:t>所</w:t>
            </w:r>
            <w:r>
              <w:rPr>
                <w:rFonts w:hint="eastAsia" w:ascii="宋体" w:hAnsi="宋体" w:eastAsia="宋体" w:cs="宋体"/>
                <w:i w:val="0"/>
                <w:iCs w:val="0"/>
                <w:color w:val="auto"/>
                <w:sz w:val="24"/>
                <w:szCs w:val="24"/>
                <w:highlight w:val="none"/>
                <w:lang w:val="en-US" w:eastAsia="zh-CN"/>
              </w:rPr>
              <w:t>响应</w:t>
            </w:r>
            <w:r>
              <w:rPr>
                <w:rFonts w:hint="eastAsia" w:ascii="宋体" w:hAnsi="宋体" w:eastAsia="宋体" w:cs="宋体"/>
                <w:i w:val="0"/>
                <w:iCs w:val="0"/>
                <w:color w:val="auto"/>
                <w:sz w:val="24"/>
                <w:szCs w:val="24"/>
                <w:highlight w:val="none"/>
              </w:rPr>
              <w:t>产品纳入创新产品应用示范推荐目录内企业、所</w:t>
            </w:r>
            <w:r>
              <w:rPr>
                <w:rFonts w:hint="eastAsia" w:ascii="宋体" w:hAnsi="宋体" w:eastAsia="宋体" w:cs="宋体"/>
                <w:i w:val="0"/>
                <w:iCs w:val="0"/>
                <w:color w:val="auto"/>
                <w:sz w:val="24"/>
                <w:szCs w:val="24"/>
                <w:highlight w:val="none"/>
                <w:lang w:val="en-US" w:eastAsia="zh-CN"/>
              </w:rPr>
              <w:t>响应</w:t>
            </w:r>
            <w:r>
              <w:rPr>
                <w:rFonts w:hint="eastAsia" w:ascii="宋体" w:hAnsi="宋体" w:eastAsia="宋体" w:cs="宋体"/>
                <w:i w:val="0"/>
                <w:iCs w:val="0"/>
                <w:color w:val="auto"/>
                <w:sz w:val="24"/>
                <w:szCs w:val="24"/>
                <w:highlight w:val="none"/>
              </w:rPr>
              <w:t>产品获得节能产品或环境标志产品认证证书的</w:t>
            </w:r>
            <w:r>
              <w:rPr>
                <w:rFonts w:hint="eastAsia" w:ascii="宋体" w:hAnsi="宋体" w:eastAsia="宋体" w:cs="宋体"/>
                <w:i w:val="0"/>
                <w:iCs w:val="0"/>
                <w:color w:val="auto"/>
                <w:sz w:val="24"/>
                <w:szCs w:val="24"/>
                <w:highlight w:val="none"/>
                <w:lang w:val="en-US" w:eastAsia="zh-CN"/>
              </w:rPr>
              <w:t>供应商</w:t>
            </w:r>
            <w:r>
              <w:rPr>
                <w:rFonts w:hint="eastAsia" w:ascii="宋体" w:hAnsi="宋体" w:eastAsia="宋体" w:cs="宋体"/>
                <w:i w:val="0"/>
                <w:iCs w:val="0"/>
                <w:color w:val="auto"/>
                <w:sz w:val="24"/>
                <w:szCs w:val="24"/>
                <w:highlight w:val="none"/>
              </w:rPr>
              <w:t>给予</w:t>
            </w:r>
            <w:r>
              <w:rPr>
                <w:rFonts w:hint="eastAsia" w:ascii="宋体" w:hAnsi="宋体" w:eastAsia="宋体" w:cs="宋体"/>
                <w:i w:val="0"/>
                <w:iCs w:val="0"/>
                <w:color w:val="auto"/>
                <w:sz w:val="24"/>
                <w:szCs w:val="24"/>
                <w:highlight w:val="none"/>
                <w:u w:val="single"/>
              </w:rPr>
              <w:t xml:space="preserve"> </w:t>
            </w:r>
            <w:r>
              <w:rPr>
                <w:rFonts w:hint="eastAsia" w:cs="宋体"/>
                <w:i w:val="0"/>
                <w:iCs w:val="0"/>
                <w:color w:val="auto"/>
                <w:sz w:val="24"/>
                <w:szCs w:val="24"/>
                <w:highlight w:val="none"/>
                <w:u w:val="single"/>
                <w:lang w:val="en-US" w:eastAsia="zh-CN"/>
              </w:rPr>
              <w:t>/</w:t>
            </w:r>
            <w:r>
              <w:rPr>
                <w:rFonts w:hint="eastAsia" w:ascii="宋体" w:hAnsi="宋体" w:eastAsia="宋体" w:cs="宋体"/>
                <w:i w:val="0"/>
                <w:iCs w:val="0"/>
                <w:color w:val="auto"/>
                <w:sz w:val="24"/>
                <w:szCs w:val="24"/>
                <w:highlight w:val="none"/>
                <w:u w:val="single"/>
              </w:rPr>
              <w:t xml:space="preserve"> </w:t>
            </w:r>
            <w:r>
              <w:rPr>
                <w:rFonts w:hint="eastAsia" w:cs="宋体"/>
                <w:color w:val="auto"/>
                <w:sz w:val="24"/>
                <w:szCs w:val="24"/>
                <w:highlight w:val="none"/>
                <w:lang w:val="en-US" w:eastAsia="zh-CN"/>
              </w:rPr>
              <w:t>评审优惠</w:t>
            </w:r>
            <w:r>
              <w:rPr>
                <w:rFonts w:hint="eastAsia" w:ascii="宋体" w:hAnsi="宋体" w:eastAsia="宋体" w:cs="宋体"/>
                <w:i w:val="0"/>
                <w:iCs w:val="0"/>
                <w:color w:val="auto"/>
                <w:sz w:val="24"/>
                <w:szCs w:val="24"/>
                <w:highlight w:val="none"/>
              </w:rPr>
              <w:t>。</w:t>
            </w:r>
          </w:p>
          <w:p w14:paraId="1F61687C">
            <w:pPr>
              <w:pStyle w:val="49"/>
              <w:rPr>
                <w:rFonts w:hint="eastAsia" w:cs="宋体"/>
                <w:color w:val="auto"/>
                <w:sz w:val="24"/>
                <w:szCs w:val="24"/>
                <w:highlight w:val="none"/>
                <w:lang w:val="en-US" w:eastAsia="zh-CN"/>
              </w:rPr>
            </w:pPr>
            <w:r>
              <w:rPr>
                <w:rFonts w:hint="eastAsia" w:cs="宋体"/>
                <w:color w:val="auto"/>
                <w:sz w:val="24"/>
                <w:szCs w:val="24"/>
                <w:highlight w:val="none"/>
                <w:lang w:val="en-US" w:eastAsia="zh-CN"/>
              </w:rPr>
              <w:t>注：</w:t>
            </w:r>
          </w:p>
          <w:p w14:paraId="4E3C233F">
            <w:pPr>
              <w:pStyle w:val="49"/>
              <w:rPr>
                <w:rFonts w:hint="eastAsia" w:cs="宋体"/>
                <w:color w:val="auto"/>
                <w:sz w:val="24"/>
                <w:szCs w:val="24"/>
                <w:highlight w:val="none"/>
                <w:lang w:val="en-US" w:eastAsia="zh-CN"/>
              </w:rPr>
            </w:pPr>
            <w:r>
              <w:rPr>
                <w:rFonts w:hint="eastAsia" w:cs="宋体"/>
                <w:color w:val="auto"/>
                <w:sz w:val="24"/>
                <w:szCs w:val="24"/>
                <w:highlight w:val="none"/>
                <w:lang w:val="en-US" w:eastAsia="zh-CN"/>
              </w:rPr>
              <w:t>1、根据《国家市场监督管理总局关于发布强制性产品认证目录描述与界定表的公告》（2023年第 36号）要求，本项目采购产品如属于《强制性产品认证目录》、《强制性产品认证目录描述与界定表（2023 年修订）》范围内产品的，应取得有效期内的强制性认证证书（CCC认证证书）。</w:t>
            </w:r>
          </w:p>
          <w:p w14:paraId="42E49374">
            <w:pPr>
              <w:pStyle w:val="49"/>
              <w:rPr>
                <w:rFonts w:hint="eastAsia" w:cs="宋体"/>
                <w:color w:val="auto"/>
                <w:sz w:val="24"/>
                <w:szCs w:val="24"/>
                <w:highlight w:val="none"/>
                <w:lang w:val="en-US" w:eastAsia="zh-CN"/>
              </w:rPr>
            </w:pPr>
            <w:r>
              <w:rPr>
                <w:rFonts w:hint="eastAsia" w:cs="宋体"/>
                <w:color w:val="auto"/>
                <w:sz w:val="24"/>
                <w:szCs w:val="24"/>
                <w:highlight w:val="none"/>
                <w:lang w:val="en-US" w:eastAsia="zh-CN"/>
              </w:rPr>
              <w:t>2、根据财政部、发展改革委、生态环境部、市场监管总局联合发布的《关于调整优化节能产品、环境标志产品政府采购执行机制的通知》 (财库[2019]9 号)要求,本项目采购产品如属于《关于印发节能产品政府采购品目清单的通知》（财库[2019]19 号） 范围内的政府强制采购产品的，应取得有效期内的节能产品认证证书，</w:t>
            </w:r>
            <w:r>
              <w:rPr>
                <w:rFonts w:hint="eastAsia" w:cs="宋体"/>
                <w:b/>
                <w:bCs/>
                <w:color w:val="auto"/>
                <w:sz w:val="24"/>
                <w:szCs w:val="24"/>
                <w:highlight w:val="none"/>
                <w:lang w:val="en-US" w:eastAsia="zh-CN"/>
              </w:rPr>
              <w:t>投标人须在投标文件中提供认证证书复印件（加盖公章），否则将被视为无效投标。</w:t>
            </w:r>
          </w:p>
          <w:p w14:paraId="52087B27">
            <w:pPr>
              <w:pStyle w:val="49"/>
              <w:rPr>
                <w:rFonts w:hint="eastAsia" w:ascii="宋体" w:hAnsi="宋体" w:eastAsia="宋体" w:cs="宋体"/>
                <w:color w:val="auto"/>
                <w:kern w:val="2"/>
                <w:sz w:val="24"/>
                <w:szCs w:val="24"/>
                <w:highlight w:val="none"/>
                <w:lang w:val="en-US" w:eastAsia="zh-CN" w:bidi="ar-SA"/>
              </w:rPr>
            </w:pPr>
            <w:r>
              <w:rPr>
                <w:rFonts w:hint="eastAsia" w:cs="宋体"/>
                <w:color w:val="auto"/>
                <w:sz w:val="24"/>
                <w:szCs w:val="24"/>
                <w:highlight w:val="none"/>
                <w:lang w:val="en-US" w:eastAsia="zh-CN"/>
              </w:rPr>
              <w:t>3、根据财政部、发展改革委、生态环境部、市场监管总局联合发布的《关于调整优化节能产品、环境标志产品政府采购执行机制的通知》(财库[2019]9号)要求,本项目采购产品如属于《关于印发节能产品政府采购品目清单的通知》（财库[2019]19号）《关于印发环境标志产品政府采购品目清单的通知》（财库[2019]18号）范围内的政府优先采购产品的，应取得有效期内的节能产品、环境标志产品认证证书，</w:t>
            </w:r>
            <w:r>
              <w:rPr>
                <w:rFonts w:hint="eastAsia" w:cs="宋体"/>
                <w:b/>
                <w:bCs/>
                <w:color w:val="auto"/>
                <w:sz w:val="24"/>
                <w:szCs w:val="24"/>
                <w:highlight w:val="none"/>
                <w:lang w:val="en-US" w:eastAsia="zh-CN"/>
              </w:rPr>
              <w:t>投标人须在投标文件中提供认证证书复印件（加盖公章），否则将不予认定。</w:t>
            </w:r>
          </w:p>
        </w:tc>
      </w:tr>
      <w:tr w14:paraId="48C9FD1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1346" w:hRule="atLeast"/>
        </w:trPr>
        <w:tc>
          <w:tcPr>
            <w:tcW w:w="970" w:type="dxa"/>
            <w:tcBorders>
              <w:right w:val="single" w:color="auto" w:sz="4" w:space="0"/>
            </w:tcBorders>
            <w:vAlign w:val="center"/>
          </w:tcPr>
          <w:p w14:paraId="59449E7E">
            <w:pPr>
              <w:pStyle w:val="49"/>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.1</w:t>
            </w:r>
          </w:p>
        </w:tc>
        <w:tc>
          <w:tcPr>
            <w:tcW w:w="1738" w:type="dxa"/>
            <w:tcBorders>
              <w:right w:val="single" w:color="auto" w:sz="4" w:space="0"/>
            </w:tcBorders>
            <w:vAlign w:val="center"/>
          </w:tcPr>
          <w:p w14:paraId="7068A1E1">
            <w:pPr>
              <w:pStyle w:val="4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政府采购异常低价审查</w:t>
            </w:r>
          </w:p>
        </w:tc>
        <w:tc>
          <w:tcPr>
            <w:tcW w:w="6700" w:type="dxa"/>
            <w:tcBorders>
              <w:left w:val="single" w:color="auto" w:sz="4" w:space="0"/>
            </w:tcBorders>
            <w:vAlign w:val="center"/>
          </w:tcPr>
          <w:p w14:paraId="0527779B">
            <w:pPr>
              <w:pStyle w:val="4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一、依据《关于推动解决政府采购异常低价问题的通知》财库〔2026〕2号文件通知，评审中出现下列情形之一的，评审委员会将启动异常低价投标（响应）审查：</w:t>
            </w:r>
          </w:p>
          <w:p w14:paraId="5240BE26">
            <w:pPr>
              <w:pStyle w:val="4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1.投标（响应）报价低于全部通过符合性审查供应商投标（响应）报价平均值50%的，即投标（响应）报价&lt;全部通过符合性审查供应商投标（响应）报价平均值×50%；</w:t>
            </w:r>
          </w:p>
          <w:p w14:paraId="5E35044D">
            <w:pPr>
              <w:pStyle w:val="4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2.投标（响应）报价低于通过符合性审查的次低报价供应商投标（响应）报价50%的，即投标（响应）报价&lt;通过符合性审查的次低报价供应商投标（响应）报价×50%；</w:t>
            </w:r>
          </w:p>
          <w:p w14:paraId="15AF6E75">
            <w:pPr>
              <w:pStyle w:val="4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3.投标（响应）报价低于采购项目最高限价45%的，即投标（响应）报价&lt;采购项目最高限价×45%；</w:t>
            </w:r>
          </w:p>
          <w:p w14:paraId="2D5FAA7F">
            <w:pPr>
              <w:pStyle w:val="4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4.评审委员会基于专业判断，认为供应商报价过低，有可能影响产品质量或者不能诚信履约的其他情形。</w:t>
            </w:r>
          </w:p>
          <w:p w14:paraId="18C0FCCB">
            <w:pPr>
              <w:pStyle w:val="4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评审委员会启动异常低价投标（响应）审查后，属于前述第1项至第4项情形的，相关供应商需在评审现场合理的时间内（30分钟）对投标（响应）价格作出解释，提供项目具体成本测算等与报价合理性相关的书面说明及必要的证明材料，包括但不限于原材料成本、人工成本、制造费用等。其中，属于第3项情形，供应商已随投标（响应）文件一并提交相关书面说明及必要的证明材料的，在评审现场可不再重复提交。</w:t>
            </w:r>
          </w:p>
          <w:p w14:paraId="0C0B2B65">
            <w:pPr>
              <w:pStyle w:val="4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三、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tc>
      </w:tr>
      <w:tr w14:paraId="6CA73DD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1346" w:hRule="atLeast"/>
        </w:trPr>
        <w:tc>
          <w:tcPr>
            <w:tcW w:w="970" w:type="dxa"/>
            <w:tcBorders>
              <w:right w:val="single" w:color="auto" w:sz="4" w:space="0"/>
            </w:tcBorders>
            <w:vAlign w:val="center"/>
          </w:tcPr>
          <w:p w14:paraId="43A853FF">
            <w:pPr>
              <w:pStyle w:val="49"/>
              <w:jc w:val="center"/>
              <w:rPr>
                <w:rFonts w:hint="default" w:ascii="宋体" w:hAnsi="宋体" w:eastAsia="宋体" w:cs="宋体"/>
                <w:color w:val="auto"/>
                <w:sz w:val="24"/>
                <w:szCs w:val="24"/>
                <w:highlight w:val="none"/>
                <w:lang w:val="en-US" w:eastAsia="zh-CN"/>
              </w:rPr>
            </w:pPr>
            <w:r>
              <w:rPr>
                <w:rFonts w:hint="eastAsia" w:cs="宋体"/>
                <w:color w:val="auto"/>
                <w:sz w:val="24"/>
                <w:szCs w:val="24"/>
                <w:highlight w:val="none"/>
                <w:lang w:val="en-US" w:eastAsia="zh-CN"/>
              </w:rPr>
              <w:t>49.1</w:t>
            </w:r>
          </w:p>
        </w:tc>
        <w:tc>
          <w:tcPr>
            <w:tcW w:w="1738" w:type="dxa"/>
            <w:tcBorders>
              <w:right w:val="single" w:color="auto" w:sz="4" w:space="0"/>
            </w:tcBorders>
            <w:vAlign w:val="center"/>
          </w:tcPr>
          <w:p w14:paraId="4C936E66">
            <w:pPr>
              <w:pageBreakBefore w:val="0"/>
              <w:wordWrap/>
              <w:overflowPunct/>
              <w:topLinePunct w:val="0"/>
              <w:autoSpaceDE w:val="0"/>
              <w:autoSpaceDN w:val="0"/>
              <w:bidi w:val="0"/>
              <w:adjustRightInd w:val="0"/>
              <w:spacing w:line="440" w:lineRule="exact"/>
              <w:jc w:val="center"/>
              <w:rPr>
                <w:rFonts w:hint="eastAsia" w:ascii="宋体" w:hAnsi="宋体" w:eastAsia="宋体" w:cs="宋体"/>
                <w:color w:val="auto"/>
                <w:sz w:val="24"/>
                <w:szCs w:val="24"/>
                <w:highlight w:val="none"/>
              </w:rPr>
            </w:pPr>
            <w:r>
              <w:rPr>
                <w:rFonts w:hint="eastAsia" w:ascii="Times New Roman" w:hAnsi="Times New Roman" w:eastAsia="宋体"/>
                <w:caps w:val="0"/>
                <w:color w:val="auto"/>
                <w:kern w:val="0"/>
                <w:sz w:val="24"/>
                <w:lang w:val="en-US" w:eastAsia="zh-CN"/>
              </w:rPr>
              <w:t>付款方式</w:t>
            </w:r>
          </w:p>
        </w:tc>
        <w:tc>
          <w:tcPr>
            <w:tcW w:w="6700" w:type="dxa"/>
            <w:tcBorders>
              <w:left w:val="single" w:color="auto" w:sz="4" w:space="0"/>
            </w:tcBorders>
            <w:vAlign w:val="center"/>
          </w:tcPr>
          <w:p w14:paraId="5E45A703">
            <w:pPr>
              <w:pStyle w:val="78"/>
              <w:keepNext w:val="0"/>
              <w:keepLines w:val="0"/>
              <w:pageBreakBefore w:val="0"/>
              <w:kinsoku/>
              <w:wordWrap/>
              <w:overflowPunct/>
              <w:topLinePunct w:val="0"/>
              <w:bidi w:val="0"/>
              <w:adjustRightInd/>
              <w:snapToGrid/>
              <w:spacing w:line="240" w:lineRule="auto"/>
              <w:ind w:left="0" w:leftChars="0" w:firstLine="0" w:firstLineChars="0"/>
              <w:textAlignment w:val="auto"/>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自筹集中支付。按实际中标金额每月结算，结算时按实际洗涤品种数量为准，次月根据上月每日双方确认的验收合格清单结算洗涤总量金额。</w:t>
            </w:r>
          </w:p>
        </w:tc>
      </w:tr>
      <w:tr w14:paraId="4F99711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760" w:hRule="atLeast"/>
        </w:trPr>
        <w:tc>
          <w:tcPr>
            <w:tcW w:w="970" w:type="dxa"/>
            <w:tcBorders>
              <w:right w:val="single" w:color="auto" w:sz="4" w:space="0"/>
            </w:tcBorders>
            <w:vAlign w:val="center"/>
          </w:tcPr>
          <w:p w14:paraId="1A48517C">
            <w:pPr>
              <w:pStyle w:val="49"/>
              <w:jc w:val="center"/>
              <w:rPr>
                <w:rFonts w:hint="default" w:ascii="宋体" w:hAnsi="宋体" w:eastAsia="宋体" w:cs="宋体"/>
                <w:color w:val="auto"/>
                <w:sz w:val="24"/>
                <w:szCs w:val="24"/>
                <w:highlight w:val="none"/>
                <w:lang w:val="en-US" w:eastAsia="zh-CN"/>
              </w:rPr>
            </w:pPr>
            <w:r>
              <w:rPr>
                <w:rFonts w:hint="eastAsia" w:cs="宋体"/>
                <w:color w:val="auto"/>
                <w:sz w:val="24"/>
                <w:szCs w:val="24"/>
                <w:highlight w:val="none"/>
                <w:lang w:val="en-US" w:eastAsia="zh-CN"/>
              </w:rPr>
              <w:t>50.1</w:t>
            </w:r>
          </w:p>
        </w:tc>
        <w:tc>
          <w:tcPr>
            <w:tcW w:w="1738" w:type="dxa"/>
            <w:tcBorders>
              <w:right w:val="single" w:color="auto" w:sz="4" w:space="0"/>
            </w:tcBorders>
            <w:vAlign w:val="center"/>
          </w:tcPr>
          <w:p w14:paraId="130E6364">
            <w:pPr>
              <w:pageBreakBefore w:val="0"/>
              <w:wordWrap/>
              <w:overflowPunct/>
              <w:topLinePunct w:val="0"/>
              <w:autoSpaceDE w:val="0"/>
              <w:autoSpaceDN w:val="0"/>
              <w:bidi w:val="0"/>
              <w:adjustRightInd w:val="0"/>
              <w:spacing w:line="440" w:lineRule="exact"/>
              <w:jc w:val="center"/>
              <w:rPr>
                <w:rFonts w:hint="eastAsia" w:ascii="宋体" w:hAnsi="宋体" w:eastAsia="宋体" w:cs="宋体"/>
                <w:color w:val="auto"/>
                <w:sz w:val="24"/>
                <w:szCs w:val="24"/>
                <w:highlight w:val="none"/>
              </w:rPr>
            </w:pPr>
            <w:r>
              <w:rPr>
                <w:rFonts w:hint="eastAsia" w:ascii="Times New Roman" w:hAnsi="Times New Roman" w:eastAsia="宋体"/>
                <w:caps w:val="0"/>
                <w:color w:val="auto"/>
                <w:kern w:val="0"/>
                <w:sz w:val="24"/>
                <w:lang w:val="en-US" w:eastAsia="zh-CN"/>
              </w:rPr>
              <w:t>服务地点</w:t>
            </w:r>
          </w:p>
        </w:tc>
        <w:tc>
          <w:tcPr>
            <w:tcW w:w="6700" w:type="dxa"/>
            <w:tcBorders>
              <w:left w:val="single" w:color="auto" w:sz="4" w:space="0"/>
            </w:tcBorders>
            <w:vAlign w:val="center"/>
          </w:tcPr>
          <w:p w14:paraId="7DE7F176">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  伊犁州妇幼保健院</w:t>
            </w:r>
          </w:p>
        </w:tc>
      </w:tr>
      <w:tr w14:paraId="29A634C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1346" w:hRule="atLeast"/>
        </w:trPr>
        <w:tc>
          <w:tcPr>
            <w:tcW w:w="970" w:type="dxa"/>
            <w:tcBorders>
              <w:right w:val="single" w:color="auto" w:sz="4" w:space="0"/>
            </w:tcBorders>
            <w:vAlign w:val="center"/>
          </w:tcPr>
          <w:p w14:paraId="0C8F1131">
            <w:pPr>
              <w:pStyle w:val="49"/>
              <w:jc w:val="center"/>
              <w:rPr>
                <w:rFonts w:hint="default" w:ascii="宋体" w:hAnsi="宋体" w:eastAsia="宋体" w:cs="宋体"/>
                <w:color w:val="auto"/>
                <w:sz w:val="24"/>
                <w:szCs w:val="24"/>
                <w:highlight w:val="none"/>
                <w:lang w:val="en-US" w:eastAsia="zh-CN"/>
              </w:rPr>
            </w:pPr>
            <w:r>
              <w:rPr>
                <w:rFonts w:hint="eastAsia" w:cs="宋体"/>
                <w:color w:val="auto"/>
                <w:sz w:val="24"/>
                <w:szCs w:val="24"/>
                <w:highlight w:val="none"/>
                <w:lang w:val="en-US" w:eastAsia="zh-CN"/>
              </w:rPr>
              <w:t>51.1</w:t>
            </w:r>
          </w:p>
        </w:tc>
        <w:tc>
          <w:tcPr>
            <w:tcW w:w="1738" w:type="dxa"/>
            <w:tcBorders>
              <w:right w:val="single" w:color="auto" w:sz="4" w:space="0"/>
            </w:tcBorders>
            <w:vAlign w:val="center"/>
          </w:tcPr>
          <w:p w14:paraId="5109995B">
            <w:pPr>
              <w:pStyle w:val="49"/>
              <w:rPr>
                <w:rFonts w:hint="eastAsia" w:ascii="宋体" w:hAnsi="宋体" w:eastAsia="宋体" w:cs="宋体"/>
                <w:color w:val="auto"/>
                <w:sz w:val="24"/>
                <w:szCs w:val="24"/>
                <w:highlight w:val="none"/>
                <w:lang w:val="en-US" w:eastAsia="zh-CN"/>
              </w:rPr>
            </w:pPr>
            <w:r>
              <w:rPr>
                <w:rFonts w:hint="eastAsia" w:cs="宋体"/>
                <w:color w:val="auto"/>
                <w:sz w:val="24"/>
                <w:szCs w:val="24"/>
                <w:highlight w:val="none"/>
                <w:lang w:val="en-US" w:eastAsia="zh-CN"/>
              </w:rPr>
              <w:t>重要说明</w:t>
            </w:r>
          </w:p>
        </w:tc>
        <w:tc>
          <w:tcPr>
            <w:tcW w:w="6700" w:type="dxa"/>
            <w:tcBorders>
              <w:left w:val="single" w:color="auto" w:sz="4" w:space="0"/>
            </w:tcBorders>
            <w:vAlign w:val="center"/>
          </w:tcPr>
          <w:p w14:paraId="01FE38A1">
            <w:pPr>
              <w:pStyle w:val="74"/>
              <w:keepNext w:val="0"/>
              <w:keepLines w:val="0"/>
              <w:pageBreakBefore w:val="0"/>
              <w:widowControl/>
              <w:numPr>
                <w:ilvl w:val="0"/>
                <w:numId w:val="0"/>
              </w:numPr>
              <w:overflowPunct/>
              <w:topLinePunct w:val="0"/>
              <w:autoSpaceDE w:val="0"/>
              <w:autoSpaceDN w:val="0"/>
              <w:bidi w:val="0"/>
              <w:adjustRightInd w:val="0"/>
              <w:snapToGrid w:val="0"/>
              <w:spacing w:before="32" w:line="240" w:lineRule="auto"/>
              <w:ind w:left="124" w:leftChars="0"/>
              <w:textAlignment w:val="baseline"/>
              <w:rPr>
                <w:rFonts w:hint="eastAsia" w:ascii="宋体" w:hAnsi="宋体" w:eastAsia="宋体" w:cs="宋体"/>
                <w:b/>
                <w:bCs/>
                <w:spacing w:val="-2"/>
                <w:sz w:val="24"/>
                <w:szCs w:val="24"/>
                <w:highlight w:val="none"/>
                <w:lang w:val="en-US" w:eastAsia="zh-CN"/>
                <w14:textOutline w14:w="4013" w14:cap="sq" w14:cmpd="sng" w14:algn="ctr">
                  <w14:solidFill>
                    <w14:srgbClr w14:val="000000"/>
                  </w14:solidFill>
                  <w14:prstDash w14:val="solid"/>
                  <w14:bevel/>
                </w14:textOutline>
              </w:rPr>
            </w:pPr>
            <w:r>
              <w:rPr>
                <w:rFonts w:hint="eastAsia" w:cs="宋体"/>
                <w:b/>
                <w:bCs/>
                <w:spacing w:val="-2"/>
                <w:sz w:val="24"/>
                <w:szCs w:val="24"/>
                <w:highlight w:val="none"/>
                <w:lang w:val="en-US" w:eastAsia="zh-CN"/>
                <w14:textOutline w14:w="4013" w14:cap="sq" w14:cmpd="sng" w14:algn="ctr">
                  <w14:solidFill>
                    <w14:srgbClr w14:val="000000"/>
                  </w14:solidFill>
                  <w14:prstDash w14:val="solid"/>
                  <w14:bevel/>
                </w14:textOutline>
              </w:rPr>
              <w:t>四、重要说明</w:t>
            </w:r>
            <w:r>
              <w:rPr>
                <w:rFonts w:hint="eastAsia" w:ascii="宋体" w:hAnsi="宋体" w:eastAsia="宋体" w:cs="宋体"/>
                <w:b/>
                <w:bCs/>
                <w:spacing w:val="-2"/>
                <w:sz w:val="24"/>
                <w:szCs w:val="24"/>
                <w:highlight w:val="none"/>
                <w:lang w:val="en-US" w:eastAsia="zh-CN"/>
                <w14:textOutline w14:w="4013" w14:cap="sq" w14:cmpd="sng" w14:algn="ctr">
                  <w14:solidFill>
                    <w14:srgbClr w14:val="000000"/>
                  </w14:solidFill>
                  <w14:prstDash w14:val="solid"/>
                  <w14:bevel/>
                </w14:textOutline>
              </w:rPr>
              <w:t>：</w:t>
            </w:r>
          </w:p>
          <w:p w14:paraId="3B7AE7A6">
            <w:pPr>
              <w:pStyle w:val="49"/>
              <w:numPr>
                <w:ilvl w:val="0"/>
                <w:numId w:val="0"/>
              </w:numP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1、“★”号条款为采购文件实质性要求；</w:t>
            </w:r>
          </w:p>
          <w:p w14:paraId="0581A136">
            <w:pPr>
              <w:pStyle w:val="49"/>
              <w:numPr>
                <w:ilvl w:val="0"/>
                <w:numId w:val="0"/>
              </w:numP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注：如供应商投标文件未响应采购文件实质性要求的，评标委员会应当对其投标文件按无效处理。</w:t>
            </w:r>
          </w:p>
          <w:p w14:paraId="5048C6CF">
            <w:pPr>
              <w:pStyle w:val="49"/>
              <w:numPr>
                <w:ilvl w:val="0"/>
                <w:numId w:val="0"/>
              </w:numP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r>
              <w:rPr>
                <w:rFonts w:hint="default" w:ascii="宋体" w:hAnsi="宋体" w:eastAsia="宋体" w:cs="宋体"/>
                <w:color w:val="auto"/>
                <w:sz w:val="24"/>
                <w:szCs w:val="24"/>
                <w:highlight w:val="none"/>
                <w:lang w:val="en-US" w:eastAsia="zh-CN"/>
              </w:rPr>
              <w:t>请各投标单位认真阅读并充分响应招标文件要求，其中招标文件内容中加粗、加下划线、废标、无效、投标被否决等字样的条款，为采购的实质性要求和条件，着重提醒各投标人注意。因误读招标文件而造成的后果，采购人及代理机构概不负责。</w:t>
            </w:r>
          </w:p>
          <w:p w14:paraId="3523E8D7">
            <w:pPr>
              <w:pStyle w:val="49"/>
              <w:numPr>
                <w:ilvl w:val="0"/>
                <w:numId w:val="0"/>
              </w:numPr>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根据《财政部关于在政府采购活动中查询及使用信用记录有关问题的通知》（财库【2016】125 号）规定，凡拟参加本次采购项目的投标人，如在“信用中国”网（www.creditchina.gov.cn）中国政府采购网（www.ccgp.gov.cn）列入失信被执行人、重大税收违法案件当事人名单、政府采购严重违法失信行为记录名单的（尚在处罚期内的），其投标无效。中标人若在投标有效期内有上述失信行为的，采购人将取消其中标资格。</w:t>
            </w:r>
          </w:p>
          <w:p w14:paraId="5C287227">
            <w:pPr>
              <w:pStyle w:val="49"/>
              <w:numPr>
                <w:ilvl w:val="0"/>
                <w:numId w:val="0"/>
              </w:numP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r>
              <w:rPr>
                <w:rFonts w:hint="default" w:ascii="宋体" w:hAnsi="宋体" w:eastAsia="宋体" w:cs="宋体"/>
                <w:color w:val="auto"/>
                <w:sz w:val="24"/>
                <w:szCs w:val="24"/>
                <w:highlight w:val="none"/>
                <w:lang w:val="en-US" w:eastAsia="zh-CN"/>
              </w:rPr>
              <w:t>、单位负责人为同一人或者存在直接控股、管理关系的不同投标人，不得参加同一合同项下的政府采购活动。除单一来源采购项目外，为采购项目提供整体设计、规范编制或者项目管理、监理、检测等服务的投标人，不得再参加该采购项目的其他采购活动。存在以上行为的投标人，其投标无效。</w:t>
            </w:r>
          </w:p>
          <w:p w14:paraId="6DF370CC">
            <w:pPr>
              <w:pStyle w:val="49"/>
              <w:numPr>
                <w:ilvl w:val="0"/>
                <w:numId w:val="0"/>
              </w:numP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w:t>
            </w:r>
            <w:r>
              <w:rPr>
                <w:rFonts w:hint="default" w:ascii="宋体" w:hAnsi="宋体" w:eastAsia="宋体" w:cs="宋体"/>
                <w:color w:val="auto"/>
                <w:sz w:val="24"/>
                <w:szCs w:val="24"/>
                <w:highlight w:val="none"/>
                <w:lang w:val="en-US" w:eastAsia="zh-CN"/>
              </w:rPr>
              <w:t>、供应商使用相同IP地址的，一经发现，相关部门将进一步核实，查实后按串通投标处理。</w:t>
            </w:r>
          </w:p>
          <w:p w14:paraId="6955DE46">
            <w:pPr>
              <w:pStyle w:val="49"/>
              <w:numPr>
                <w:ilvl w:val="0"/>
                <w:numId w:val="0"/>
              </w:numP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w:t>
            </w:r>
            <w:r>
              <w:rPr>
                <w:rFonts w:hint="default" w:ascii="宋体" w:hAnsi="宋体" w:eastAsia="宋体" w:cs="宋体"/>
                <w:color w:val="auto"/>
                <w:sz w:val="24"/>
                <w:szCs w:val="24"/>
                <w:highlight w:val="none"/>
                <w:lang w:val="en-US" w:eastAsia="zh-CN"/>
              </w:rPr>
              <w:t>、为保证本项目质量，良好的售后服务，最低报价不作为中标的唯一依据。</w:t>
            </w:r>
          </w:p>
          <w:p w14:paraId="3BE4DE90">
            <w:pPr>
              <w:pStyle w:val="49"/>
              <w:numPr>
                <w:ilvl w:val="0"/>
                <w:numId w:val="0"/>
              </w:numP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w:t>
            </w:r>
            <w:r>
              <w:rPr>
                <w:rFonts w:hint="default" w:ascii="宋体" w:hAnsi="宋体" w:eastAsia="宋体" w:cs="宋体"/>
                <w:color w:val="auto"/>
                <w:sz w:val="24"/>
                <w:szCs w:val="24"/>
                <w:highlight w:val="none"/>
                <w:lang w:val="en-US" w:eastAsia="zh-CN"/>
              </w:rPr>
              <w:t>、采购人若发现成交候选供应商在投标过程中提供虚假证明文件，故意隐瞒公司不良信誉和财务状况，以及其他可能对合同圆满履行造成风险的因素等，则按规定取消其成交资格，并上报监管部门依法进行处理。</w:t>
            </w:r>
          </w:p>
          <w:p w14:paraId="5EF4966F">
            <w:pPr>
              <w:pStyle w:val="49"/>
              <w:numPr>
                <w:ilvl w:val="0"/>
                <w:numId w:val="0"/>
              </w:numP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w:t>
            </w:r>
            <w:r>
              <w:rPr>
                <w:rFonts w:hint="default" w:ascii="宋体" w:hAnsi="宋体" w:eastAsia="宋体" w:cs="宋体"/>
                <w:color w:val="auto"/>
                <w:sz w:val="24"/>
                <w:szCs w:val="24"/>
                <w:highlight w:val="none"/>
                <w:lang w:val="en-US" w:eastAsia="zh-CN"/>
              </w:rPr>
              <w:t xml:space="preserve">、供应商应保证在本项目使用的任何产品和服务（包括部分使用）时，供应商不会产生因第三方提出侵犯其专利权、商标权或其它知识产权而引起的法律和经济纠纷，如因专利权、商标权或其它知识产权而引起法律和经济纠纷，由供应商承担所有相关责任的同时不得耽误本项目供货。 </w:t>
            </w:r>
          </w:p>
          <w:p w14:paraId="2E499EA4">
            <w:pPr>
              <w:pStyle w:val="49"/>
              <w:numPr>
                <w:ilvl w:val="0"/>
                <w:numId w:val="0"/>
              </w:numP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w:t>
            </w:r>
            <w:r>
              <w:rPr>
                <w:rFonts w:hint="default" w:ascii="宋体" w:hAnsi="宋体" w:eastAsia="宋体" w:cs="宋体"/>
                <w:color w:val="auto"/>
                <w:sz w:val="24"/>
                <w:szCs w:val="24"/>
                <w:highlight w:val="none"/>
                <w:lang w:val="en-US" w:eastAsia="zh-CN"/>
              </w:rPr>
              <w:t>、其它：</w:t>
            </w:r>
          </w:p>
          <w:p w14:paraId="5D0ED2AF">
            <w:pPr>
              <w:pStyle w:val="49"/>
              <w:numPr>
                <w:ilvl w:val="0"/>
                <w:numId w:val="0"/>
              </w:numPr>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（1）供应商严格遵守国家的法律法规及招标纪律，无违法违纪及商业贿赂行为。</w:t>
            </w:r>
          </w:p>
          <w:p w14:paraId="07334513">
            <w:pPr>
              <w:pStyle w:val="49"/>
              <w:numPr>
                <w:ilvl w:val="0"/>
                <w:numId w:val="0"/>
              </w:numPr>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（2）不管投标结果如何，供应商均应自行承担投标所需一切费用。</w:t>
            </w:r>
          </w:p>
          <w:p w14:paraId="5E63864A">
            <w:pPr>
              <w:pStyle w:val="49"/>
              <w:numPr>
                <w:ilvl w:val="0"/>
                <w:numId w:val="0"/>
              </w:numPr>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（3）供应商应以书面形式保证中标后由本公司组织实施，不得以任何理由将项目转包给其他机构。</w:t>
            </w:r>
          </w:p>
          <w:p w14:paraId="6C6E4BF7">
            <w:pPr>
              <w:pStyle w:val="49"/>
              <w:numPr>
                <w:ilvl w:val="0"/>
                <w:numId w:val="0"/>
              </w:numPr>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4）请在领取招标文件的有效日期内领取文件，过期将无法领取。本项目招标公告发布截止日后，请持续关注本项目后续网上发布澄清变更等内容。若再次发布招标公告，第一次成功领取招标文件的潜在供应商应重新领取招标文件。</w:t>
            </w:r>
          </w:p>
          <w:p w14:paraId="69A4B143">
            <w:pPr>
              <w:pStyle w:val="49"/>
              <w:rPr>
                <w:rFonts w:hint="eastAsia" w:ascii="宋体" w:hAnsi="宋体" w:eastAsia="宋体" w:cs="宋体"/>
                <w:color w:val="auto"/>
                <w:sz w:val="24"/>
                <w:szCs w:val="24"/>
                <w:highlight w:val="none"/>
              </w:rPr>
            </w:pPr>
            <w:r>
              <w:rPr>
                <w:rFonts w:hint="default" w:ascii="宋体" w:hAnsi="宋体" w:eastAsia="宋体" w:cs="宋体"/>
                <w:color w:val="auto"/>
                <w:sz w:val="24"/>
                <w:szCs w:val="24"/>
                <w:highlight w:val="none"/>
                <w:lang w:val="en-US" w:eastAsia="zh-CN"/>
              </w:rPr>
              <w:t>（5）招标文件中如出现前后不一致情况，均以须知前附表内容为准。</w:t>
            </w:r>
          </w:p>
        </w:tc>
      </w:tr>
      <w:tr w14:paraId="0C22694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408" w:type="dxa"/>
            <w:gridSpan w:val="3"/>
            <w:vAlign w:val="center"/>
          </w:tcPr>
          <w:p w14:paraId="16CF3F9F">
            <w:pPr>
              <w:pStyle w:val="4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备注:</w:t>
            </w:r>
          </w:p>
          <w:p w14:paraId="1ECD6A03">
            <w:pPr>
              <w:pStyle w:val="4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 除本招标文件另有规定外，招标文件中出现的类似于“近三年”或“前三年”、“近五年”或“前五年”均指递交投标文件</w:t>
            </w:r>
            <w:r>
              <w:rPr>
                <w:rFonts w:hint="eastAsia" w:ascii="宋体" w:hAnsi="宋体" w:eastAsia="宋体" w:cs="宋体"/>
                <w:color w:val="auto"/>
                <w:sz w:val="24"/>
                <w:szCs w:val="24"/>
                <w:highlight w:val="none"/>
                <w:lang w:val="en-US" w:eastAsia="zh-CN"/>
              </w:rPr>
              <w:t>截止</w:t>
            </w:r>
            <w:r>
              <w:rPr>
                <w:rFonts w:hint="eastAsia" w:ascii="宋体" w:hAnsi="宋体" w:eastAsia="宋体" w:cs="宋体"/>
                <w:color w:val="auto"/>
                <w:sz w:val="24"/>
                <w:szCs w:val="24"/>
                <w:highlight w:val="none"/>
              </w:rPr>
              <w:t>时间</w:t>
            </w:r>
            <w:r>
              <w:rPr>
                <w:rFonts w:hint="eastAsia" w:ascii="宋体" w:hAnsi="宋体" w:eastAsia="宋体" w:cs="宋体"/>
                <w:color w:val="auto"/>
                <w:sz w:val="24"/>
                <w:szCs w:val="24"/>
                <w:highlight w:val="none"/>
                <w:lang w:val="en-US" w:eastAsia="zh-CN"/>
              </w:rPr>
              <w:t>之</w:t>
            </w:r>
            <w:r>
              <w:rPr>
                <w:rFonts w:hint="eastAsia" w:ascii="宋体" w:hAnsi="宋体" w:eastAsia="宋体" w:cs="宋体"/>
                <w:color w:val="auto"/>
                <w:sz w:val="24"/>
                <w:szCs w:val="24"/>
                <w:highlight w:val="none"/>
              </w:rPr>
              <w:t>前三年或前五年，以此类推。如：递交投标文件时间为  年  月  日，则“近三年”是指  年  月  日至  年  月  日。</w:t>
            </w:r>
          </w:p>
          <w:p w14:paraId="6F66C892">
            <w:pPr>
              <w:pStyle w:val="4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 本招标文件所称的“以上”、“以下”、“内”、“以内”，包括本数；所称的“不足”，不包括本数。</w:t>
            </w:r>
          </w:p>
        </w:tc>
      </w:tr>
    </w:tbl>
    <w:p w14:paraId="546D276C">
      <w:pPr>
        <w:rPr>
          <w:color w:val="auto"/>
          <w:highlight w:val="none"/>
        </w:rPr>
      </w:pPr>
      <w:r>
        <w:rPr>
          <w:color w:val="auto"/>
          <w:highlight w:val="none"/>
        </w:rPr>
        <w:br w:type="page"/>
      </w:r>
    </w:p>
    <w:p w14:paraId="410914FC">
      <w:pPr>
        <w:pStyle w:val="3"/>
        <w:keepNext/>
        <w:keepLines/>
        <w:pageBreakBefore w:val="0"/>
        <w:widowControl w:val="0"/>
        <w:numPr>
          <w:ilvl w:val="0"/>
          <w:numId w:val="0"/>
        </w:numPr>
        <w:kinsoku/>
        <w:wordWrap/>
        <w:overflowPunct/>
        <w:topLinePunct w:val="0"/>
        <w:autoSpaceDE/>
        <w:autoSpaceDN/>
        <w:bidi w:val="0"/>
        <w:adjustRightInd/>
        <w:snapToGrid/>
        <w:spacing w:before="80" w:after="80" w:line="360" w:lineRule="auto"/>
        <w:ind w:left="420" w:leftChars="0" w:hanging="420" w:firstLineChars="0"/>
        <w:jc w:val="both"/>
        <w:textAlignment w:val="auto"/>
        <w:rPr>
          <w:rFonts w:hint="eastAsia" w:eastAsia="宋体" w:asciiTheme="majorHAnsi" w:hAnsiTheme="majorHAnsi" w:cstheme="majorBidi"/>
          <w:b/>
          <w:bCs/>
          <w:color w:val="auto"/>
          <w:kern w:val="2"/>
          <w:sz w:val="28"/>
          <w:szCs w:val="28"/>
          <w:highlight w:val="none"/>
          <w:lang w:val="en-US" w:eastAsia="zh-CN" w:bidi="ar-SA"/>
        </w:rPr>
      </w:pPr>
      <w:bookmarkStart w:id="127" w:name="_Toc155185869"/>
      <w:bookmarkStart w:id="128" w:name="_Toc9440"/>
      <w:bookmarkStart w:id="129" w:name="_Toc27559"/>
      <w:r>
        <w:rPr>
          <w:rFonts w:hint="eastAsia" w:eastAsia="宋体" w:asciiTheme="majorHAnsi" w:hAnsiTheme="majorHAnsi" w:cstheme="majorBidi"/>
          <w:b/>
          <w:bCs/>
          <w:color w:val="auto"/>
          <w:kern w:val="2"/>
          <w:sz w:val="28"/>
          <w:szCs w:val="28"/>
          <w:highlight w:val="none"/>
          <w:lang w:val="en-US" w:eastAsia="zh-CN" w:bidi="ar-SA"/>
        </w:rPr>
        <w:t>二、投标人须知</w:t>
      </w:r>
      <w:bookmarkEnd w:id="127"/>
      <w:bookmarkEnd w:id="128"/>
      <w:bookmarkEnd w:id="129"/>
    </w:p>
    <w:p w14:paraId="604D77A9">
      <w:pPr>
        <w:pStyle w:val="4"/>
        <w:keepNext w:val="0"/>
        <w:keepLines w:val="0"/>
        <w:pageBreakBefore w:val="0"/>
        <w:widowControl w:val="0"/>
        <w:numPr>
          <w:ilvl w:val="0"/>
          <w:numId w:val="0"/>
        </w:numPr>
        <w:kinsoku/>
        <w:wordWrap/>
        <w:overflowPunct/>
        <w:topLinePunct w:val="0"/>
        <w:autoSpaceDE/>
        <w:autoSpaceDN/>
        <w:bidi w:val="0"/>
        <w:adjustRightInd/>
        <w:snapToGrid/>
        <w:spacing w:before="120" w:after="120" w:line="240" w:lineRule="auto"/>
        <w:ind w:left="420" w:leftChars="0" w:hanging="420" w:firstLineChars="0"/>
        <w:jc w:val="both"/>
        <w:textAlignment w:val="auto"/>
        <w:rPr>
          <w:rFonts w:hint="eastAsia" w:ascii="宋体" w:hAnsi="宋体" w:eastAsia="宋体" w:cs="宋体"/>
          <w:b/>
          <w:bCs/>
          <w:color w:val="auto"/>
          <w:kern w:val="2"/>
          <w:sz w:val="24"/>
          <w:szCs w:val="24"/>
          <w:highlight w:val="none"/>
          <w:lang w:val="en-US" w:eastAsia="zh-CN" w:bidi="ar-SA"/>
        </w:rPr>
      </w:pPr>
      <w:bookmarkStart w:id="130" w:name="_Toc22384"/>
      <w:bookmarkStart w:id="131" w:name="_Toc155185870"/>
      <w:bookmarkStart w:id="132" w:name="_Toc163492822"/>
      <w:r>
        <w:rPr>
          <w:rFonts w:hint="eastAsia" w:ascii="宋体" w:hAnsi="宋体" w:eastAsia="宋体" w:cs="宋体"/>
          <w:b/>
          <w:bCs/>
          <w:color w:val="auto"/>
          <w:kern w:val="2"/>
          <w:sz w:val="24"/>
          <w:szCs w:val="24"/>
          <w:highlight w:val="none"/>
          <w:lang w:val="en-US" w:eastAsia="zh-CN" w:bidi="ar-SA"/>
        </w:rPr>
        <w:t>（一）总则</w:t>
      </w:r>
      <w:bookmarkEnd w:id="130"/>
      <w:bookmarkEnd w:id="131"/>
      <w:bookmarkEnd w:id="132"/>
    </w:p>
    <w:p w14:paraId="788765C9">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4"/>
          <w:highlight w:val="none"/>
          <w:lang w:val="en-US" w:eastAsia="zh-CN" w:bidi="ar-SA"/>
        </w:rPr>
      </w:pPr>
      <w:bookmarkStart w:id="133" w:name="_Toc109900469"/>
      <w:bookmarkStart w:id="134" w:name="_Toc109900050"/>
      <w:bookmarkStart w:id="135" w:name="_Toc163492823"/>
      <w:bookmarkStart w:id="136" w:name="_Toc109897532"/>
      <w:bookmarkStart w:id="137" w:name="_Toc109899631"/>
      <w:bookmarkStart w:id="138" w:name="_Toc31233"/>
      <w:bookmarkStart w:id="139" w:name="_Toc155095689"/>
      <w:bookmarkStart w:id="140" w:name="_Toc30340"/>
      <w:r>
        <w:rPr>
          <w:rFonts w:hint="eastAsia" w:ascii="宋体" w:hAnsi="宋体" w:eastAsia="宋体" w:cs="宋体"/>
          <w:b/>
          <w:bCs/>
          <w:color w:val="auto"/>
          <w:kern w:val="2"/>
          <w:sz w:val="24"/>
          <w:szCs w:val="24"/>
          <w:highlight w:val="none"/>
          <w:lang w:val="en-US" w:eastAsia="zh-CN" w:bidi="ar-SA"/>
        </w:rPr>
        <w:t>1.适用范围</w:t>
      </w:r>
      <w:bookmarkEnd w:id="133"/>
      <w:bookmarkEnd w:id="134"/>
      <w:bookmarkEnd w:id="135"/>
      <w:bookmarkEnd w:id="136"/>
      <w:bookmarkEnd w:id="137"/>
      <w:bookmarkEnd w:id="138"/>
      <w:bookmarkEnd w:id="139"/>
      <w:bookmarkEnd w:id="140"/>
    </w:p>
    <w:p w14:paraId="38963635">
      <w:pPr>
        <w:pStyle w:val="37"/>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rPr>
        <w:t>1.1本招标文件仅适用于本项目的采购活动。</w:t>
      </w:r>
    </w:p>
    <w:p w14:paraId="34F08411">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4"/>
          <w:highlight w:val="none"/>
          <w:lang w:val="en-US" w:eastAsia="zh-CN" w:bidi="ar-SA"/>
        </w:rPr>
      </w:pPr>
      <w:bookmarkStart w:id="141" w:name="_Toc7979"/>
      <w:bookmarkStart w:id="142" w:name="_Toc163492824"/>
      <w:r>
        <w:rPr>
          <w:rFonts w:hint="eastAsia" w:ascii="宋体" w:hAnsi="宋体" w:eastAsia="宋体" w:cs="宋体"/>
          <w:b/>
          <w:bCs/>
          <w:color w:val="auto"/>
          <w:kern w:val="2"/>
          <w:sz w:val="24"/>
          <w:szCs w:val="24"/>
          <w:highlight w:val="none"/>
          <w:lang w:val="en-US" w:eastAsia="zh-CN" w:bidi="ar-SA"/>
        </w:rPr>
        <w:t>2.基本定义</w:t>
      </w:r>
      <w:bookmarkEnd w:id="141"/>
      <w:bookmarkEnd w:id="142"/>
    </w:p>
    <w:p w14:paraId="768D70C2">
      <w:pPr>
        <w:pStyle w:val="37"/>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2.1根据《中华人民共和国政府采购法》及其实施条例等有关法律、法规和规章的规定，制定本招标文件。</w:t>
      </w:r>
    </w:p>
    <w:p w14:paraId="342EC44E">
      <w:pPr>
        <w:keepNext w:val="0"/>
        <w:keepLines w:val="0"/>
        <w:pageBreakBefore w:val="0"/>
        <w:widowControl w:val="0"/>
        <w:suppressLineNumbers w:val="0"/>
        <w:kinsoku/>
        <w:overflowPunct/>
        <w:topLinePunct w:val="0"/>
        <w:autoSpaceDE/>
        <w:autoSpaceDN/>
        <w:bidi w:val="0"/>
        <w:adjustRightInd/>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2.2采购人：</w:t>
      </w:r>
      <w:r>
        <w:rPr>
          <w:rFonts w:hint="eastAsia" w:ascii="宋体" w:hAnsi="宋体" w:eastAsia="宋体" w:cs="宋体"/>
          <w:color w:val="auto"/>
          <w:kern w:val="0"/>
          <w:sz w:val="24"/>
          <w:szCs w:val="24"/>
          <w:highlight w:val="none"/>
          <w:lang w:val="en-US" w:eastAsia="zh-CN" w:bidi="ar"/>
        </w:rPr>
        <w:t>指依法进行政府采购的国家机关、事业单位、团体组织</w:t>
      </w:r>
      <w:r>
        <w:rPr>
          <w:rFonts w:hint="eastAsia" w:ascii="宋体" w:hAnsi="宋体" w:eastAsia="宋体" w:cs="宋体"/>
          <w:color w:val="auto"/>
          <w:sz w:val="24"/>
          <w:szCs w:val="24"/>
          <w:highlight w:val="none"/>
        </w:rPr>
        <w:t>。</w:t>
      </w:r>
    </w:p>
    <w:p w14:paraId="429A3EF6">
      <w:pPr>
        <w:keepNext w:val="0"/>
        <w:keepLines w:val="0"/>
        <w:pageBreakBefore w:val="0"/>
        <w:widowControl w:val="0"/>
        <w:suppressLineNumbers w:val="0"/>
        <w:kinsoku/>
        <w:overflowPunct/>
        <w:topLinePunct w:val="0"/>
        <w:autoSpaceDE/>
        <w:autoSpaceDN/>
        <w:bidi w:val="0"/>
        <w:adjustRightInd/>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2.3采购代理机构：</w:t>
      </w:r>
      <w:r>
        <w:rPr>
          <w:rFonts w:hint="eastAsia" w:ascii="宋体" w:hAnsi="宋体" w:eastAsia="宋体" w:cs="宋体"/>
          <w:color w:val="auto"/>
          <w:kern w:val="0"/>
          <w:sz w:val="24"/>
          <w:szCs w:val="24"/>
          <w:highlight w:val="none"/>
          <w:lang w:val="en-US" w:eastAsia="zh-CN" w:bidi="ar"/>
        </w:rPr>
        <w:t>指依法进行政府采购的国家机关、事业单位、团体组织</w:t>
      </w:r>
      <w:r>
        <w:rPr>
          <w:rFonts w:hint="eastAsia" w:ascii="宋体" w:hAnsi="宋体" w:eastAsia="宋体" w:cs="宋体"/>
          <w:color w:val="auto"/>
          <w:sz w:val="24"/>
          <w:szCs w:val="24"/>
          <w:highlight w:val="none"/>
          <w:lang w:val="en-US" w:eastAsia="zh-CN"/>
        </w:rPr>
        <w:t>委托的采购代理机构</w:t>
      </w:r>
      <w:r>
        <w:rPr>
          <w:rFonts w:hint="eastAsia" w:ascii="宋体" w:hAnsi="宋体" w:eastAsia="宋体" w:cs="宋体"/>
          <w:color w:val="auto"/>
          <w:sz w:val="24"/>
          <w:szCs w:val="24"/>
          <w:highlight w:val="none"/>
        </w:rPr>
        <w:t>。</w:t>
      </w:r>
    </w:p>
    <w:p w14:paraId="26D50742">
      <w:pPr>
        <w:pStyle w:val="37"/>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2.4政府采购监督管理部门：各级人民政府财政部门是负责政府采购监督管理的部门，依法履行对政府采购活动的监督管理职责。各级人民政府其他有关部门依法履行与政府采购活动有关的监督管理职责。</w:t>
      </w:r>
    </w:p>
    <w:p w14:paraId="18E21DAA">
      <w:pPr>
        <w:pStyle w:val="37"/>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2.5 服务包含的内容见</w:t>
      </w:r>
      <w:r>
        <w:rPr>
          <w:rFonts w:hint="eastAsia" w:ascii="宋体" w:hAnsi="宋体" w:eastAsia="宋体" w:cs="宋体"/>
          <w:color w:val="auto"/>
          <w:sz w:val="24"/>
          <w:szCs w:val="24"/>
          <w:highlight w:val="none"/>
        </w:rPr>
        <w:t>“投标人须知前附表”</w:t>
      </w:r>
      <w:r>
        <w:rPr>
          <w:rFonts w:hint="eastAsia" w:ascii="宋体" w:hAnsi="宋体" w:eastAsia="宋体" w:cs="宋体"/>
          <w:color w:val="auto"/>
          <w:sz w:val="24"/>
          <w:szCs w:val="24"/>
          <w:highlight w:val="none"/>
          <w:lang w:val="en-US" w:eastAsia="zh-CN"/>
        </w:rPr>
        <w:t>。</w:t>
      </w:r>
    </w:p>
    <w:p w14:paraId="214DD75F">
      <w:pPr>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iCs/>
          <w:color w:val="auto"/>
          <w:sz w:val="24"/>
          <w:szCs w:val="24"/>
          <w:highlight w:val="none"/>
          <w:shd w:val="clear" w:color="auto" w:fill="FFFFFF" w:themeFill="background1"/>
        </w:rPr>
        <w:t>2.6投标人（也称“供应商”、“申请人”）：指向采购人提供货物、工程或者服务的法人、其他组织或者自然人。</w:t>
      </w:r>
      <w:r>
        <w:rPr>
          <w:rFonts w:hint="eastAsia" w:ascii="宋体" w:hAnsi="宋体" w:eastAsia="宋体" w:cs="宋体"/>
          <w:color w:val="auto"/>
          <w:sz w:val="24"/>
          <w:szCs w:val="24"/>
          <w:highlight w:val="none"/>
        </w:rPr>
        <w:t>分支机构不得参加政府采购活动，但银行、保险、石油石化、电力、电信等</w:t>
      </w:r>
      <w:r>
        <w:rPr>
          <w:rFonts w:hint="eastAsia" w:ascii="宋体" w:hAnsi="宋体" w:eastAsia="宋体" w:cs="宋体"/>
          <w:color w:val="auto"/>
          <w:sz w:val="24"/>
          <w:szCs w:val="24"/>
          <w:highlight w:val="none"/>
          <w:lang w:val="en-US" w:eastAsia="zh-CN"/>
        </w:rPr>
        <w:t>有</w:t>
      </w:r>
      <w:r>
        <w:rPr>
          <w:rFonts w:hint="eastAsia" w:ascii="宋体" w:hAnsi="宋体" w:eastAsia="宋体" w:cs="宋体"/>
          <w:color w:val="auto"/>
          <w:sz w:val="24"/>
          <w:szCs w:val="24"/>
          <w:highlight w:val="none"/>
        </w:rPr>
        <w:t>行业特殊</w:t>
      </w:r>
      <w:r>
        <w:rPr>
          <w:rFonts w:hint="eastAsia" w:ascii="宋体" w:hAnsi="宋体" w:eastAsia="宋体" w:cs="宋体"/>
          <w:color w:val="auto"/>
          <w:sz w:val="24"/>
          <w:szCs w:val="24"/>
          <w:highlight w:val="none"/>
          <w:lang w:val="en-US" w:eastAsia="zh-CN"/>
        </w:rPr>
        <w:t>情况的</w:t>
      </w:r>
      <w:r>
        <w:rPr>
          <w:rFonts w:hint="eastAsia" w:ascii="宋体" w:hAnsi="宋体" w:eastAsia="宋体" w:cs="宋体"/>
          <w:color w:val="auto"/>
          <w:sz w:val="24"/>
          <w:szCs w:val="24"/>
          <w:highlight w:val="none"/>
        </w:rPr>
        <w:t>除外。本项目的投标人须满足以下条件：</w:t>
      </w:r>
    </w:p>
    <w:p w14:paraId="2518C535">
      <w:pPr>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2.6.1具备《中华人民共和国政府采购法》第二十二条规定的条件，遵守本项目采购人本级和上级财政部门政府采购的有关规定。</w:t>
      </w:r>
    </w:p>
    <w:p w14:paraId="76745163">
      <w:pPr>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2.6.2以招标公告中发布的方式依法获得了本项目的招标文件。</w:t>
      </w:r>
    </w:p>
    <w:p w14:paraId="0DE24F0D">
      <w:pPr>
        <w:ind w:firstLine="480" w:firstLineChars="20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2.6.3符合本招标文件规定并参加投标的供应商。</w:t>
      </w:r>
    </w:p>
    <w:p w14:paraId="5FC27D1B">
      <w:pPr>
        <w:pStyle w:val="37"/>
        <w:keepNext w:val="0"/>
        <w:keepLines w:val="0"/>
        <w:pageBreakBefore w:val="0"/>
        <w:widowControl w:val="0"/>
        <w:kinsoku/>
        <w:overflowPunct/>
        <w:topLinePunct w:val="0"/>
        <w:autoSpaceDE/>
        <w:autoSpaceDN/>
        <w:bidi w:val="0"/>
        <w:adjustRightInd/>
        <w:ind w:left="0" w:leftChars="0"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2.7</w:t>
      </w:r>
      <w:r>
        <w:rPr>
          <w:rFonts w:hint="eastAsia" w:ascii="宋体" w:hAnsi="宋体" w:eastAsia="宋体" w:cs="宋体"/>
          <w:iCs/>
          <w:color w:val="auto"/>
          <w:sz w:val="24"/>
          <w:szCs w:val="24"/>
          <w:highlight w:val="none"/>
          <w:shd w:val="clear" w:color="auto" w:fill="FFFFFF" w:themeFill="background1"/>
        </w:rPr>
        <w:t>潜在投标人、潜在供应商</w:t>
      </w:r>
      <w:r>
        <w:rPr>
          <w:rFonts w:hint="eastAsia" w:ascii="宋体" w:hAnsi="宋体" w:eastAsia="宋体" w:cs="宋体"/>
          <w:iCs/>
          <w:color w:val="auto"/>
          <w:sz w:val="24"/>
          <w:szCs w:val="24"/>
          <w:highlight w:val="none"/>
          <w:shd w:val="clear" w:color="auto" w:fill="FFFFFF" w:themeFill="background1"/>
          <w:lang w:eastAsia="zh-CN"/>
        </w:rPr>
        <w:t>：</w:t>
      </w:r>
      <w:r>
        <w:rPr>
          <w:rFonts w:hint="eastAsia" w:ascii="宋体" w:hAnsi="宋体" w:eastAsia="宋体" w:cs="宋体"/>
          <w:iCs/>
          <w:color w:val="auto"/>
          <w:sz w:val="24"/>
          <w:szCs w:val="24"/>
          <w:highlight w:val="none"/>
          <w:shd w:val="clear" w:color="auto" w:fill="FFFFFF" w:themeFill="background1"/>
          <w:lang w:val="en-US" w:eastAsia="zh-CN"/>
        </w:rPr>
        <w:t>指</w:t>
      </w:r>
      <w:r>
        <w:rPr>
          <w:rFonts w:hint="eastAsia" w:ascii="宋体" w:hAnsi="宋体" w:eastAsia="宋体" w:cs="宋体"/>
          <w:color w:val="auto"/>
          <w:sz w:val="24"/>
          <w:szCs w:val="24"/>
          <w:highlight w:val="none"/>
          <w:lang w:val="en-US" w:eastAsia="zh-CN"/>
        </w:rPr>
        <w:t>符合本招标文件规定的供应商</w:t>
      </w:r>
      <w:r>
        <w:rPr>
          <w:rFonts w:hint="eastAsia" w:ascii="宋体" w:hAnsi="宋体" w:eastAsia="宋体" w:cs="宋体"/>
          <w:color w:val="auto"/>
          <w:sz w:val="24"/>
          <w:szCs w:val="24"/>
          <w:highlight w:val="none"/>
        </w:rPr>
        <w:t>。</w:t>
      </w:r>
    </w:p>
    <w:p w14:paraId="7BECD896">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4"/>
          <w:highlight w:val="none"/>
          <w:lang w:val="en-US" w:eastAsia="zh-CN" w:bidi="ar-SA"/>
        </w:rPr>
      </w:pPr>
      <w:bookmarkStart w:id="143" w:name="_Toc21761"/>
      <w:bookmarkStart w:id="144" w:name="_Toc140132758"/>
      <w:bookmarkStart w:id="145" w:name="_Toc163492825"/>
      <w:r>
        <w:rPr>
          <w:rFonts w:hint="eastAsia" w:ascii="宋体" w:hAnsi="宋体" w:eastAsia="宋体" w:cs="宋体"/>
          <w:b/>
          <w:bCs/>
          <w:color w:val="auto"/>
          <w:kern w:val="2"/>
          <w:sz w:val="24"/>
          <w:szCs w:val="24"/>
          <w:highlight w:val="none"/>
          <w:lang w:val="en-US" w:eastAsia="zh-CN" w:bidi="ar-SA"/>
        </w:rPr>
        <w:t>3.资金来源</w:t>
      </w:r>
      <w:bookmarkEnd w:id="143"/>
      <w:bookmarkEnd w:id="144"/>
      <w:bookmarkEnd w:id="145"/>
    </w:p>
    <w:p w14:paraId="76E8C14F">
      <w:pPr>
        <w:pStyle w:val="37"/>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3.1资金来源：</w:t>
      </w:r>
      <w:r>
        <w:rPr>
          <w:rFonts w:hint="eastAsia" w:ascii="宋体" w:hAnsi="宋体" w:eastAsia="宋体" w:cs="宋体"/>
          <w:color w:val="auto"/>
          <w:sz w:val="24"/>
          <w:szCs w:val="24"/>
          <w:highlight w:val="none"/>
          <w:lang w:val="en-US" w:eastAsia="zh-CN"/>
        </w:rPr>
        <w:t>为财政性资金即</w:t>
      </w:r>
      <w:r>
        <w:rPr>
          <w:rFonts w:hint="eastAsia" w:ascii="宋体" w:hAnsi="宋体" w:eastAsia="宋体" w:cs="宋体"/>
          <w:color w:val="auto"/>
          <w:sz w:val="24"/>
          <w:szCs w:val="24"/>
          <w:highlight w:val="none"/>
        </w:rPr>
        <w:t>纳入预算管理的资金</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以财政性资金作为还款来源的借贷资金，视同财政性资金。财政性资金与非财政性资金无法分割采购的，统一适用《中华人民共和国政府采购法》及其实施条例。</w:t>
      </w:r>
    </w:p>
    <w:p w14:paraId="17722C40">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4"/>
          <w:highlight w:val="none"/>
          <w:lang w:val="en-US" w:eastAsia="zh-CN" w:bidi="ar-SA"/>
        </w:rPr>
      </w:pPr>
      <w:bookmarkStart w:id="146" w:name="_Toc140132760"/>
      <w:bookmarkStart w:id="147" w:name="_Toc8143"/>
      <w:bookmarkStart w:id="148" w:name="_Toc163492826"/>
      <w:r>
        <w:rPr>
          <w:rFonts w:hint="eastAsia" w:ascii="宋体" w:hAnsi="宋体" w:eastAsia="宋体" w:cs="宋体"/>
          <w:b/>
          <w:bCs/>
          <w:color w:val="auto"/>
          <w:kern w:val="2"/>
          <w:sz w:val="24"/>
          <w:szCs w:val="24"/>
          <w:highlight w:val="none"/>
          <w:lang w:val="en-US" w:eastAsia="zh-CN" w:bidi="ar-SA"/>
        </w:rPr>
        <w:t>4.投标人资格要求</w:t>
      </w:r>
      <w:bookmarkEnd w:id="146"/>
      <w:bookmarkEnd w:id="147"/>
      <w:bookmarkEnd w:id="148"/>
    </w:p>
    <w:p w14:paraId="522AD9C1">
      <w:pPr>
        <w:pStyle w:val="37"/>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4.1投标人资格要求：见“</w:t>
      </w:r>
      <w:r>
        <w:rPr>
          <w:rFonts w:hint="eastAsia" w:ascii="宋体" w:hAnsi="宋体" w:eastAsia="宋体" w:cs="宋体"/>
          <w:color w:val="auto"/>
          <w:sz w:val="24"/>
          <w:szCs w:val="24"/>
          <w:highlight w:val="none"/>
          <w:lang w:val="en-US" w:eastAsia="zh-CN"/>
        </w:rPr>
        <w:t>第一章 招标公告</w:t>
      </w:r>
      <w:r>
        <w:rPr>
          <w:rFonts w:hint="eastAsia" w:ascii="宋体" w:hAnsi="宋体" w:eastAsia="宋体" w:cs="宋体"/>
          <w:color w:val="auto"/>
          <w:sz w:val="24"/>
          <w:szCs w:val="24"/>
          <w:highlight w:val="none"/>
        </w:rPr>
        <w:t>”；</w:t>
      </w:r>
    </w:p>
    <w:p w14:paraId="3B57853B">
      <w:pPr>
        <w:pStyle w:val="37"/>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val="zh-CN" w:eastAsia="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val="zh-CN" w:eastAsia="zh-CN"/>
        </w:rPr>
        <w:t>“</w:t>
      </w:r>
      <w:r>
        <w:rPr>
          <w:rFonts w:hint="eastAsia" w:ascii="宋体" w:hAnsi="宋体" w:eastAsia="宋体" w:cs="宋体"/>
          <w:color w:val="auto"/>
          <w:sz w:val="24"/>
          <w:szCs w:val="24"/>
          <w:highlight w:val="none"/>
          <w:lang w:val="en-US" w:eastAsia="zh-CN"/>
        </w:rPr>
        <w:t>第一章 招标公告</w:t>
      </w:r>
      <w:r>
        <w:rPr>
          <w:rFonts w:hint="eastAsia" w:ascii="宋体" w:hAnsi="宋体" w:eastAsia="宋体" w:cs="宋体"/>
          <w:color w:val="auto"/>
          <w:sz w:val="24"/>
          <w:szCs w:val="24"/>
          <w:highlight w:val="none"/>
          <w:lang w:val="zh-CN" w:eastAsia="zh-CN"/>
        </w:rPr>
        <w:t>”规定接受联合体投标的，还应遵守以下规定：</w:t>
      </w:r>
    </w:p>
    <w:p w14:paraId="512308FF">
      <w:pPr>
        <w:pStyle w:val="37"/>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iCs/>
          <w:color w:val="auto"/>
          <w:kern w:val="2"/>
          <w:sz w:val="24"/>
          <w:szCs w:val="24"/>
          <w:highlight w:val="none"/>
          <w:shd w:val="clear" w:color="auto" w:fill="FFFFFF" w:themeFill="background1"/>
          <w:lang w:val="zh-CN" w:eastAsia="zh-CN" w:bidi="ar-SA"/>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val="zh-CN" w:eastAsia="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val="zh-CN" w:eastAsia="zh-CN"/>
        </w:rPr>
        <w:t>1两个以上的自然人、法人或者其他组织可以组成一个联合体，以一个</w:t>
      </w: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lang w:val="zh-CN" w:eastAsia="zh-CN"/>
        </w:rPr>
        <w:t>的身份共同参加政府采购。</w:t>
      </w:r>
      <w:r>
        <w:rPr>
          <w:rFonts w:hint="eastAsia" w:ascii="宋体" w:hAnsi="宋体" w:eastAsia="宋体" w:cs="宋体"/>
          <w:iCs/>
          <w:color w:val="auto"/>
          <w:kern w:val="2"/>
          <w:sz w:val="24"/>
          <w:szCs w:val="24"/>
          <w:highlight w:val="none"/>
          <w:shd w:val="clear" w:color="auto" w:fill="FFFFFF" w:themeFill="background1"/>
          <w:lang w:val="zh-CN" w:eastAsia="zh-CN" w:bidi="ar-SA"/>
        </w:rPr>
        <w:t>以联合体形式进行政府采购的，参加联合体的供应商均应当具备《</w:t>
      </w:r>
      <w:r>
        <w:rPr>
          <w:rFonts w:hint="eastAsia" w:ascii="宋体" w:hAnsi="宋体" w:eastAsia="宋体" w:cs="宋体"/>
          <w:color w:val="auto"/>
          <w:sz w:val="24"/>
          <w:szCs w:val="24"/>
          <w:highlight w:val="none"/>
        </w:rPr>
        <w:t>中华人民共和国政府采购法</w:t>
      </w:r>
      <w:r>
        <w:rPr>
          <w:rFonts w:hint="eastAsia" w:ascii="宋体" w:hAnsi="宋体" w:eastAsia="宋体" w:cs="宋体"/>
          <w:iCs/>
          <w:color w:val="auto"/>
          <w:kern w:val="2"/>
          <w:sz w:val="24"/>
          <w:szCs w:val="24"/>
          <w:highlight w:val="none"/>
          <w:shd w:val="clear" w:color="auto" w:fill="FFFFFF" w:themeFill="background1"/>
          <w:lang w:val="zh-CN" w:eastAsia="zh-CN" w:bidi="ar-SA"/>
        </w:rPr>
        <w:t>》第二十二条规定的条件。</w:t>
      </w:r>
    </w:p>
    <w:p w14:paraId="7EFB49B3">
      <w:pPr>
        <w:pStyle w:val="37"/>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iCs/>
          <w:color w:val="auto"/>
          <w:kern w:val="2"/>
          <w:sz w:val="24"/>
          <w:szCs w:val="24"/>
          <w:highlight w:val="none"/>
          <w:shd w:val="clear" w:color="auto" w:fill="FFFFFF" w:themeFill="background1"/>
          <w:lang w:val="zh-CN" w:eastAsia="zh-CN" w:bidi="ar-SA"/>
        </w:rPr>
      </w:pPr>
      <w:r>
        <w:rPr>
          <w:rFonts w:hint="eastAsia" w:ascii="宋体" w:hAnsi="宋体" w:eastAsia="宋体" w:cs="宋体"/>
          <w:iCs/>
          <w:color w:val="auto"/>
          <w:kern w:val="2"/>
          <w:sz w:val="24"/>
          <w:szCs w:val="24"/>
          <w:highlight w:val="none"/>
          <w:shd w:val="clear" w:color="auto" w:fill="FFFFFF" w:themeFill="background1"/>
          <w:lang w:val="en-US" w:eastAsia="zh-CN" w:bidi="ar-SA"/>
        </w:rPr>
        <w:t>4</w:t>
      </w:r>
      <w:r>
        <w:rPr>
          <w:rFonts w:hint="eastAsia" w:ascii="宋体" w:hAnsi="宋体" w:eastAsia="宋体" w:cs="宋体"/>
          <w:iCs/>
          <w:color w:val="auto"/>
          <w:kern w:val="2"/>
          <w:sz w:val="24"/>
          <w:szCs w:val="24"/>
          <w:highlight w:val="none"/>
          <w:shd w:val="clear" w:color="auto" w:fill="FFFFFF" w:themeFill="background1"/>
          <w:lang w:val="zh-CN" w:eastAsia="zh-CN" w:bidi="ar-SA"/>
        </w:rPr>
        <w:t>.</w:t>
      </w:r>
      <w:r>
        <w:rPr>
          <w:rFonts w:hint="eastAsia" w:ascii="宋体" w:hAnsi="宋体" w:eastAsia="宋体" w:cs="宋体"/>
          <w:iCs/>
          <w:color w:val="auto"/>
          <w:kern w:val="2"/>
          <w:sz w:val="24"/>
          <w:szCs w:val="24"/>
          <w:highlight w:val="none"/>
          <w:shd w:val="clear" w:color="auto" w:fill="FFFFFF" w:themeFill="background1"/>
          <w:lang w:val="en-US" w:eastAsia="zh-CN" w:bidi="ar-SA"/>
        </w:rPr>
        <w:t>2.2</w:t>
      </w:r>
      <w:r>
        <w:rPr>
          <w:rFonts w:hint="eastAsia" w:ascii="宋体" w:hAnsi="宋体" w:eastAsia="宋体" w:cs="宋体"/>
          <w:iCs/>
          <w:color w:val="auto"/>
          <w:kern w:val="2"/>
          <w:sz w:val="24"/>
          <w:szCs w:val="24"/>
          <w:highlight w:val="none"/>
          <w:shd w:val="clear" w:color="auto" w:fill="FFFFFF" w:themeFill="background1"/>
          <w:lang w:val="zh-CN" w:eastAsia="zh-CN" w:bidi="ar-SA"/>
        </w:rPr>
        <w:t>联合体各方应按招标文件提供的格式签订联合</w:t>
      </w:r>
      <w:r>
        <w:rPr>
          <w:rFonts w:hint="eastAsia" w:ascii="宋体" w:hAnsi="宋体" w:eastAsia="宋体" w:cs="宋体"/>
          <w:iCs/>
          <w:color w:val="auto"/>
          <w:kern w:val="2"/>
          <w:sz w:val="24"/>
          <w:szCs w:val="24"/>
          <w:highlight w:val="none"/>
          <w:shd w:val="clear" w:color="auto" w:fill="FFFFFF" w:themeFill="background1"/>
          <w:lang w:val="en-US" w:eastAsia="zh-CN" w:bidi="ar-SA"/>
        </w:rPr>
        <w:t>体</w:t>
      </w:r>
      <w:r>
        <w:rPr>
          <w:rFonts w:hint="eastAsia" w:ascii="宋体" w:hAnsi="宋体" w:eastAsia="宋体" w:cs="宋体"/>
          <w:iCs/>
          <w:color w:val="auto"/>
          <w:kern w:val="2"/>
          <w:sz w:val="24"/>
          <w:szCs w:val="24"/>
          <w:highlight w:val="none"/>
          <w:shd w:val="clear" w:color="auto" w:fill="FFFFFF" w:themeFill="background1"/>
          <w:lang w:val="zh-CN" w:eastAsia="zh-CN" w:bidi="ar-SA"/>
        </w:rPr>
        <w:t>协议</w:t>
      </w:r>
      <w:r>
        <w:rPr>
          <w:rFonts w:hint="eastAsia" w:ascii="宋体" w:hAnsi="宋体" w:eastAsia="宋体" w:cs="宋体"/>
          <w:iCs/>
          <w:color w:val="auto"/>
          <w:kern w:val="2"/>
          <w:sz w:val="24"/>
          <w:szCs w:val="24"/>
          <w:highlight w:val="none"/>
          <w:shd w:val="clear" w:color="auto" w:fill="FFFFFF" w:themeFill="background1"/>
          <w:lang w:val="en-US" w:eastAsia="zh-CN" w:bidi="ar-SA"/>
        </w:rPr>
        <w:t>书</w:t>
      </w:r>
      <w:r>
        <w:rPr>
          <w:rFonts w:hint="eastAsia" w:ascii="宋体" w:hAnsi="宋体" w:eastAsia="宋体" w:cs="宋体"/>
          <w:iCs/>
          <w:color w:val="auto"/>
          <w:kern w:val="2"/>
          <w:sz w:val="24"/>
          <w:szCs w:val="24"/>
          <w:highlight w:val="none"/>
          <w:shd w:val="clear" w:color="auto" w:fill="FFFFFF" w:themeFill="background1"/>
          <w:lang w:val="zh-CN" w:eastAsia="zh-CN" w:bidi="ar-SA"/>
        </w:rPr>
        <w:t>，明确约定联合体各方承担的工作和相应的责任，并将联合</w:t>
      </w:r>
      <w:r>
        <w:rPr>
          <w:rFonts w:hint="eastAsia" w:ascii="宋体" w:hAnsi="宋体" w:eastAsia="宋体" w:cs="宋体"/>
          <w:iCs/>
          <w:color w:val="auto"/>
          <w:kern w:val="2"/>
          <w:sz w:val="24"/>
          <w:szCs w:val="24"/>
          <w:highlight w:val="none"/>
          <w:shd w:val="clear" w:color="auto" w:fill="FFFFFF" w:themeFill="background1"/>
          <w:lang w:val="en-US" w:eastAsia="zh-CN" w:bidi="ar-SA"/>
        </w:rPr>
        <w:t>体</w:t>
      </w:r>
      <w:r>
        <w:rPr>
          <w:rFonts w:hint="eastAsia" w:ascii="宋体" w:hAnsi="宋体" w:eastAsia="宋体" w:cs="宋体"/>
          <w:iCs/>
          <w:color w:val="auto"/>
          <w:kern w:val="2"/>
          <w:sz w:val="24"/>
          <w:szCs w:val="24"/>
          <w:highlight w:val="none"/>
          <w:shd w:val="clear" w:color="auto" w:fill="FFFFFF" w:themeFill="background1"/>
          <w:lang w:val="zh-CN" w:eastAsia="zh-CN" w:bidi="ar-SA"/>
        </w:rPr>
        <w:t>协议</w:t>
      </w:r>
      <w:r>
        <w:rPr>
          <w:rFonts w:hint="eastAsia" w:ascii="宋体" w:hAnsi="宋体" w:eastAsia="宋体" w:cs="宋体"/>
          <w:iCs/>
          <w:color w:val="auto"/>
          <w:kern w:val="2"/>
          <w:sz w:val="24"/>
          <w:szCs w:val="24"/>
          <w:highlight w:val="none"/>
          <w:shd w:val="clear" w:color="auto" w:fill="FFFFFF" w:themeFill="background1"/>
          <w:lang w:val="en-US" w:eastAsia="zh-CN" w:bidi="ar-SA"/>
        </w:rPr>
        <w:t>书</w:t>
      </w:r>
      <w:r>
        <w:rPr>
          <w:rFonts w:hint="eastAsia" w:ascii="宋体" w:hAnsi="宋体" w:eastAsia="宋体" w:cs="宋体"/>
          <w:iCs/>
          <w:color w:val="auto"/>
          <w:kern w:val="2"/>
          <w:sz w:val="24"/>
          <w:szCs w:val="24"/>
          <w:highlight w:val="none"/>
          <w:shd w:val="clear" w:color="auto" w:fill="FFFFFF" w:themeFill="background1"/>
          <w:lang w:val="zh-CN" w:eastAsia="zh-CN" w:bidi="ar-SA"/>
        </w:rPr>
        <w:t>作为投标文件的一部分提交，该协议书对联合</w:t>
      </w:r>
      <w:r>
        <w:rPr>
          <w:rFonts w:hint="eastAsia" w:ascii="宋体" w:hAnsi="宋体" w:eastAsia="宋体" w:cs="宋体"/>
          <w:iCs/>
          <w:color w:val="auto"/>
          <w:kern w:val="2"/>
          <w:sz w:val="24"/>
          <w:szCs w:val="24"/>
          <w:highlight w:val="none"/>
          <w:shd w:val="clear" w:color="auto" w:fill="FFFFFF" w:themeFill="background1"/>
          <w:lang w:val="en-US" w:eastAsia="zh-CN" w:bidi="ar-SA"/>
        </w:rPr>
        <w:t>体所有成员</w:t>
      </w:r>
      <w:r>
        <w:rPr>
          <w:rFonts w:hint="eastAsia" w:ascii="宋体" w:hAnsi="宋体" w:eastAsia="宋体" w:cs="宋体"/>
          <w:iCs/>
          <w:color w:val="auto"/>
          <w:kern w:val="2"/>
          <w:sz w:val="24"/>
          <w:szCs w:val="24"/>
          <w:highlight w:val="none"/>
          <w:shd w:val="clear" w:color="auto" w:fill="FFFFFF" w:themeFill="background1"/>
          <w:lang w:val="zh-CN" w:eastAsia="zh-CN" w:bidi="ar-SA"/>
        </w:rPr>
        <w:t>均具有法律约束力。</w:t>
      </w:r>
    </w:p>
    <w:p w14:paraId="5343E5B5">
      <w:pPr>
        <w:pStyle w:val="37"/>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iCs/>
          <w:color w:val="auto"/>
          <w:kern w:val="2"/>
          <w:sz w:val="24"/>
          <w:szCs w:val="24"/>
          <w:highlight w:val="none"/>
          <w:shd w:val="clear" w:color="auto" w:fill="FFFFFF" w:themeFill="background1"/>
          <w:lang w:val="zh-CN" w:eastAsia="zh-CN" w:bidi="ar-SA"/>
        </w:rPr>
      </w:pPr>
      <w:r>
        <w:rPr>
          <w:rFonts w:hint="eastAsia" w:ascii="宋体" w:hAnsi="宋体" w:eastAsia="宋体" w:cs="宋体"/>
          <w:iCs/>
          <w:color w:val="auto"/>
          <w:kern w:val="2"/>
          <w:sz w:val="24"/>
          <w:szCs w:val="24"/>
          <w:highlight w:val="none"/>
          <w:shd w:val="clear" w:color="auto" w:fill="FFFFFF" w:themeFill="background1"/>
          <w:lang w:val="en-US" w:eastAsia="zh-CN" w:bidi="ar-SA"/>
        </w:rPr>
        <w:t>4.2.3</w:t>
      </w:r>
      <w:r>
        <w:rPr>
          <w:rFonts w:hint="eastAsia" w:ascii="宋体" w:hAnsi="宋体" w:eastAsia="宋体" w:cs="宋体"/>
          <w:iCs/>
          <w:color w:val="auto"/>
          <w:kern w:val="2"/>
          <w:sz w:val="24"/>
          <w:szCs w:val="24"/>
          <w:highlight w:val="none"/>
          <w:shd w:val="clear" w:color="auto" w:fill="FFFFFF" w:themeFill="background1"/>
          <w:lang w:val="zh-CN" w:eastAsia="zh-CN" w:bidi="ar-SA"/>
        </w:rPr>
        <w:t>联合体中有同类资质的供应商按照联合体分工承担相同工作的，应当按照资质等级较低的供应商确定资质等级。</w:t>
      </w:r>
    </w:p>
    <w:p w14:paraId="21D444C4">
      <w:pPr>
        <w:pStyle w:val="37"/>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iCs/>
          <w:color w:val="auto"/>
          <w:kern w:val="2"/>
          <w:sz w:val="24"/>
          <w:szCs w:val="24"/>
          <w:highlight w:val="none"/>
          <w:shd w:val="clear" w:color="auto" w:fill="FFFFFF" w:themeFill="background1"/>
          <w:lang w:val="zh-CN" w:eastAsia="zh-CN" w:bidi="ar-SA"/>
        </w:rPr>
      </w:pPr>
      <w:r>
        <w:rPr>
          <w:rFonts w:hint="eastAsia" w:ascii="宋体" w:hAnsi="宋体" w:eastAsia="宋体" w:cs="宋体"/>
          <w:iCs/>
          <w:color w:val="auto"/>
          <w:kern w:val="2"/>
          <w:sz w:val="24"/>
          <w:szCs w:val="24"/>
          <w:highlight w:val="none"/>
          <w:shd w:val="clear" w:color="auto" w:fill="FFFFFF" w:themeFill="background1"/>
          <w:lang w:val="en-US" w:eastAsia="zh-CN" w:bidi="ar-SA"/>
        </w:rPr>
        <w:t>4.2</w:t>
      </w:r>
      <w:r>
        <w:rPr>
          <w:rFonts w:hint="eastAsia" w:ascii="宋体" w:hAnsi="宋体" w:eastAsia="宋体" w:cs="宋体"/>
          <w:iCs/>
          <w:color w:val="auto"/>
          <w:kern w:val="2"/>
          <w:sz w:val="24"/>
          <w:szCs w:val="24"/>
          <w:highlight w:val="none"/>
          <w:shd w:val="clear" w:color="auto" w:fill="FFFFFF" w:themeFill="background1"/>
          <w:lang w:val="zh-CN" w:eastAsia="zh-CN" w:bidi="ar-SA"/>
        </w:rPr>
        <w:t>.</w:t>
      </w:r>
      <w:r>
        <w:rPr>
          <w:rFonts w:hint="eastAsia" w:ascii="宋体" w:hAnsi="宋体" w:eastAsia="宋体" w:cs="宋体"/>
          <w:iCs/>
          <w:color w:val="auto"/>
          <w:kern w:val="2"/>
          <w:sz w:val="24"/>
          <w:szCs w:val="24"/>
          <w:highlight w:val="none"/>
          <w:shd w:val="clear" w:color="auto" w:fill="FFFFFF" w:themeFill="background1"/>
          <w:lang w:val="en-US" w:eastAsia="zh-CN" w:bidi="ar-SA"/>
        </w:rPr>
        <w:t>4</w:t>
      </w:r>
      <w:r>
        <w:rPr>
          <w:rFonts w:hint="eastAsia" w:ascii="宋体" w:hAnsi="宋体" w:eastAsia="宋体" w:cs="宋体"/>
          <w:iCs/>
          <w:color w:val="auto"/>
          <w:kern w:val="2"/>
          <w:sz w:val="24"/>
          <w:szCs w:val="24"/>
          <w:highlight w:val="none"/>
          <w:shd w:val="clear" w:color="auto" w:fill="FFFFFF" w:themeFill="background1"/>
          <w:lang w:val="zh-CN" w:eastAsia="zh-CN" w:bidi="ar-SA"/>
        </w:rPr>
        <w:t>以联合体形式参加政府采购活动的，联合体各方不得再单独参加或者与其他供应商另外组成联合体参加</w:t>
      </w:r>
      <w:r>
        <w:rPr>
          <w:rFonts w:hint="eastAsia" w:ascii="宋体" w:hAnsi="宋体" w:eastAsia="宋体" w:cs="宋体"/>
          <w:iCs/>
          <w:color w:val="auto"/>
          <w:kern w:val="2"/>
          <w:sz w:val="24"/>
          <w:szCs w:val="24"/>
          <w:highlight w:val="none"/>
          <w:shd w:val="clear" w:color="auto" w:fill="FFFFFF" w:themeFill="background1"/>
          <w:lang w:val="en-US" w:eastAsia="zh-CN" w:bidi="ar-SA"/>
        </w:rPr>
        <w:t>同一合同项下的</w:t>
      </w:r>
      <w:r>
        <w:rPr>
          <w:rFonts w:hint="eastAsia" w:ascii="宋体" w:hAnsi="宋体" w:eastAsia="宋体" w:cs="宋体"/>
          <w:iCs/>
          <w:color w:val="auto"/>
          <w:kern w:val="2"/>
          <w:sz w:val="24"/>
          <w:szCs w:val="24"/>
          <w:highlight w:val="none"/>
          <w:shd w:val="clear" w:color="auto" w:fill="FFFFFF" w:themeFill="background1"/>
          <w:lang w:val="zh-CN" w:eastAsia="zh-CN" w:bidi="ar-SA"/>
        </w:rPr>
        <w:t>投标，否则相关投标将被认定为</w:t>
      </w:r>
      <w:r>
        <w:rPr>
          <w:rFonts w:hint="eastAsia" w:ascii="宋体" w:hAnsi="宋体" w:eastAsia="宋体" w:cs="宋体"/>
          <w:b/>
          <w:bCs/>
          <w:iCs/>
          <w:color w:val="auto"/>
          <w:kern w:val="2"/>
          <w:sz w:val="24"/>
          <w:szCs w:val="24"/>
          <w:highlight w:val="none"/>
          <w:shd w:val="clear" w:color="auto" w:fill="FFFFFF" w:themeFill="background1"/>
          <w:lang w:val="zh-CN" w:eastAsia="zh-CN" w:bidi="ar-SA"/>
        </w:rPr>
        <w:t>投标无效</w:t>
      </w:r>
      <w:r>
        <w:rPr>
          <w:rFonts w:hint="eastAsia" w:ascii="宋体" w:hAnsi="宋体" w:eastAsia="宋体" w:cs="宋体"/>
          <w:iCs/>
          <w:color w:val="auto"/>
          <w:kern w:val="2"/>
          <w:sz w:val="24"/>
          <w:szCs w:val="24"/>
          <w:highlight w:val="none"/>
          <w:shd w:val="clear" w:color="auto" w:fill="FFFFFF" w:themeFill="background1"/>
          <w:lang w:val="zh-CN" w:eastAsia="zh-CN" w:bidi="ar-SA"/>
        </w:rPr>
        <w:t>。</w:t>
      </w:r>
    </w:p>
    <w:p w14:paraId="2E60D00D">
      <w:pPr>
        <w:pStyle w:val="37"/>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iCs/>
          <w:color w:val="auto"/>
          <w:kern w:val="2"/>
          <w:sz w:val="24"/>
          <w:szCs w:val="24"/>
          <w:highlight w:val="none"/>
          <w:shd w:val="clear" w:color="auto" w:fill="FFFFFF" w:themeFill="background1"/>
          <w:lang w:val="zh-CN" w:eastAsia="zh-CN" w:bidi="ar-SA"/>
        </w:rPr>
      </w:pPr>
      <w:r>
        <w:rPr>
          <w:rFonts w:hint="eastAsia" w:ascii="宋体" w:hAnsi="宋体" w:eastAsia="宋体" w:cs="宋体"/>
          <w:iCs/>
          <w:color w:val="auto"/>
          <w:kern w:val="2"/>
          <w:sz w:val="24"/>
          <w:szCs w:val="24"/>
          <w:highlight w:val="none"/>
          <w:shd w:val="clear" w:color="auto" w:fill="FFFFFF" w:themeFill="background1"/>
          <w:lang w:val="en-US" w:eastAsia="zh-CN" w:bidi="ar-SA"/>
        </w:rPr>
        <w:t>4.2</w:t>
      </w:r>
      <w:r>
        <w:rPr>
          <w:rFonts w:hint="eastAsia" w:ascii="宋体" w:hAnsi="宋体" w:eastAsia="宋体" w:cs="宋体"/>
          <w:iCs/>
          <w:color w:val="auto"/>
          <w:kern w:val="2"/>
          <w:sz w:val="24"/>
          <w:szCs w:val="24"/>
          <w:highlight w:val="none"/>
          <w:shd w:val="clear" w:color="auto" w:fill="FFFFFF" w:themeFill="background1"/>
          <w:lang w:val="zh-CN" w:eastAsia="zh-CN" w:bidi="ar-SA"/>
        </w:rPr>
        <w:t>.5大中型企业、其他自然人、法人或者非法人组织与小型、微型企业组成联合体共同参加投标</w:t>
      </w:r>
      <w:r>
        <w:rPr>
          <w:rFonts w:hint="eastAsia" w:ascii="宋体" w:hAnsi="宋体" w:eastAsia="宋体" w:cs="宋体"/>
          <w:iCs/>
          <w:color w:val="auto"/>
          <w:kern w:val="2"/>
          <w:sz w:val="24"/>
          <w:szCs w:val="24"/>
          <w:highlight w:val="none"/>
          <w:shd w:val="clear" w:color="auto" w:fill="FFFFFF" w:themeFill="background1"/>
          <w:lang w:val="en-US" w:eastAsia="zh-CN" w:bidi="ar-SA"/>
        </w:rPr>
        <w:t>的</w:t>
      </w:r>
      <w:r>
        <w:rPr>
          <w:rFonts w:hint="eastAsia" w:ascii="宋体" w:hAnsi="宋体" w:eastAsia="宋体" w:cs="宋体"/>
          <w:iCs/>
          <w:color w:val="auto"/>
          <w:kern w:val="2"/>
          <w:sz w:val="24"/>
          <w:szCs w:val="24"/>
          <w:highlight w:val="none"/>
          <w:shd w:val="clear" w:color="auto" w:fill="FFFFFF" w:themeFill="background1"/>
          <w:lang w:val="zh-CN" w:eastAsia="zh-CN" w:bidi="ar-SA"/>
        </w:rPr>
        <w:t>，联合</w:t>
      </w:r>
      <w:r>
        <w:rPr>
          <w:rFonts w:hint="eastAsia" w:ascii="宋体" w:hAnsi="宋体" w:eastAsia="宋体" w:cs="宋体"/>
          <w:iCs/>
          <w:color w:val="auto"/>
          <w:kern w:val="2"/>
          <w:sz w:val="24"/>
          <w:szCs w:val="24"/>
          <w:highlight w:val="none"/>
          <w:shd w:val="clear" w:color="auto" w:fill="FFFFFF" w:themeFill="background1"/>
          <w:lang w:val="en-US" w:eastAsia="zh-CN" w:bidi="ar-SA"/>
        </w:rPr>
        <w:t>体</w:t>
      </w:r>
      <w:r>
        <w:rPr>
          <w:rFonts w:hint="eastAsia" w:ascii="宋体" w:hAnsi="宋体" w:eastAsia="宋体" w:cs="宋体"/>
          <w:iCs/>
          <w:color w:val="auto"/>
          <w:kern w:val="2"/>
          <w:sz w:val="24"/>
          <w:szCs w:val="24"/>
          <w:highlight w:val="none"/>
          <w:shd w:val="clear" w:color="auto" w:fill="FFFFFF" w:themeFill="background1"/>
          <w:lang w:val="zh-CN" w:eastAsia="zh-CN" w:bidi="ar-SA"/>
        </w:rPr>
        <w:t>协议</w:t>
      </w:r>
      <w:r>
        <w:rPr>
          <w:rFonts w:hint="eastAsia" w:ascii="宋体" w:hAnsi="宋体" w:eastAsia="宋体" w:cs="宋体"/>
          <w:iCs/>
          <w:color w:val="auto"/>
          <w:kern w:val="2"/>
          <w:sz w:val="24"/>
          <w:szCs w:val="24"/>
          <w:highlight w:val="none"/>
          <w:shd w:val="clear" w:color="auto" w:fill="FFFFFF" w:themeFill="background1"/>
          <w:lang w:val="en-US" w:eastAsia="zh-CN" w:bidi="ar-SA"/>
        </w:rPr>
        <w:t>书</w:t>
      </w:r>
      <w:r>
        <w:rPr>
          <w:rFonts w:hint="eastAsia" w:ascii="宋体" w:hAnsi="宋体" w:eastAsia="宋体" w:cs="宋体"/>
          <w:iCs/>
          <w:color w:val="auto"/>
          <w:kern w:val="2"/>
          <w:sz w:val="24"/>
          <w:szCs w:val="24"/>
          <w:highlight w:val="none"/>
          <w:shd w:val="clear" w:color="auto" w:fill="FFFFFF" w:themeFill="background1"/>
          <w:lang w:val="zh-CN" w:eastAsia="zh-CN" w:bidi="ar-SA"/>
        </w:rPr>
        <w:t>中应写明小型、微型企业的合同金额占到联合</w:t>
      </w:r>
      <w:r>
        <w:rPr>
          <w:rFonts w:hint="eastAsia" w:ascii="宋体" w:hAnsi="宋体" w:eastAsia="宋体" w:cs="宋体"/>
          <w:iCs/>
          <w:color w:val="auto"/>
          <w:kern w:val="2"/>
          <w:sz w:val="24"/>
          <w:szCs w:val="24"/>
          <w:highlight w:val="none"/>
          <w:shd w:val="clear" w:color="auto" w:fill="FFFFFF" w:themeFill="background1"/>
          <w:lang w:val="en-US" w:eastAsia="zh-CN" w:bidi="ar-SA"/>
        </w:rPr>
        <w:t>体</w:t>
      </w:r>
      <w:r>
        <w:rPr>
          <w:rFonts w:hint="eastAsia" w:ascii="宋体" w:hAnsi="宋体" w:eastAsia="宋体" w:cs="宋体"/>
          <w:iCs/>
          <w:color w:val="auto"/>
          <w:kern w:val="2"/>
          <w:sz w:val="24"/>
          <w:szCs w:val="24"/>
          <w:highlight w:val="none"/>
          <w:shd w:val="clear" w:color="auto" w:fill="FFFFFF" w:themeFill="background1"/>
          <w:lang w:val="zh-CN" w:eastAsia="zh-CN" w:bidi="ar-SA"/>
        </w:rPr>
        <w:t>投标</w:t>
      </w:r>
      <w:r>
        <w:rPr>
          <w:rFonts w:hint="eastAsia" w:ascii="宋体" w:hAnsi="宋体" w:eastAsia="宋体" w:cs="宋体"/>
          <w:iCs/>
          <w:color w:val="auto"/>
          <w:kern w:val="2"/>
          <w:sz w:val="24"/>
          <w:szCs w:val="24"/>
          <w:highlight w:val="none"/>
          <w:shd w:val="clear" w:color="auto" w:fill="FFFFFF" w:themeFill="background1"/>
          <w:lang w:val="en-US" w:eastAsia="zh-CN" w:bidi="ar-SA"/>
        </w:rPr>
        <w:t>合同</w:t>
      </w:r>
      <w:r>
        <w:rPr>
          <w:rFonts w:hint="eastAsia" w:ascii="宋体" w:hAnsi="宋体" w:eastAsia="宋体" w:cs="宋体"/>
          <w:iCs/>
          <w:color w:val="auto"/>
          <w:kern w:val="2"/>
          <w:sz w:val="24"/>
          <w:szCs w:val="24"/>
          <w:highlight w:val="none"/>
          <w:shd w:val="clear" w:color="auto" w:fill="FFFFFF" w:themeFill="background1"/>
          <w:lang w:val="zh-CN" w:eastAsia="zh-CN" w:bidi="ar-SA"/>
        </w:rPr>
        <w:t>总金额的比例。</w:t>
      </w:r>
    </w:p>
    <w:p w14:paraId="7127D169">
      <w:pPr>
        <w:pStyle w:val="37"/>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iCs/>
          <w:color w:val="auto"/>
          <w:kern w:val="2"/>
          <w:sz w:val="24"/>
          <w:szCs w:val="24"/>
          <w:highlight w:val="none"/>
          <w:shd w:val="clear" w:color="auto" w:fill="FFFFFF" w:themeFill="background1"/>
          <w:lang w:val="zh-CN" w:eastAsia="zh-CN" w:bidi="ar-SA"/>
        </w:rPr>
      </w:pPr>
      <w:r>
        <w:rPr>
          <w:rFonts w:hint="eastAsia" w:ascii="宋体" w:hAnsi="宋体" w:eastAsia="宋体" w:cs="宋体"/>
          <w:iCs/>
          <w:color w:val="auto"/>
          <w:kern w:val="2"/>
          <w:sz w:val="24"/>
          <w:szCs w:val="24"/>
          <w:highlight w:val="none"/>
          <w:shd w:val="clear" w:color="auto" w:fill="FFFFFF" w:themeFill="background1"/>
          <w:lang w:val="zh-CN" w:eastAsia="zh-CN" w:bidi="ar-SA"/>
        </w:rPr>
        <w:t>4.2</w:t>
      </w:r>
      <w:r>
        <w:rPr>
          <w:rFonts w:hint="eastAsia" w:ascii="宋体" w:hAnsi="宋体" w:eastAsia="宋体" w:cs="宋体"/>
          <w:iCs/>
          <w:color w:val="auto"/>
          <w:kern w:val="2"/>
          <w:sz w:val="24"/>
          <w:szCs w:val="24"/>
          <w:highlight w:val="none"/>
          <w:shd w:val="clear" w:color="auto" w:fill="FFFFFF" w:themeFill="background1"/>
          <w:lang w:val="en-US" w:eastAsia="zh-CN" w:bidi="ar-SA"/>
        </w:rPr>
        <w:t>.6</w:t>
      </w:r>
      <w:r>
        <w:rPr>
          <w:rFonts w:hint="eastAsia" w:ascii="宋体" w:hAnsi="宋体" w:eastAsia="宋体" w:cs="宋体"/>
          <w:iCs/>
          <w:color w:val="auto"/>
          <w:kern w:val="2"/>
          <w:sz w:val="24"/>
          <w:szCs w:val="24"/>
          <w:highlight w:val="none"/>
          <w:shd w:val="clear" w:color="auto" w:fill="FFFFFF" w:themeFill="background1"/>
          <w:lang w:val="zh-CN" w:eastAsia="zh-CN" w:bidi="ar-SA"/>
        </w:rPr>
        <w:t>联合体中标</w:t>
      </w:r>
      <w:r>
        <w:rPr>
          <w:rFonts w:hint="eastAsia" w:ascii="宋体" w:hAnsi="宋体" w:eastAsia="宋体" w:cs="宋体"/>
          <w:iCs/>
          <w:color w:val="auto"/>
          <w:kern w:val="2"/>
          <w:sz w:val="24"/>
          <w:szCs w:val="24"/>
          <w:highlight w:val="none"/>
          <w:shd w:val="clear" w:color="auto" w:fill="FFFFFF" w:themeFill="background1"/>
          <w:lang w:val="en-US" w:eastAsia="zh-CN" w:bidi="ar-SA"/>
        </w:rPr>
        <w:t>的</w:t>
      </w:r>
      <w:r>
        <w:rPr>
          <w:rFonts w:hint="eastAsia" w:ascii="宋体" w:hAnsi="宋体" w:eastAsia="宋体" w:cs="宋体"/>
          <w:iCs/>
          <w:color w:val="auto"/>
          <w:kern w:val="2"/>
          <w:sz w:val="24"/>
          <w:szCs w:val="24"/>
          <w:highlight w:val="none"/>
          <w:shd w:val="clear" w:color="auto" w:fill="FFFFFF" w:themeFill="background1"/>
          <w:lang w:val="zh-CN" w:eastAsia="zh-CN" w:bidi="ar-SA"/>
        </w:rPr>
        <w:t>，</w:t>
      </w:r>
      <w:r>
        <w:rPr>
          <w:rFonts w:hint="eastAsia" w:ascii="宋体" w:hAnsi="宋体" w:eastAsia="宋体" w:cs="宋体"/>
          <w:iCs/>
          <w:color w:val="auto"/>
          <w:kern w:val="2"/>
          <w:sz w:val="24"/>
          <w:szCs w:val="24"/>
          <w:highlight w:val="none"/>
          <w:shd w:val="clear" w:color="auto" w:fill="FFFFFF" w:themeFill="background1"/>
          <w:lang w:val="en-US" w:eastAsia="zh-CN" w:bidi="ar-SA"/>
        </w:rPr>
        <w:t>采购</w:t>
      </w:r>
      <w:r>
        <w:rPr>
          <w:rFonts w:hint="eastAsia" w:ascii="宋体" w:hAnsi="宋体" w:eastAsia="宋体" w:cs="宋体"/>
          <w:iCs/>
          <w:color w:val="auto"/>
          <w:kern w:val="2"/>
          <w:sz w:val="24"/>
          <w:szCs w:val="24"/>
          <w:highlight w:val="none"/>
          <w:shd w:val="clear" w:color="auto" w:fill="FFFFFF" w:themeFill="background1"/>
          <w:lang w:val="zh-CN" w:eastAsia="zh-CN" w:bidi="ar-SA"/>
        </w:rPr>
        <w:t>合同应由</w:t>
      </w:r>
      <w:r>
        <w:rPr>
          <w:rFonts w:hint="eastAsia" w:ascii="宋体" w:hAnsi="宋体" w:eastAsia="宋体" w:cs="宋体"/>
          <w:iCs/>
          <w:color w:val="auto"/>
          <w:kern w:val="2"/>
          <w:sz w:val="24"/>
          <w:szCs w:val="24"/>
          <w:highlight w:val="none"/>
          <w:shd w:val="clear" w:color="auto" w:fill="FFFFFF" w:themeFill="background1"/>
          <w:lang w:val="en-US" w:eastAsia="zh-CN" w:bidi="ar-SA"/>
        </w:rPr>
        <w:t>联合体</w:t>
      </w:r>
      <w:r>
        <w:rPr>
          <w:rFonts w:hint="eastAsia" w:ascii="宋体" w:hAnsi="宋体" w:eastAsia="宋体" w:cs="宋体"/>
          <w:iCs/>
          <w:color w:val="auto"/>
          <w:kern w:val="2"/>
          <w:sz w:val="24"/>
          <w:szCs w:val="24"/>
          <w:highlight w:val="none"/>
          <w:shd w:val="clear" w:color="auto" w:fill="FFFFFF" w:themeFill="background1"/>
          <w:lang w:val="zh-CN" w:eastAsia="zh-CN" w:bidi="ar-SA"/>
        </w:rPr>
        <w:t>各成员的合法授权代表签字</w:t>
      </w:r>
      <w:r>
        <w:rPr>
          <w:rFonts w:hint="eastAsia" w:ascii="宋体" w:hAnsi="宋体" w:eastAsia="宋体" w:cs="宋体"/>
          <w:iCs/>
          <w:color w:val="auto"/>
          <w:kern w:val="2"/>
          <w:sz w:val="24"/>
          <w:szCs w:val="24"/>
          <w:highlight w:val="none"/>
          <w:shd w:val="clear" w:color="auto" w:fill="FFFFFF" w:themeFill="background1"/>
          <w:lang w:val="en-US" w:eastAsia="zh-CN" w:bidi="ar-SA"/>
        </w:rPr>
        <w:t>及</w:t>
      </w:r>
      <w:r>
        <w:rPr>
          <w:rFonts w:hint="eastAsia" w:ascii="宋体" w:hAnsi="宋体" w:eastAsia="宋体" w:cs="宋体"/>
          <w:iCs/>
          <w:color w:val="auto"/>
          <w:kern w:val="2"/>
          <w:sz w:val="24"/>
          <w:szCs w:val="24"/>
          <w:highlight w:val="none"/>
          <w:shd w:val="clear" w:color="auto" w:fill="FFFFFF" w:themeFill="background1"/>
          <w:lang w:val="zh-CN" w:eastAsia="zh-CN" w:bidi="ar-SA"/>
        </w:rPr>
        <w:t>加盖</w:t>
      </w:r>
      <w:r>
        <w:rPr>
          <w:rFonts w:hint="eastAsia" w:ascii="宋体" w:hAnsi="宋体" w:eastAsia="宋体" w:cs="宋体"/>
          <w:iCs/>
          <w:color w:val="auto"/>
          <w:kern w:val="2"/>
          <w:sz w:val="24"/>
          <w:szCs w:val="24"/>
          <w:highlight w:val="none"/>
          <w:shd w:val="clear" w:color="auto" w:fill="FFFFFF" w:themeFill="background1"/>
          <w:lang w:val="en-US" w:eastAsia="zh-CN" w:bidi="ar-SA"/>
        </w:rPr>
        <w:t>联合体</w:t>
      </w:r>
      <w:r>
        <w:rPr>
          <w:rFonts w:hint="eastAsia" w:ascii="宋体" w:hAnsi="宋体" w:eastAsia="宋体" w:cs="宋体"/>
          <w:iCs/>
          <w:color w:val="auto"/>
          <w:kern w:val="2"/>
          <w:sz w:val="24"/>
          <w:szCs w:val="24"/>
          <w:highlight w:val="none"/>
          <w:shd w:val="clear" w:color="auto" w:fill="FFFFFF" w:themeFill="background1"/>
          <w:lang w:val="zh-CN" w:eastAsia="zh-CN" w:bidi="ar-SA"/>
        </w:rPr>
        <w:t>各成员公章，</w:t>
      </w:r>
      <w:r>
        <w:rPr>
          <w:rFonts w:hint="eastAsia" w:ascii="宋体" w:hAnsi="宋体" w:eastAsia="宋体" w:cs="宋体"/>
          <w:iCs/>
          <w:color w:val="auto"/>
          <w:kern w:val="2"/>
          <w:sz w:val="24"/>
          <w:szCs w:val="24"/>
          <w:highlight w:val="none"/>
          <w:shd w:val="clear" w:color="auto" w:fill="FFFFFF" w:themeFill="background1"/>
          <w:lang w:val="en-US" w:eastAsia="zh-CN" w:bidi="ar-SA"/>
        </w:rPr>
        <w:t>并</w:t>
      </w:r>
      <w:r>
        <w:rPr>
          <w:rFonts w:hint="eastAsia" w:ascii="宋体" w:hAnsi="宋体" w:eastAsia="宋体" w:cs="宋体"/>
          <w:iCs/>
          <w:color w:val="auto"/>
          <w:kern w:val="2"/>
          <w:sz w:val="24"/>
          <w:szCs w:val="24"/>
          <w:highlight w:val="none"/>
          <w:shd w:val="clear" w:color="auto" w:fill="FFFFFF" w:themeFill="background1"/>
          <w:lang w:val="zh-CN" w:eastAsia="zh-CN" w:bidi="ar-SA"/>
        </w:rPr>
        <w:t>对联合体成员作为整体和他们各自作为独立体均具有法律约束力，但若该签字或公章不齐全或缺乏，该联合体的牵头人的签署或类似的意思表示人具有代表该联合体的签署或意思表示的法律效力，并且据此各成员为履行合同应向采购人与采购代理机构承担连带责任。</w:t>
      </w:r>
    </w:p>
    <w:p w14:paraId="72C3CFE0">
      <w:pPr>
        <w:pStyle w:val="37"/>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iCs/>
          <w:color w:val="auto"/>
          <w:kern w:val="2"/>
          <w:sz w:val="24"/>
          <w:szCs w:val="24"/>
          <w:highlight w:val="none"/>
          <w:shd w:val="clear" w:color="auto" w:fill="FFFFFF" w:themeFill="background1"/>
          <w:lang w:val="zh-CN" w:eastAsia="zh-CN" w:bidi="ar-SA"/>
        </w:rPr>
      </w:pPr>
      <w:r>
        <w:rPr>
          <w:rFonts w:hint="eastAsia" w:ascii="宋体" w:hAnsi="宋体" w:eastAsia="宋体" w:cs="宋体"/>
          <w:iCs/>
          <w:color w:val="auto"/>
          <w:kern w:val="2"/>
          <w:sz w:val="24"/>
          <w:szCs w:val="24"/>
          <w:highlight w:val="none"/>
          <w:shd w:val="clear" w:color="auto" w:fill="FFFFFF" w:themeFill="background1"/>
          <w:lang w:val="zh-CN" w:eastAsia="zh-CN" w:bidi="ar-SA"/>
        </w:rPr>
        <w:t>4.2</w:t>
      </w:r>
      <w:r>
        <w:rPr>
          <w:rFonts w:hint="eastAsia" w:ascii="宋体" w:hAnsi="宋体" w:eastAsia="宋体" w:cs="宋体"/>
          <w:iCs/>
          <w:color w:val="auto"/>
          <w:kern w:val="2"/>
          <w:sz w:val="24"/>
          <w:szCs w:val="24"/>
          <w:highlight w:val="none"/>
          <w:shd w:val="clear" w:color="auto" w:fill="FFFFFF" w:themeFill="background1"/>
          <w:lang w:val="en-US" w:eastAsia="zh-CN" w:bidi="ar-SA"/>
        </w:rPr>
        <w:t>.7</w:t>
      </w:r>
      <w:r>
        <w:rPr>
          <w:rFonts w:hint="eastAsia" w:ascii="宋体" w:hAnsi="宋体" w:eastAsia="宋体" w:cs="宋体"/>
          <w:iCs/>
          <w:color w:val="auto"/>
          <w:kern w:val="2"/>
          <w:sz w:val="24"/>
          <w:szCs w:val="24"/>
          <w:highlight w:val="none"/>
          <w:shd w:val="clear" w:color="auto" w:fill="FFFFFF" w:themeFill="background1"/>
          <w:lang w:val="zh-CN" w:eastAsia="zh-CN" w:bidi="ar-SA"/>
        </w:rPr>
        <w:t>联合体或其成员不得将其在合同项下的权利或义务全部或部分转让给第三人，有关分包事项须事先取得采购</w:t>
      </w:r>
      <w:r>
        <w:rPr>
          <w:rFonts w:hint="eastAsia" w:ascii="宋体" w:hAnsi="宋体" w:eastAsia="宋体" w:cs="宋体"/>
          <w:iCs/>
          <w:color w:val="auto"/>
          <w:kern w:val="2"/>
          <w:sz w:val="24"/>
          <w:szCs w:val="24"/>
          <w:highlight w:val="none"/>
          <w:shd w:val="clear" w:color="auto" w:fill="FFFFFF" w:themeFill="background1"/>
          <w:lang w:val="en-US" w:eastAsia="zh-CN" w:bidi="ar-SA"/>
        </w:rPr>
        <w:t>人</w:t>
      </w:r>
      <w:r>
        <w:rPr>
          <w:rFonts w:hint="eastAsia" w:ascii="宋体" w:hAnsi="宋体" w:eastAsia="宋体" w:cs="宋体"/>
          <w:iCs/>
          <w:color w:val="auto"/>
          <w:kern w:val="2"/>
          <w:sz w:val="24"/>
          <w:szCs w:val="24"/>
          <w:highlight w:val="none"/>
          <w:shd w:val="clear" w:color="auto" w:fill="FFFFFF" w:themeFill="background1"/>
          <w:lang w:val="zh-CN" w:eastAsia="zh-CN" w:bidi="ar-SA"/>
        </w:rPr>
        <w:t>书面同意并且须遵守相关法律、法规、本次招标的全部相关规定。</w:t>
      </w:r>
    </w:p>
    <w:p w14:paraId="7D2803AB">
      <w:pPr>
        <w:pStyle w:val="37"/>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iCs/>
          <w:color w:val="auto"/>
          <w:kern w:val="2"/>
          <w:sz w:val="24"/>
          <w:szCs w:val="24"/>
          <w:highlight w:val="none"/>
          <w:shd w:val="clear" w:color="auto" w:fill="FFFFFF" w:themeFill="background1"/>
          <w:lang w:val="zh-CN" w:eastAsia="zh-CN" w:bidi="ar-SA"/>
        </w:rPr>
      </w:pPr>
      <w:r>
        <w:rPr>
          <w:rFonts w:hint="eastAsia" w:ascii="宋体" w:hAnsi="宋体" w:eastAsia="宋体" w:cs="宋体"/>
          <w:iCs/>
          <w:color w:val="auto"/>
          <w:kern w:val="2"/>
          <w:sz w:val="24"/>
          <w:szCs w:val="24"/>
          <w:highlight w:val="none"/>
          <w:shd w:val="clear" w:color="auto" w:fill="FFFFFF" w:themeFill="background1"/>
          <w:lang w:val="en-US" w:eastAsia="zh-CN" w:bidi="ar-SA"/>
        </w:rPr>
        <w:t>4.2</w:t>
      </w:r>
      <w:r>
        <w:rPr>
          <w:rFonts w:hint="eastAsia" w:ascii="宋体" w:hAnsi="宋体" w:eastAsia="宋体" w:cs="宋体"/>
          <w:iCs/>
          <w:color w:val="auto"/>
          <w:kern w:val="2"/>
          <w:sz w:val="24"/>
          <w:szCs w:val="24"/>
          <w:highlight w:val="none"/>
          <w:shd w:val="clear" w:color="auto" w:fill="FFFFFF" w:themeFill="background1"/>
          <w:lang w:val="zh-CN" w:eastAsia="zh-CN" w:bidi="ar-SA"/>
        </w:rPr>
        <w:t>.</w:t>
      </w:r>
      <w:r>
        <w:rPr>
          <w:rFonts w:hint="eastAsia" w:ascii="宋体" w:hAnsi="宋体" w:eastAsia="宋体" w:cs="宋体"/>
          <w:iCs/>
          <w:color w:val="auto"/>
          <w:kern w:val="2"/>
          <w:sz w:val="24"/>
          <w:szCs w:val="24"/>
          <w:highlight w:val="none"/>
          <w:shd w:val="clear" w:color="auto" w:fill="FFFFFF" w:themeFill="background1"/>
          <w:lang w:val="en-US" w:eastAsia="zh-CN" w:bidi="ar-SA"/>
        </w:rPr>
        <w:t>8</w:t>
      </w:r>
      <w:r>
        <w:rPr>
          <w:rFonts w:hint="eastAsia" w:ascii="宋体" w:hAnsi="宋体" w:eastAsia="宋体" w:cs="宋体"/>
          <w:iCs/>
          <w:color w:val="auto"/>
          <w:kern w:val="2"/>
          <w:sz w:val="24"/>
          <w:szCs w:val="24"/>
          <w:highlight w:val="none"/>
          <w:shd w:val="clear" w:color="auto" w:fill="FFFFFF" w:themeFill="background1"/>
          <w:lang w:val="zh-CN" w:eastAsia="zh-CN" w:bidi="ar-SA"/>
        </w:rPr>
        <w:t>对联合体投标的其他资格要求见</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第一章 招标公告</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中的“二、</w:t>
      </w:r>
      <w:r>
        <w:rPr>
          <w:rFonts w:hint="eastAsia" w:ascii="宋体" w:hAnsi="宋体" w:eastAsia="宋体" w:cs="宋体"/>
          <w:iCs/>
          <w:color w:val="auto"/>
          <w:kern w:val="2"/>
          <w:sz w:val="24"/>
          <w:szCs w:val="24"/>
          <w:highlight w:val="none"/>
          <w:shd w:val="clear" w:color="auto" w:fill="FFFFFF" w:themeFill="background1"/>
          <w:lang w:val="en-US" w:eastAsia="zh-CN" w:bidi="ar-SA"/>
        </w:rPr>
        <w:t>申请人的</w:t>
      </w:r>
      <w:r>
        <w:rPr>
          <w:rFonts w:hint="eastAsia" w:ascii="宋体" w:hAnsi="宋体" w:eastAsia="宋体" w:cs="宋体"/>
          <w:iCs/>
          <w:color w:val="auto"/>
          <w:kern w:val="2"/>
          <w:sz w:val="24"/>
          <w:szCs w:val="24"/>
          <w:highlight w:val="none"/>
          <w:shd w:val="clear" w:color="auto" w:fill="FFFFFF" w:themeFill="background1"/>
          <w:lang w:val="zh-CN" w:eastAsia="zh-CN" w:bidi="ar-SA"/>
        </w:rPr>
        <w:t>资格</w:t>
      </w:r>
      <w:r>
        <w:rPr>
          <w:rFonts w:hint="eastAsia" w:ascii="宋体" w:hAnsi="宋体" w:eastAsia="宋体" w:cs="宋体"/>
          <w:iCs/>
          <w:color w:val="auto"/>
          <w:kern w:val="2"/>
          <w:sz w:val="24"/>
          <w:szCs w:val="24"/>
          <w:highlight w:val="none"/>
          <w:shd w:val="clear" w:color="auto" w:fill="FFFFFF" w:themeFill="background1"/>
          <w:lang w:val="en-US" w:eastAsia="zh-CN" w:bidi="ar-SA"/>
        </w:rPr>
        <w:t>要求”</w:t>
      </w:r>
      <w:r>
        <w:rPr>
          <w:rFonts w:hint="eastAsia" w:ascii="宋体" w:hAnsi="宋体" w:eastAsia="宋体" w:cs="宋体"/>
          <w:iCs/>
          <w:color w:val="auto"/>
          <w:kern w:val="2"/>
          <w:sz w:val="24"/>
          <w:szCs w:val="24"/>
          <w:highlight w:val="none"/>
          <w:shd w:val="clear" w:color="auto" w:fill="FFFFFF" w:themeFill="background1"/>
          <w:lang w:val="zh-CN" w:eastAsia="zh-CN" w:bidi="ar-SA"/>
        </w:rPr>
        <w:t>。</w:t>
      </w:r>
    </w:p>
    <w:p w14:paraId="4DE6446D">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4"/>
          <w:highlight w:val="none"/>
          <w:lang w:val="en-US" w:eastAsia="zh-CN" w:bidi="ar-SA"/>
        </w:rPr>
      </w:pPr>
      <w:bookmarkStart w:id="149" w:name="_Toc18281"/>
      <w:bookmarkStart w:id="150" w:name="_Toc163492827"/>
      <w:r>
        <w:rPr>
          <w:rFonts w:hint="eastAsia" w:ascii="宋体" w:hAnsi="宋体" w:eastAsia="宋体" w:cs="宋体"/>
          <w:b/>
          <w:bCs/>
          <w:color w:val="auto"/>
          <w:kern w:val="2"/>
          <w:sz w:val="24"/>
          <w:szCs w:val="24"/>
          <w:highlight w:val="none"/>
          <w:lang w:val="en-US" w:eastAsia="zh-CN" w:bidi="ar-SA"/>
        </w:rPr>
        <w:t>5.费用承担</w:t>
      </w:r>
      <w:bookmarkEnd w:id="149"/>
      <w:bookmarkEnd w:id="150"/>
    </w:p>
    <w:p w14:paraId="3C6741ED">
      <w:pPr>
        <w:pStyle w:val="37"/>
        <w:keepNext w:val="0"/>
        <w:keepLines w:val="0"/>
        <w:pageBreakBefore w:val="0"/>
        <w:widowControl w:val="0"/>
        <w:kinsoku/>
        <w:overflowPunct/>
        <w:topLinePunct w:val="0"/>
        <w:autoSpaceDE/>
        <w:autoSpaceDN/>
        <w:bidi w:val="0"/>
        <w:adjustRightInd/>
        <w:snapToGrid/>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5.1</w:t>
      </w:r>
      <w:r>
        <w:rPr>
          <w:rFonts w:hint="eastAsia" w:ascii="宋体" w:hAnsi="宋体" w:eastAsia="宋体" w:cs="宋体"/>
          <w:color w:val="auto"/>
          <w:sz w:val="24"/>
          <w:szCs w:val="24"/>
          <w:highlight w:val="none"/>
          <w:lang w:val="en-US" w:eastAsia="zh-CN"/>
        </w:rPr>
        <w:t>不论投标的结果如何，投标人应承担所有与准备和参加投标有关的费用。</w:t>
      </w:r>
    </w:p>
    <w:p w14:paraId="0CE9ACA3">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4"/>
          <w:highlight w:val="none"/>
          <w:lang w:val="en-US" w:eastAsia="zh-CN" w:bidi="ar-SA"/>
        </w:rPr>
      </w:pPr>
      <w:bookmarkStart w:id="151" w:name="_Toc4542"/>
      <w:bookmarkStart w:id="152" w:name="_Toc163492828"/>
      <w:bookmarkStart w:id="153" w:name="_Toc140132761"/>
      <w:r>
        <w:rPr>
          <w:rFonts w:hint="eastAsia" w:ascii="宋体" w:hAnsi="宋体" w:eastAsia="宋体" w:cs="宋体"/>
          <w:b/>
          <w:bCs/>
          <w:color w:val="auto"/>
          <w:kern w:val="2"/>
          <w:sz w:val="24"/>
          <w:szCs w:val="24"/>
          <w:highlight w:val="none"/>
          <w:lang w:val="en-US" w:eastAsia="zh-CN" w:bidi="ar-SA"/>
        </w:rPr>
        <w:t>6.保密</w:t>
      </w:r>
      <w:bookmarkEnd w:id="151"/>
      <w:bookmarkEnd w:id="152"/>
      <w:bookmarkEnd w:id="153"/>
    </w:p>
    <w:p w14:paraId="7CBA93F7">
      <w:pPr>
        <w:pStyle w:val="37"/>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6.1</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参与招标投标活动的各方应对招标文件和投标文件中的商业和技术等秘密保密，否则应承担相应的法律责任。</w:t>
      </w:r>
    </w:p>
    <w:p w14:paraId="2947ABFF">
      <w:pPr>
        <w:pStyle w:val="54"/>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rPr>
        <w:t>6</w:t>
      </w:r>
      <w:r>
        <w:rPr>
          <w:rFonts w:hint="eastAsia" w:ascii="宋体" w:hAnsi="宋体" w:eastAsia="宋体" w:cs="宋体"/>
          <w:color w:val="auto"/>
          <w:kern w:val="2"/>
          <w:sz w:val="24"/>
          <w:szCs w:val="24"/>
          <w:highlight w:val="none"/>
        </w:rPr>
        <w:t>.</w:t>
      </w:r>
      <w:r>
        <w:rPr>
          <w:rFonts w:hint="eastAsia" w:ascii="宋体" w:hAnsi="宋体" w:eastAsia="宋体" w:cs="宋体"/>
          <w:color w:val="auto"/>
          <w:kern w:val="2"/>
          <w:sz w:val="24"/>
          <w:szCs w:val="24"/>
          <w:highlight w:val="none"/>
          <w:lang w:val="en-US" w:eastAsia="zh-CN"/>
        </w:rPr>
        <w:t xml:space="preserve">2 </w:t>
      </w:r>
      <w:r>
        <w:rPr>
          <w:rFonts w:hint="eastAsia" w:ascii="宋体" w:hAnsi="宋体" w:eastAsia="宋体" w:cs="宋体"/>
          <w:color w:val="auto"/>
          <w:kern w:val="2"/>
          <w:sz w:val="24"/>
          <w:szCs w:val="24"/>
          <w:highlight w:val="none"/>
        </w:rPr>
        <w:t>投标人自领取招标文件之日起，须承担本招标项目保密义务，不得将因本次招标获得的信息向第三人外传。由采购人向投标人提供的图纸、详细资料、样品、模型、模件和所有其它资料，被视为保密资料，仅被用于它所规定的用途。除非得到采购人的同意，不能向任何第三方透露。开标结束后，应采购人要求，投标人应归还所有从采购人处获得的保密资料。</w:t>
      </w:r>
    </w:p>
    <w:p w14:paraId="38BD9605">
      <w:pPr>
        <w:pStyle w:val="54"/>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rPr>
        <w:t>6</w:t>
      </w:r>
      <w:r>
        <w:rPr>
          <w:rFonts w:hint="eastAsia" w:ascii="宋体" w:hAnsi="宋体" w:eastAsia="宋体" w:cs="宋体"/>
          <w:color w:val="auto"/>
          <w:kern w:val="2"/>
          <w:sz w:val="24"/>
          <w:szCs w:val="24"/>
          <w:highlight w:val="none"/>
        </w:rPr>
        <w:t>.</w:t>
      </w:r>
      <w:r>
        <w:rPr>
          <w:rFonts w:hint="eastAsia" w:ascii="宋体" w:hAnsi="宋体" w:eastAsia="宋体" w:cs="宋体"/>
          <w:color w:val="auto"/>
          <w:kern w:val="2"/>
          <w:sz w:val="24"/>
          <w:szCs w:val="24"/>
          <w:highlight w:val="none"/>
          <w:lang w:val="en-US" w:eastAsia="zh-CN"/>
        </w:rPr>
        <w:t xml:space="preserve">3 </w:t>
      </w:r>
      <w:r>
        <w:rPr>
          <w:rFonts w:hint="eastAsia" w:ascii="宋体" w:hAnsi="宋体" w:eastAsia="宋体" w:cs="宋体"/>
          <w:color w:val="auto"/>
          <w:kern w:val="2"/>
          <w:sz w:val="24"/>
          <w:szCs w:val="24"/>
          <w:highlight w:val="none"/>
        </w:rPr>
        <w:t>采购代理机构有权将投标人提供的所有资料向有关政府部门或评审</w:t>
      </w:r>
      <w:r>
        <w:rPr>
          <w:rFonts w:hint="eastAsia" w:ascii="宋体" w:hAnsi="宋体" w:eastAsia="宋体" w:cs="宋体"/>
          <w:color w:val="auto"/>
          <w:kern w:val="2"/>
          <w:sz w:val="24"/>
          <w:szCs w:val="24"/>
          <w:highlight w:val="none"/>
          <w:lang w:val="en-US" w:eastAsia="zh-CN"/>
        </w:rPr>
        <w:t>投标文件</w:t>
      </w:r>
      <w:r>
        <w:rPr>
          <w:rFonts w:hint="eastAsia" w:ascii="宋体" w:hAnsi="宋体" w:eastAsia="宋体" w:cs="宋体"/>
          <w:color w:val="auto"/>
          <w:kern w:val="2"/>
          <w:sz w:val="24"/>
          <w:szCs w:val="24"/>
          <w:highlight w:val="none"/>
        </w:rPr>
        <w:t>的有关人员披露。</w:t>
      </w:r>
    </w:p>
    <w:p w14:paraId="0EE6357E">
      <w:pPr>
        <w:pStyle w:val="54"/>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rPr>
        <w:t>6</w:t>
      </w:r>
      <w:r>
        <w:rPr>
          <w:rFonts w:hint="eastAsia" w:ascii="宋体" w:hAnsi="宋体" w:eastAsia="宋体" w:cs="宋体"/>
          <w:color w:val="auto"/>
          <w:kern w:val="2"/>
          <w:sz w:val="24"/>
          <w:szCs w:val="24"/>
          <w:highlight w:val="none"/>
        </w:rPr>
        <w:t>.</w:t>
      </w:r>
      <w:r>
        <w:rPr>
          <w:rFonts w:hint="eastAsia" w:ascii="宋体" w:hAnsi="宋体" w:eastAsia="宋体" w:cs="宋体"/>
          <w:color w:val="auto"/>
          <w:kern w:val="2"/>
          <w:sz w:val="24"/>
          <w:szCs w:val="24"/>
          <w:highlight w:val="none"/>
          <w:lang w:val="en-US" w:eastAsia="zh-CN"/>
        </w:rPr>
        <w:t>4 各级人民政府财政部门对政府采购活动进行监督检查，有权查阅、复制有关文件、资料，相关单位和人员应当予以配合</w:t>
      </w:r>
      <w:r>
        <w:rPr>
          <w:rFonts w:hint="eastAsia" w:ascii="宋体" w:hAnsi="宋体" w:eastAsia="宋体" w:cs="宋体"/>
          <w:color w:val="auto"/>
          <w:kern w:val="2"/>
          <w:sz w:val="24"/>
          <w:szCs w:val="24"/>
          <w:highlight w:val="none"/>
        </w:rPr>
        <w:t>。</w:t>
      </w:r>
    </w:p>
    <w:p w14:paraId="284B114B">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4"/>
          <w:highlight w:val="none"/>
          <w:lang w:val="en-US" w:eastAsia="zh-CN" w:bidi="ar-SA"/>
        </w:rPr>
      </w:pPr>
      <w:bookmarkStart w:id="154" w:name="_Toc9160"/>
      <w:bookmarkStart w:id="155" w:name="_Toc163492829"/>
      <w:bookmarkStart w:id="156" w:name="_Toc140132762"/>
      <w:r>
        <w:rPr>
          <w:rFonts w:hint="eastAsia" w:ascii="宋体" w:hAnsi="宋体" w:eastAsia="宋体" w:cs="宋体"/>
          <w:b/>
          <w:bCs/>
          <w:color w:val="auto"/>
          <w:kern w:val="2"/>
          <w:sz w:val="24"/>
          <w:szCs w:val="24"/>
          <w:highlight w:val="none"/>
          <w:lang w:val="en-US" w:eastAsia="zh-CN" w:bidi="ar-SA"/>
        </w:rPr>
        <w:t>7.语言文字</w:t>
      </w:r>
      <w:bookmarkEnd w:id="154"/>
      <w:bookmarkEnd w:id="155"/>
      <w:bookmarkEnd w:id="156"/>
    </w:p>
    <w:p w14:paraId="25140936">
      <w:pPr>
        <w:pStyle w:val="37"/>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7.1招标投标</w:t>
      </w:r>
      <w:r>
        <w:rPr>
          <w:rFonts w:hint="eastAsia" w:ascii="宋体" w:hAnsi="宋体" w:eastAsia="宋体" w:cs="宋体"/>
          <w:color w:val="auto"/>
          <w:sz w:val="24"/>
          <w:szCs w:val="24"/>
          <w:highlight w:val="none"/>
          <w:lang w:val="en-US" w:eastAsia="zh-CN"/>
        </w:rPr>
        <w:t>过程</w:t>
      </w:r>
      <w:r>
        <w:rPr>
          <w:rFonts w:hint="eastAsia" w:ascii="宋体" w:hAnsi="宋体" w:eastAsia="宋体" w:cs="宋体"/>
          <w:color w:val="auto"/>
          <w:sz w:val="24"/>
          <w:szCs w:val="24"/>
          <w:highlight w:val="none"/>
        </w:rPr>
        <w:t>文件使用的语言文字为中文。专用术语使用外文的，应附有中文注释。</w:t>
      </w:r>
      <w:r>
        <w:rPr>
          <w:rFonts w:hint="eastAsia" w:ascii="宋体" w:hAnsi="宋体" w:eastAsia="宋体" w:cs="宋体"/>
          <w:color w:val="auto"/>
          <w:sz w:val="24"/>
          <w:szCs w:val="24"/>
          <w:highlight w:val="none"/>
          <w:lang w:val="en-US" w:eastAsia="zh-CN"/>
        </w:rPr>
        <w:t>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2F336166">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4"/>
          <w:highlight w:val="none"/>
          <w:lang w:val="en-US" w:eastAsia="zh-CN" w:bidi="ar-SA"/>
        </w:rPr>
      </w:pPr>
      <w:bookmarkStart w:id="157" w:name="_Toc163492830"/>
      <w:bookmarkStart w:id="158" w:name="_Toc140132763"/>
      <w:bookmarkStart w:id="159" w:name="_Toc15679"/>
      <w:r>
        <w:rPr>
          <w:rFonts w:hint="eastAsia" w:ascii="宋体" w:hAnsi="宋体" w:eastAsia="宋体" w:cs="宋体"/>
          <w:b/>
          <w:bCs/>
          <w:color w:val="auto"/>
          <w:kern w:val="2"/>
          <w:sz w:val="24"/>
          <w:szCs w:val="24"/>
          <w:highlight w:val="none"/>
          <w:lang w:val="en-US" w:eastAsia="zh-CN" w:bidi="ar-SA"/>
        </w:rPr>
        <w:t>8.计量单位</w:t>
      </w:r>
      <w:bookmarkEnd w:id="157"/>
      <w:bookmarkEnd w:id="158"/>
      <w:bookmarkEnd w:id="159"/>
    </w:p>
    <w:p w14:paraId="45A7AE57">
      <w:pPr>
        <w:pStyle w:val="37"/>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8.1所有计量均采用中华人民共和国法定计量单位。</w:t>
      </w:r>
    </w:p>
    <w:p w14:paraId="099F3EF6">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4"/>
          <w:highlight w:val="none"/>
          <w:lang w:val="en-US" w:eastAsia="zh-CN" w:bidi="ar-SA"/>
        </w:rPr>
      </w:pPr>
      <w:bookmarkStart w:id="160" w:name="_Toc23050"/>
      <w:bookmarkStart w:id="161" w:name="_Toc140132764"/>
      <w:bookmarkStart w:id="162" w:name="_Toc163492831"/>
      <w:r>
        <w:rPr>
          <w:rFonts w:hint="eastAsia" w:ascii="宋体" w:hAnsi="宋体" w:eastAsia="宋体" w:cs="宋体"/>
          <w:b/>
          <w:bCs/>
          <w:color w:val="auto"/>
          <w:kern w:val="2"/>
          <w:sz w:val="24"/>
          <w:szCs w:val="24"/>
          <w:highlight w:val="none"/>
          <w:lang w:val="en-US" w:eastAsia="zh-CN" w:bidi="ar-SA"/>
        </w:rPr>
        <w:t>9.现场考察和答疑会</w:t>
      </w:r>
      <w:bookmarkEnd w:id="160"/>
      <w:bookmarkEnd w:id="161"/>
      <w:bookmarkEnd w:id="162"/>
    </w:p>
    <w:p w14:paraId="5A8B8C45">
      <w:pPr>
        <w:pStyle w:val="37"/>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rPr>
      </w:pPr>
      <w:bookmarkStart w:id="163" w:name="_Hlk143529198"/>
      <w:r>
        <w:rPr>
          <w:rFonts w:hint="eastAsia" w:ascii="宋体" w:hAnsi="宋体" w:eastAsia="宋体" w:cs="宋体"/>
          <w:color w:val="auto"/>
          <w:sz w:val="24"/>
          <w:szCs w:val="24"/>
          <w:highlight w:val="none"/>
        </w:rPr>
        <w:t xml:space="preserve">9.1 “投标人须知前附表”规定组织现场考察的，采购代理机构按“投标人须知前附表”规定的时间、地点组织投标人项目现场考察。 </w:t>
      </w:r>
    </w:p>
    <w:p w14:paraId="5F8A235F">
      <w:pPr>
        <w:pStyle w:val="37"/>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9.2 投标人现场考察发生的费用自理。</w:t>
      </w:r>
    </w:p>
    <w:p w14:paraId="199A48B2">
      <w:pPr>
        <w:pStyle w:val="37"/>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9.3 在现场考察中，因投标人自身原因发生的人员伤亡和财产损失，由投标人自行负责。</w:t>
      </w:r>
    </w:p>
    <w:p w14:paraId="6F1F6A2D">
      <w:pPr>
        <w:pStyle w:val="37"/>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9.4 采购人在现场考察中介绍的项目场地和相关的周边环境情况，仅供投标人在编制投标文件时参考，采购人和采购代理机构不对投标人据此作出的判断和决策负责。</w:t>
      </w:r>
    </w:p>
    <w:p w14:paraId="0E249AE3">
      <w:pPr>
        <w:pStyle w:val="37"/>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9.5 “投标人须知前附表”规定召开答疑会的，采购代理机构按“投标人须知前附表”规定的时间和地点召开答疑会，澄清投标人提出的问题。</w:t>
      </w:r>
    </w:p>
    <w:p w14:paraId="00943847">
      <w:pPr>
        <w:pStyle w:val="37"/>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9.6 由于未参加现场考察或未参加标前答疑会而导致对项目实际情况不了解，影响投标文件编制、投标报价准确性、综合因素响应不全面等问题的，由投标人自行承担不利评审后果。</w:t>
      </w:r>
    </w:p>
    <w:bookmarkEnd w:id="163"/>
    <w:p w14:paraId="015C1ED3">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4"/>
          <w:highlight w:val="none"/>
          <w:lang w:val="en-US" w:eastAsia="zh-CN" w:bidi="ar-SA"/>
        </w:rPr>
      </w:pPr>
      <w:bookmarkStart w:id="164" w:name="_Toc155185858"/>
      <w:bookmarkStart w:id="165" w:name="_Toc72"/>
      <w:bookmarkStart w:id="166" w:name="_Toc163492833"/>
      <w:bookmarkStart w:id="167" w:name="_Toc155185871"/>
      <w:r>
        <w:rPr>
          <w:rFonts w:hint="eastAsia" w:ascii="宋体" w:hAnsi="宋体" w:eastAsia="宋体" w:cs="宋体"/>
          <w:b/>
          <w:bCs/>
          <w:color w:val="auto"/>
          <w:kern w:val="2"/>
          <w:sz w:val="24"/>
          <w:szCs w:val="24"/>
          <w:highlight w:val="none"/>
          <w:lang w:val="en-US" w:eastAsia="zh-CN" w:bidi="ar-SA"/>
        </w:rPr>
        <w:t>10.电子投标说明</w:t>
      </w:r>
      <w:bookmarkEnd w:id="164"/>
      <w:bookmarkEnd w:id="165"/>
      <w:bookmarkEnd w:id="166"/>
      <w:r>
        <w:rPr>
          <w:rFonts w:hint="eastAsia" w:ascii="宋体" w:hAnsi="宋体" w:eastAsia="宋体" w:cs="宋体"/>
          <w:b/>
          <w:bCs/>
          <w:color w:val="auto"/>
          <w:kern w:val="2"/>
          <w:sz w:val="24"/>
          <w:szCs w:val="24"/>
          <w:highlight w:val="none"/>
          <w:lang w:val="en-US" w:eastAsia="zh-CN" w:bidi="ar-SA"/>
        </w:rPr>
        <w:t xml:space="preserve">   </w:t>
      </w:r>
    </w:p>
    <w:p w14:paraId="1885013F">
      <w:pPr>
        <w:pStyle w:val="37"/>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10.1 </w:t>
      </w:r>
      <w:r>
        <w:rPr>
          <w:rFonts w:hint="eastAsia" w:ascii="宋体" w:hAnsi="宋体" w:eastAsia="宋体" w:cs="宋体"/>
          <w:color w:val="auto"/>
          <w:sz w:val="24"/>
          <w:szCs w:val="24"/>
          <w:highlight w:val="none"/>
        </w:rPr>
        <w:t>本次采购采用电子交易方式，电子交易平台为</w:t>
      </w:r>
      <w:r>
        <w:rPr>
          <w:rFonts w:hint="eastAsia" w:cs="宋体"/>
          <w:color w:val="auto"/>
          <w:sz w:val="24"/>
          <w:szCs w:val="24"/>
          <w:highlight w:val="none"/>
          <w:lang w:val="en-US" w:eastAsia="zh-CN"/>
        </w:rPr>
        <w:t>新疆</w:t>
      </w:r>
      <w:r>
        <w:rPr>
          <w:rFonts w:hint="eastAsia" w:ascii="宋体" w:hAnsi="宋体" w:eastAsia="宋体" w:cs="宋体"/>
          <w:color w:val="auto"/>
          <w:sz w:val="24"/>
          <w:szCs w:val="24"/>
          <w:highlight w:val="none"/>
        </w:rPr>
        <w:t>政府采购</w:t>
      </w:r>
      <w:r>
        <w:rPr>
          <w:rFonts w:hint="eastAsia" w:ascii="宋体" w:hAnsi="宋体" w:eastAsia="宋体" w:cs="宋体"/>
          <w:color w:val="auto"/>
          <w:sz w:val="24"/>
          <w:szCs w:val="24"/>
          <w:highlight w:val="none"/>
          <w:lang w:val="en-US"/>
        </w:rPr>
        <w:t>电子交易云</w:t>
      </w:r>
      <w:r>
        <w:rPr>
          <w:rFonts w:hint="eastAsia" w:ascii="宋体" w:hAnsi="宋体" w:eastAsia="宋体" w:cs="宋体"/>
          <w:color w:val="auto"/>
          <w:sz w:val="24"/>
          <w:szCs w:val="24"/>
          <w:highlight w:val="none"/>
        </w:rPr>
        <w:t>平台。投标人参与本项目电子交易活动前，应</w:t>
      </w:r>
      <w:r>
        <w:rPr>
          <w:rFonts w:hint="eastAsia" w:ascii="宋体" w:hAnsi="宋体" w:eastAsia="宋体" w:cs="宋体"/>
          <w:color w:val="auto"/>
          <w:sz w:val="24"/>
          <w:szCs w:val="24"/>
          <w:highlight w:val="none"/>
          <w:lang w:val="en-US" w:eastAsia="zh-CN"/>
        </w:rPr>
        <w:t>在</w:t>
      </w:r>
      <w:r>
        <w:rPr>
          <w:rFonts w:hint="eastAsia" w:ascii="宋体" w:hAnsi="宋体" w:eastAsia="宋体" w:cs="宋体"/>
          <w:color w:val="auto"/>
          <w:sz w:val="24"/>
          <w:szCs w:val="24"/>
          <w:highlight w:val="none"/>
        </w:rPr>
        <w:t>政</w:t>
      </w:r>
      <w:r>
        <w:rPr>
          <w:rFonts w:hint="eastAsia" w:ascii="宋体" w:hAnsi="宋体" w:eastAsia="宋体" w:cs="宋体"/>
          <w:color w:val="auto"/>
          <w:sz w:val="24"/>
          <w:szCs w:val="24"/>
          <w:highlight w:val="none"/>
          <w:lang w:val="en-US" w:eastAsia="zh-CN"/>
        </w:rPr>
        <w:t>采</w:t>
      </w:r>
      <w:r>
        <w:rPr>
          <w:rFonts w:hint="eastAsia" w:ascii="宋体" w:hAnsi="宋体" w:eastAsia="宋体" w:cs="宋体"/>
          <w:color w:val="auto"/>
          <w:sz w:val="24"/>
          <w:szCs w:val="24"/>
          <w:highlight w:val="none"/>
          <w:lang w:val="en-US"/>
        </w:rPr>
        <w:t>云</w:t>
      </w:r>
      <w:r>
        <w:rPr>
          <w:rFonts w:hint="eastAsia" w:ascii="宋体" w:hAnsi="宋体" w:eastAsia="宋体" w:cs="宋体"/>
          <w:color w:val="auto"/>
          <w:sz w:val="24"/>
          <w:szCs w:val="24"/>
          <w:highlight w:val="none"/>
        </w:rPr>
        <w:t>平台</w:t>
      </w:r>
      <w:r>
        <w:rPr>
          <w:rFonts w:hint="eastAsia" w:ascii="宋体" w:hAnsi="宋体" w:eastAsia="宋体" w:cs="宋体"/>
          <w:color w:val="auto"/>
          <w:sz w:val="24"/>
          <w:szCs w:val="24"/>
          <w:highlight w:val="none"/>
          <w:lang w:val="en-US" w:eastAsia="zh-CN"/>
        </w:rPr>
        <w:t>上</w:t>
      </w:r>
      <w:r>
        <w:rPr>
          <w:rFonts w:hint="eastAsia" w:ascii="宋体" w:hAnsi="宋体" w:eastAsia="宋体" w:cs="宋体"/>
          <w:color w:val="auto"/>
          <w:sz w:val="24"/>
          <w:szCs w:val="24"/>
          <w:highlight w:val="none"/>
        </w:rPr>
        <w:t>注册</w:t>
      </w:r>
      <w:r>
        <w:rPr>
          <w:rFonts w:hint="eastAsia" w:ascii="宋体" w:hAnsi="宋体" w:eastAsia="宋体" w:cs="宋体"/>
          <w:color w:val="auto"/>
          <w:sz w:val="24"/>
          <w:szCs w:val="24"/>
          <w:highlight w:val="none"/>
          <w:lang w:val="en-US" w:eastAsia="zh-CN"/>
        </w:rPr>
        <w:t>供应商账号</w:t>
      </w:r>
      <w:r>
        <w:rPr>
          <w:rFonts w:hint="eastAsia" w:ascii="宋体" w:hAnsi="宋体" w:eastAsia="宋体" w:cs="宋体"/>
          <w:color w:val="auto"/>
          <w:sz w:val="24"/>
          <w:szCs w:val="24"/>
          <w:highlight w:val="none"/>
        </w:rPr>
        <w:t>。编制电子</w:t>
      </w: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rPr>
        <w:t>文件前还需</w:t>
      </w:r>
      <w:r>
        <w:rPr>
          <w:rFonts w:hint="eastAsia" w:ascii="宋体" w:hAnsi="宋体" w:eastAsia="宋体" w:cs="宋体"/>
          <w:color w:val="auto"/>
          <w:sz w:val="24"/>
          <w:szCs w:val="24"/>
          <w:highlight w:val="none"/>
          <w:lang w:val="en-US" w:eastAsia="zh-CN"/>
        </w:rPr>
        <w:t>申领CA证书并绑定帐号。投标人应充分考虑完成平台注册、申领CA证书等所需的时间。</w:t>
      </w:r>
      <w:r>
        <w:rPr>
          <w:rFonts w:hint="eastAsia" w:ascii="宋体" w:hAnsi="宋体" w:eastAsia="宋体" w:cs="宋体"/>
          <w:color w:val="auto"/>
          <w:sz w:val="24"/>
          <w:szCs w:val="24"/>
          <w:highlight w:val="none"/>
          <w:lang w:val="zh-CN" w:eastAsia="zh-CN"/>
        </w:rPr>
        <w:t>潜在投标人领取文件须提前完成注册、CA证书和电子签章申领和绑定、下载</w:t>
      </w:r>
      <w:r>
        <w:rPr>
          <w:rFonts w:hint="eastAsia" w:cs="宋体"/>
          <w:color w:val="auto"/>
          <w:sz w:val="24"/>
          <w:szCs w:val="24"/>
          <w:highlight w:val="none"/>
          <w:lang w:val="zh-CN" w:eastAsia="zh-CN"/>
        </w:rPr>
        <w:t>“</w:t>
      </w:r>
      <w:r>
        <w:rPr>
          <w:rFonts w:hint="eastAsia" w:ascii="宋体" w:hAnsi="宋体" w:eastAsia="宋体" w:cs="宋体"/>
          <w:color w:val="auto"/>
          <w:sz w:val="24"/>
          <w:szCs w:val="24"/>
          <w:highlight w:val="none"/>
          <w:lang w:val="zh-CN" w:eastAsia="zh-CN"/>
        </w:rPr>
        <w:t>投标客户端</w:t>
      </w:r>
      <w:r>
        <w:rPr>
          <w:rFonts w:hint="eastAsia" w:cs="宋体"/>
          <w:color w:val="auto"/>
          <w:sz w:val="24"/>
          <w:szCs w:val="24"/>
          <w:highlight w:val="none"/>
          <w:lang w:val="zh-CN" w:eastAsia="zh-CN"/>
        </w:rPr>
        <w:t>”</w:t>
      </w:r>
      <w:r>
        <w:rPr>
          <w:rFonts w:hint="eastAsia" w:ascii="宋体" w:hAnsi="宋体" w:eastAsia="宋体" w:cs="宋体"/>
          <w:color w:val="auto"/>
          <w:sz w:val="24"/>
          <w:szCs w:val="24"/>
          <w:highlight w:val="none"/>
          <w:lang w:val="zh-CN" w:eastAsia="zh-CN"/>
        </w:rPr>
        <w:t>。因未办理CA数字证书、CA证书故障、操作不当等原因造成无法投标或投标失败等后果由投标人自行承担。</w:t>
      </w: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lang w:val="zh-CN" w:eastAsia="zh-CN"/>
        </w:rPr>
        <w:t>登录</w:t>
      </w:r>
      <w:r>
        <w:rPr>
          <w:rFonts w:hint="eastAsia" w:cs="宋体"/>
          <w:color w:val="auto"/>
          <w:sz w:val="24"/>
          <w:szCs w:val="24"/>
          <w:highlight w:val="none"/>
          <w:lang w:val="zh-CN" w:eastAsia="zh-CN"/>
        </w:rPr>
        <w:t>新疆政府采购网</w:t>
      </w:r>
      <w:r>
        <w:rPr>
          <w:rFonts w:hint="eastAsia" w:ascii="宋体" w:hAnsi="宋体" w:eastAsia="宋体" w:cs="宋体"/>
          <w:color w:val="auto"/>
          <w:sz w:val="24"/>
          <w:szCs w:val="24"/>
          <w:highlight w:val="none"/>
          <w:lang w:val="zh-CN" w:eastAsia="zh-CN"/>
        </w:rPr>
        <w:t>“供应商注册”—“</w:t>
      </w:r>
      <w:r>
        <w:rPr>
          <w:rFonts w:hint="eastAsia" w:cs="宋体"/>
          <w:color w:val="auto"/>
          <w:sz w:val="24"/>
          <w:szCs w:val="24"/>
          <w:highlight w:val="none"/>
          <w:lang w:val="en-US" w:eastAsia="zh-CN"/>
        </w:rPr>
        <w:t>新疆</w:t>
      </w:r>
      <w:r>
        <w:rPr>
          <w:rFonts w:hint="eastAsia" w:ascii="宋体" w:hAnsi="宋体" w:eastAsia="宋体" w:cs="宋体"/>
          <w:color w:val="auto"/>
          <w:sz w:val="24"/>
          <w:szCs w:val="24"/>
          <w:highlight w:val="none"/>
          <w:lang w:val="zh-CN" w:eastAsia="zh-CN"/>
        </w:rPr>
        <w:t>政府采购供应商入驻登记”—“立即登记”进行自助注册绑定。</w:t>
      </w:r>
    </w:p>
    <w:p w14:paraId="091665A0">
      <w:pPr>
        <w:pStyle w:val="37"/>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投标人将</w:t>
      </w:r>
      <w:r>
        <w:rPr>
          <w:rFonts w:hint="eastAsia" w:cs="宋体"/>
          <w:color w:val="auto"/>
          <w:sz w:val="24"/>
          <w:szCs w:val="24"/>
          <w:highlight w:val="none"/>
          <w:lang w:val="en-US" w:eastAsia="zh-CN"/>
        </w:rPr>
        <w:t>新疆</w:t>
      </w:r>
      <w:r>
        <w:rPr>
          <w:rFonts w:hint="eastAsia" w:ascii="宋体" w:hAnsi="宋体" w:eastAsia="宋体" w:cs="宋体"/>
          <w:color w:val="auto"/>
          <w:sz w:val="24"/>
          <w:szCs w:val="24"/>
          <w:highlight w:val="none"/>
        </w:rPr>
        <w:t>政府采购</w:t>
      </w:r>
      <w:r>
        <w:rPr>
          <w:rFonts w:hint="eastAsia" w:ascii="宋体" w:hAnsi="宋体" w:eastAsia="宋体" w:cs="宋体"/>
          <w:color w:val="auto"/>
          <w:sz w:val="24"/>
          <w:szCs w:val="24"/>
          <w:highlight w:val="none"/>
          <w:lang w:val="en-US"/>
        </w:rPr>
        <w:t>电子交易云</w:t>
      </w:r>
      <w:r>
        <w:rPr>
          <w:rFonts w:hint="eastAsia" w:ascii="宋体" w:hAnsi="宋体" w:eastAsia="宋体" w:cs="宋体"/>
          <w:color w:val="auto"/>
          <w:sz w:val="24"/>
          <w:szCs w:val="24"/>
          <w:highlight w:val="none"/>
        </w:rPr>
        <w:t>平台电子交易客户端下载、安装完成后，可通过账号密码或CA登录客户端进行</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制作。在使用政采云</w:t>
      </w:r>
      <w:r>
        <w:rPr>
          <w:rFonts w:hint="eastAsia" w:cs="宋体"/>
          <w:color w:val="auto"/>
          <w:sz w:val="24"/>
          <w:szCs w:val="24"/>
          <w:highlight w:val="none"/>
          <w:lang w:eastAsia="zh-CN"/>
        </w:rPr>
        <w:t>“</w:t>
      </w:r>
      <w:r>
        <w:rPr>
          <w:rFonts w:hint="eastAsia" w:ascii="宋体" w:hAnsi="宋体" w:eastAsia="宋体" w:cs="宋体"/>
          <w:color w:val="auto"/>
          <w:sz w:val="24"/>
          <w:szCs w:val="24"/>
          <w:highlight w:val="none"/>
        </w:rPr>
        <w:t>投标客户端</w:t>
      </w:r>
      <w:r>
        <w:rPr>
          <w:rFonts w:hint="eastAsia" w:cs="宋体"/>
          <w:color w:val="auto"/>
          <w:sz w:val="24"/>
          <w:szCs w:val="24"/>
          <w:highlight w:val="none"/>
          <w:lang w:eastAsia="zh-CN"/>
        </w:rPr>
        <w:t>”</w:t>
      </w:r>
      <w:r>
        <w:rPr>
          <w:rFonts w:hint="eastAsia" w:ascii="宋体" w:hAnsi="宋体" w:eastAsia="宋体" w:cs="宋体"/>
          <w:color w:val="auto"/>
          <w:sz w:val="24"/>
          <w:szCs w:val="24"/>
          <w:highlight w:val="none"/>
        </w:rPr>
        <w:t>时，建议使用WIN7及以上操作系统。</w:t>
      </w: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rPr>
        <w:t>登录</w:t>
      </w:r>
      <w:r>
        <w:rPr>
          <w:rFonts w:hint="eastAsia" w:cs="宋体"/>
          <w:color w:val="auto"/>
          <w:sz w:val="24"/>
          <w:szCs w:val="24"/>
          <w:highlight w:val="none"/>
          <w:lang w:eastAsia="zh-CN"/>
        </w:rPr>
        <w:t>新疆政府采购网</w:t>
      </w:r>
      <w:r>
        <w:rPr>
          <w:rFonts w:hint="eastAsia" w:ascii="宋体" w:hAnsi="宋体" w:eastAsia="宋体" w:cs="宋体"/>
          <w:color w:val="auto"/>
          <w:sz w:val="24"/>
          <w:szCs w:val="24"/>
          <w:highlight w:val="none"/>
        </w:rPr>
        <w:t>“下载专区”—“电子招投标客户端下载”下载相关客户端，如有问题可拨打政采云客户服务热线95763进行咨询。</w:t>
      </w:r>
    </w:p>
    <w:p w14:paraId="1A54E8FA">
      <w:pPr>
        <w:pStyle w:val="37"/>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加密的电子</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应在</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递交截止时间前通过政采云平台上传完成。逾期上传或者未上传指定地点的</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，不予受理。</w:t>
      </w:r>
    </w:p>
    <w:p w14:paraId="02317D05">
      <w:pPr>
        <w:pStyle w:val="37"/>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投标人在开标前须提前配置好电脑</w:t>
      </w:r>
      <w:r>
        <w:rPr>
          <w:rFonts w:hint="eastAsia" w:ascii="宋体" w:hAnsi="宋体" w:eastAsia="宋体" w:cs="宋体"/>
          <w:color w:val="auto"/>
          <w:sz w:val="24"/>
          <w:szCs w:val="24"/>
          <w:highlight w:val="none"/>
          <w:lang w:val="en-US" w:eastAsia="zh-CN"/>
        </w:rPr>
        <w:t>及</w:t>
      </w:r>
      <w:r>
        <w:rPr>
          <w:rFonts w:hint="eastAsia" w:ascii="宋体" w:hAnsi="宋体" w:eastAsia="宋体" w:cs="宋体"/>
          <w:color w:val="auto"/>
          <w:sz w:val="24"/>
          <w:szCs w:val="24"/>
          <w:highlight w:val="none"/>
        </w:rPr>
        <w:t>浏览器，开标时请使用制作加密电子</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的CA锁进行解密及报价确认。本项目</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解密时间</w:t>
      </w:r>
      <w:r>
        <w:rPr>
          <w:rFonts w:hint="eastAsia" w:ascii="宋体" w:hAnsi="宋体" w:eastAsia="宋体" w:cs="宋体"/>
          <w:color w:val="auto"/>
          <w:sz w:val="24"/>
          <w:szCs w:val="24"/>
          <w:highlight w:val="none"/>
          <w:lang w:val="en-US" w:eastAsia="zh-CN"/>
        </w:rPr>
        <w:t>详见“投标人须知前附表”</w:t>
      </w:r>
      <w:r>
        <w:rPr>
          <w:rFonts w:hint="eastAsia" w:ascii="宋体" w:hAnsi="宋体" w:eastAsia="宋体" w:cs="宋体"/>
          <w:color w:val="auto"/>
          <w:sz w:val="24"/>
          <w:szCs w:val="24"/>
          <w:highlight w:val="none"/>
        </w:rPr>
        <w:t>，如因自身原因导致无法正常解密，后果由投标人自行承担。</w:t>
      </w:r>
    </w:p>
    <w:p w14:paraId="6EDA7167">
      <w:pPr>
        <w:pStyle w:val="37"/>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5</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如遇“</w:t>
      </w:r>
      <w:r>
        <w:rPr>
          <w:rFonts w:hint="eastAsia" w:cs="宋体"/>
          <w:color w:val="auto"/>
          <w:sz w:val="24"/>
          <w:szCs w:val="24"/>
          <w:highlight w:val="none"/>
          <w:lang w:val="en-US" w:eastAsia="zh-CN"/>
        </w:rPr>
        <w:t>新疆</w:t>
      </w:r>
      <w:r>
        <w:rPr>
          <w:rFonts w:hint="eastAsia" w:ascii="宋体" w:hAnsi="宋体" w:eastAsia="宋体" w:cs="宋体"/>
          <w:color w:val="auto"/>
          <w:sz w:val="24"/>
          <w:szCs w:val="24"/>
          <w:highlight w:val="none"/>
        </w:rPr>
        <w:t>政府采购</w:t>
      </w:r>
      <w:r>
        <w:rPr>
          <w:rFonts w:hint="eastAsia" w:ascii="宋体" w:hAnsi="宋体" w:eastAsia="宋体" w:cs="宋体"/>
          <w:color w:val="auto"/>
          <w:sz w:val="24"/>
          <w:szCs w:val="24"/>
          <w:highlight w:val="none"/>
          <w:lang w:val="en-US"/>
        </w:rPr>
        <w:t>电子交易云</w:t>
      </w:r>
      <w:r>
        <w:rPr>
          <w:rFonts w:hint="eastAsia" w:ascii="宋体" w:hAnsi="宋体" w:eastAsia="宋体" w:cs="宋体"/>
          <w:color w:val="auto"/>
          <w:sz w:val="24"/>
          <w:szCs w:val="24"/>
          <w:highlight w:val="none"/>
        </w:rPr>
        <w:t>平台”电子交易规则调整，以最新要求为准。</w:t>
      </w:r>
    </w:p>
    <w:p w14:paraId="733157BB">
      <w:pPr>
        <w:pStyle w:val="37"/>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10.6 电子交易系统咨询：投标人应当充分考虑到电子投标可能会发生的各种问题和风险，特别是投标文件签署、提交等问题，可按照“第一章 招标公告”的联系方式咨询相关人员。</w:t>
      </w:r>
    </w:p>
    <w:p w14:paraId="06DEE05F">
      <w:pPr>
        <w:pStyle w:val="37"/>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10.7 由于本项目采用电子招标方式，潜在投标人的名单将在提交投标文件截止时间后才会解密。因此，采购人或采购代理机构无法通过传统的传真或邮件方式，将招标文件的澄清或修改内容逐一通知到每位已获取招标文件的潜在投标人。为确保信息的及时性和准确性，澄清或修改的内容将仅在政采云平台以更正公告的形式发布。潜在投标人需密切关注该网站，及时查看并下载相关更正公告。若因潜在投标人未能及时查看或下载相关更正公告，而导致的一切后果，将由潜在投标人自行承担。</w:t>
      </w:r>
    </w:p>
    <w:p w14:paraId="7A306C00">
      <w:pPr>
        <w:pStyle w:val="4"/>
        <w:keepNext w:val="0"/>
        <w:keepLines w:val="0"/>
        <w:pageBreakBefore w:val="0"/>
        <w:widowControl w:val="0"/>
        <w:numPr>
          <w:ilvl w:val="0"/>
          <w:numId w:val="0"/>
        </w:numPr>
        <w:kinsoku/>
        <w:wordWrap/>
        <w:overflowPunct/>
        <w:topLinePunct w:val="0"/>
        <w:autoSpaceDE/>
        <w:autoSpaceDN/>
        <w:bidi w:val="0"/>
        <w:adjustRightInd/>
        <w:snapToGrid/>
        <w:spacing w:before="120" w:after="120" w:line="240" w:lineRule="auto"/>
        <w:ind w:left="420" w:leftChars="0" w:hanging="420" w:firstLineChars="0"/>
        <w:jc w:val="both"/>
        <w:textAlignment w:val="auto"/>
        <w:rPr>
          <w:rFonts w:hint="eastAsia" w:ascii="宋体" w:hAnsi="宋体" w:eastAsia="宋体" w:cs="宋体"/>
          <w:b/>
          <w:bCs/>
          <w:color w:val="auto"/>
          <w:kern w:val="2"/>
          <w:sz w:val="24"/>
          <w:szCs w:val="24"/>
          <w:highlight w:val="none"/>
          <w:lang w:val="en-US" w:eastAsia="zh-CN" w:bidi="ar-SA"/>
        </w:rPr>
      </w:pPr>
      <w:bookmarkStart w:id="168" w:name="_Toc12064"/>
      <w:bookmarkStart w:id="169" w:name="_Toc163492834"/>
      <w:r>
        <w:rPr>
          <w:rFonts w:hint="eastAsia" w:ascii="宋体" w:hAnsi="宋体" w:eastAsia="宋体" w:cs="宋体"/>
          <w:b/>
          <w:bCs/>
          <w:color w:val="auto"/>
          <w:kern w:val="2"/>
          <w:sz w:val="24"/>
          <w:szCs w:val="24"/>
          <w:highlight w:val="none"/>
          <w:lang w:val="en-US" w:eastAsia="zh-CN" w:bidi="ar-SA"/>
        </w:rPr>
        <w:t>（二）招标文件</w:t>
      </w:r>
      <w:bookmarkEnd w:id="167"/>
      <w:bookmarkEnd w:id="168"/>
      <w:bookmarkEnd w:id="169"/>
    </w:p>
    <w:p w14:paraId="08A2C6A4">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4"/>
          <w:highlight w:val="none"/>
          <w:lang w:val="en-US" w:eastAsia="zh-CN" w:bidi="ar-SA"/>
        </w:rPr>
      </w:pPr>
      <w:bookmarkStart w:id="170" w:name="_Toc140132768"/>
      <w:bookmarkStart w:id="171" w:name="_Toc163492835"/>
      <w:bookmarkStart w:id="172" w:name="_Toc14223"/>
      <w:r>
        <w:rPr>
          <w:rFonts w:hint="eastAsia" w:ascii="宋体" w:hAnsi="宋体" w:eastAsia="宋体" w:cs="宋体"/>
          <w:b/>
          <w:bCs/>
          <w:color w:val="auto"/>
          <w:kern w:val="2"/>
          <w:sz w:val="24"/>
          <w:szCs w:val="24"/>
          <w:highlight w:val="none"/>
          <w:lang w:val="en-US" w:eastAsia="zh-CN" w:bidi="ar-SA"/>
        </w:rPr>
        <w:t>11.招标文件的组成</w:t>
      </w:r>
      <w:bookmarkEnd w:id="170"/>
      <w:bookmarkEnd w:id="171"/>
      <w:bookmarkEnd w:id="172"/>
    </w:p>
    <w:p w14:paraId="0FCCC628">
      <w:pPr>
        <w:keepNext w:val="0"/>
        <w:keepLines w:val="0"/>
        <w:pageBreakBefore w:val="0"/>
        <w:widowControl w:val="0"/>
        <w:kinsoku/>
        <w:overflowPunct/>
        <w:topLinePunct w:val="0"/>
        <w:autoSpaceDE/>
        <w:autoSpaceDN/>
        <w:bidi w:val="0"/>
        <w:adjustRightInd/>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.1本招标文件包括下列文件及根据本章第9款、第1</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款对招标文件所作的澄清或者修改。</w:t>
      </w:r>
    </w:p>
    <w:p w14:paraId="5876B8A3">
      <w:pPr>
        <w:keepNext w:val="0"/>
        <w:keepLines w:val="0"/>
        <w:pageBreakBefore w:val="0"/>
        <w:widowControl w:val="0"/>
        <w:kinsoku/>
        <w:overflowPunct/>
        <w:topLinePunct w:val="0"/>
        <w:autoSpaceDE/>
        <w:autoSpaceDN/>
        <w:bidi w:val="0"/>
        <w:adjustRightInd/>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第一章 </w:t>
      </w:r>
      <w:r>
        <w:rPr>
          <w:rFonts w:hint="eastAsia" w:ascii="宋体" w:hAnsi="宋体" w:eastAsia="宋体" w:cs="宋体"/>
          <w:color w:val="auto"/>
          <w:sz w:val="24"/>
          <w:szCs w:val="24"/>
          <w:highlight w:val="none"/>
          <w:lang w:val="en-US" w:eastAsia="zh-CN"/>
        </w:rPr>
        <w:t>招标公告</w:t>
      </w:r>
    </w:p>
    <w:p w14:paraId="626801D6">
      <w:pPr>
        <w:keepNext w:val="0"/>
        <w:keepLines w:val="0"/>
        <w:pageBreakBefore w:val="0"/>
        <w:widowControl w:val="0"/>
        <w:kinsoku/>
        <w:overflowPunct/>
        <w:topLinePunct w:val="0"/>
        <w:autoSpaceDE/>
        <w:autoSpaceDN/>
        <w:bidi w:val="0"/>
        <w:adjustRightInd/>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第二章 投标人须知</w:t>
      </w:r>
    </w:p>
    <w:p w14:paraId="5E339F13">
      <w:pPr>
        <w:keepNext w:val="0"/>
        <w:keepLines w:val="0"/>
        <w:pageBreakBefore w:val="0"/>
        <w:widowControl w:val="0"/>
        <w:kinsoku/>
        <w:overflowPunct/>
        <w:topLinePunct w:val="0"/>
        <w:autoSpaceDE/>
        <w:autoSpaceDN/>
        <w:bidi w:val="0"/>
        <w:adjustRightInd/>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第三章 采购需求</w:t>
      </w:r>
    </w:p>
    <w:p w14:paraId="750A6D4C">
      <w:pPr>
        <w:keepNext w:val="0"/>
        <w:keepLines w:val="0"/>
        <w:pageBreakBefore w:val="0"/>
        <w:widowControl w:val="0"/>
        <w:kinsoku/>
        <w:overflowPunct/>
        <w:topLinePunct w:val="0"/>
        <w:autoSpaceDE/>
        <w:autoSpaceDN/>
        <w:bidi w:val="0"/>
        <w:adjustRightInd/>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第四章 资格审查</w:t>
      </w:r>
    </w:p>
    <w:p w14:paraId="08BF9358">
      <w:pPr>
        <w:keepNext w:val="0"/>
        <w:keepLines w:val="0"/>
        <w:pageBreakBefore w:val="0"/>
        <w:widowControl w:val="0"/>
        <w:kinsoku/>
        <w:overflowPunct/>
        <w:topLinePunct w:val="0"/>
        <w:autoSpaceDE/>
        <w:autoSpaceDN/>
        <w:bidi w:val="0"/>
        <w:adjustRightInd/>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第五章 评标</w:t>
      </w:r>
      <w:r>
        <w:rPr>
          <w:rFonts w:hint="eastAsia" w:ascii="宋体" w:hAnsi="宋体" w:eastAsia="宋体" w:cs="宋体"/>
          <w:color w:val="auto"/>
          <w:sz w:val="24"/>
          <w:szCs w:val="24"/>
          <w:highlight w:val="none"/>
          <w:lang w:val="en-US" w:eastAsia="zh-CN"/>
        </w:rPr>
        <w:t>方</w:t>
      </w:r>
      <w:r>
        <w:rPr>
          <w:rFonts w:hint="eastAsia" w:ascii="宋体" w:hAnsi="宋体" w:eastAsia="宋体" w:cs="宋体"/>
          <w:color w:val="auto"/>
          <w:sz w:val="24"/>
          <w:szCs w:val="24"/>
          <w:highlight w:val="none"/>
        </w:rPr>
        <w:t>法及标准</w:t>
      </w:r>
    </w:p>
    <w:p w14:paraId="3F57501F">
      <w:pPr>
        <w:keepNext w:val="0"/>
        <w:keepLines w:val="0"/>
        <w:pageBreakBefore w:val="0"/>
        <w:widowControl w:val="0"/>
        <w:kinsoku/>
        <w:overflowPunct/>
        <w:topLinePunct w:val="0"/>
        <w:autoSpaceDE/>
        <w:autoSpaceDN/>
        <w:bidi w:val="0"/>
        <w:adjustRightInd/>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第六章 合同草案</w:t>
      </w:r>
    </w:p>
    <w:p w14:paraId="5855AFA7">
      <w:pPr>
        <w:keepNext w:val="0"/>
        <w:keepLines w:val="0"/>
        <w:pageBreakBefore w:val="0"/>
        <w:widowControl w:val="0"/>
        <w:kinsoku/>
        <w:overflowPunct/>
        <w:topLinePunct w:val="0"/>
        <w:autoSpaceDE/>
        <w:autoSpaceDN/>
        <w:bidi w:val="0"/>
        <w:adjustRightInd/>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第七章 投标文件的格式</w:t>
      </w:r>
    </w:p>
    <w:p w14:paraId="78CADEE1">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4"/>
          <w:highlight w:val="none"/>
          <w:lang w:val="en-US" w:eastAsia="zh-CN" w:bidi="ar-SA"/>
        </w:rPr>
      </w:pPr>
      <w:bookmarkStart w:id="173" w:name="_Toc12876"/>
      <w:bookmarkStart w:id="174" w:name="_Toc140132769"/>
      <w:bookmarkStart w:id="175" w:name="_Toc163492836"/>
      <w:r>
        <w:rPr>
          <w:rFonts w:hint="eastAsia" w:ascii="宋体" w:hAnsi="宋体" w:eastAsia="宋体" w:cs="宋体"/>
          <w:b/>
          <w:bCs/>
          <w:color w:val="auto"/>
          <w:kern w:val="2"/>
          <w:sz w:val="24"/>
          <w:szCs w:val="24"/>
          <w:highlight w:val="none"/>
          <w:lang w:val="en-US" w:eastAsia="zh-CN" w:bidi="ar-SA"/>
        </w:rPr>
        <w:t>12.招标文件的询问、澄清或者修改</w:t>
      </w:r>
      <w:bookmarkEnd w:id="173"/>
      <w:bookmarkEnd w:id="174"/>
      <w:bookmarkEnd w:id="175"/>
    </w:p>
    <w:p w14:paraId="2E6BAA48">
      <w:pPr>
        <w:keepNext w:val="0"/>
        <w:keepLines w:val="0"/>
        <w:pageBreakBefore w:val="0"/>
        <w:widowControl w:val="0"/>
        <w:kinsoku/>
        <w:overflowPunct/>
        <w:topLinePunct w:val="0"/>
        <w:autoSpaceDE/>
        <w:autoSpaceDN/>
        <w:bidi w:val="0"/>
        <w:adjustRightInd/>
        <w:ind w:firstLine="480" w:firstLineChars="200"/>
        <w:jc w:val="both"/>
        <w:textAlignment w:val="auto"/>
        <w:rPr>
          <w:rFonts w:eastAsia="宋体" w:cs="仿宋_GB2312"/>
          <w:color w:val="auto"/>
          <w:sz w:val="24"/>
          <w:szCs w:val="24"/>
          <w:highlight w:val="none"/>
        </w:rPr>
      </w:pPr>
      <w:r>
        <w:rPr>
          <w:rFonts w:hint="eastAsia" w:cs="仿宋_GB2312"/>
          <w:color w:val="auto"/>
          <w:sz w:val="24"/>
          <w:szCs w:val="24"/>
          <w:highlight w:val="none"/>
          <w:lang w:val="en-US" w:eastAsia="zh-CN"/>
        </w:rPr>
        <w:t>12</w:t>
      </w:r>
      <w:r>
        <w:rPr>
          <w:rFonts w:eastAsia="宋体" w:cs="仿宋_GB2312"/>
          <w:color w:val="auto"/>
          <w:sz w:val="24"/>
          <w:szCs w:val="24"/>
          <w:highlight w:val="none"/>
        </w:rPr>
        <w:t>.</w:t>
      </w:r>
      <w:r>
        <w:rPr>
          <w:rFonts w:hint="eastAsia" w:eastAsia="宋体" w:cs="仿宋_GB2312"/>
          <w:color w:val="auto"/>
          <w:sz w:val="24"/>
          <w:szCs w:val="24"/>
          <w:highlight w:val="none"/>
        </w:rPr>
        <w:t>1</w:t>
      </w:r>
      <w:r>
        <w:rPr>
          <w:rFonts w:eastAsia="宋体" w:cs="仿宋_GB2312"/>
          <w:color w:val="auto"/>
          <w:sz w:val="24"/>
          <w:szCs w:val="24"/>
          <w:highlight w:val="none"/>
        </w:rPr>
        <w:t>投标人如对招标文件内容有疑问，须在投标人须知前附表规定的</w:t>
      </w:r>
      <w:r>
        <w:rPr>
          <w:rFonts w:hint="eastAsia" w:eastAsia="宋体" w:cs="仿宋_GB2312"/>
          <w:color w:val="auto"/>
          <w:sz w:val="24"/>
          <w:szCs w:val="24"/>
          <w:highlight w:val="none"/>
        </w:rPr>
        <w:t>询问</w:t>
      </w:r>
      <w:r>
        <w:rPr>
          <w:rFonts w:hint="eastAsia" w:cs="仿宋_GB2312"/>
          <w:color w:val="auto"/>
          <w:sz w:val="24"/>
          <w:szCs w:val="24"/>
          <w:highlight w:val="none"/>
          <w:lang w:val="en-US" w:eastAsia="zh-CN"/>
        </w:rPr>
        <w:t>方式和</w:t>
      </w:r>
      <w:r>
        <w:rPr>
          <w:rFonts w:eastAsia="宋体" w:cs="仿宋_GB2312"/>
          <w:color w:val="auto"/>
          <w:sz w:val="24"/>
          <w:szCs w:val="24"/>
          <w:highlight w:val="none"/>
        </w:rPr>
        <w:t>时间提交给</w:t>
      </w:r>
      <w:r>
        <w:rPr>
          <w:rFonts w:hint="eastAsia" w:cs="仿宋_GB2312"/>
          <w:color w:val="auto"/>
          <w:sz w:val="24"/>
          <w:szCs w:val="24"/>
          <w:highlight w:val="none"/>
          <w:lang w:val="en-US" w:eastAsia="zh-CN"/>
        </w:rPr>
        <w:t>采购人或</w:t>
      </w:r>
      <w:r>
        <w:rPr>
          <w:rFonts w:eastAsia="宋体" w:cs="仿宋_GB2312"/>
          <w:color w:val="auto"/>
          <w:sz w:val="24"/>
          <w:szCs w:val="24"/>
          <w:highlight w:val="none"/>
        </w:rPr>
        <w:t>采购代理机构。</w:t>
      </w:r>
    </w:p>
    <w:p w14:paraId="6D964354">
      <w:pPr>
        <w:keepNext w:val="0"/>
        <w:keepLines w:val="0"/>
        <w:pageBreakBefore w:val="0"/>
        <w:widowControl w:val="0"/>
        <w:kinsoku/>
        <w:overflowPunct/>
        <w:topLinePunct w:val="0"/>
        <w:autoSpaceDE/>
        <w:autoSpaceDN/>
        <w:bidi w:val="0"/>
        <w:adjustRightInd/>
        <w:ind w:firstLine="480" w:firstLineChars="200"/>
        <w:jc w:val="both"/>
        <w:textAlignment w:val="auto"/>
        <w:rPr>
          <w:rFonts w:eastAsia="宋体" w:cs="仿宋_GB2312"/>
          <w:color w:val="auto"/>
          <w:sz w:val="24"/>
          <w:szCs w:val="24"/>
          <w:highlight w:val="none"/>
        </w:rPr>
      </w:pPr>
      <w:r>
        <w:rPr>
          <w:rFonts w:hint="eastAsia" w:cs="仿宋_GB2312"/>
          <w:color w:val="auto"/>
          <w:sz w:val="24"/>
          <w:szCs w:val="24"/>
          <w:highlight w:val="none"/>
          <w:lang w:val="en-US" w:eastAsia="zh-CN"/>
        </w:rPr>
        <w:t>12</w:t>
      </w:r>
      <w:r>
        <w:rPr>
          <w:rFonts w:eastAsia="宋体" w:cs="仿宋_GB2312"/>
          <w:color w:val="auto"/>
          <w:sz w:val="24"/>
          <w:szCs w:val="24"/>
          <w:highlight w:val="none"/>
        </w:rPr>
        <w:t>.</w:t>
      </w:r>
      <w:r>
        <w:rPr>
          <w:rFonts w:hint="eastAsia" w:eastAsia="宋体" w:cs="仿宋_GB2312"/>
          <w:color w:val="auto"/>
          <w:sz w:val="24"/>
          <w:szCs w:val="24"/>
          <w:highlight w:val="none"/>
        </w:rPr>
        <w:t>2采购人可主动地或在</w:t>
      </w:r>
      <w:r>
        <w:rPr>
          <w:rFonts w:hint="eastAsia" w:eastAsia="宋体" w:cs="仿宋_GB2312"/>
          <w:color w:val="auto"/>
          <w:sz w:val="24"/>
          <w:szCs w:val="24"/>
          <w:highlight w:val="none"/>
          <w:lang w:val="en-US" w:eastAsia="zh-CN"/>
        </w:rPr>
        <w:t>答复</w:t>
      </w:r>
      <w:r>
        <w:rPr>
          <w:rFonts w:hint="eastAsia" w:eastAsia="宋体" w:cs="仿宋_GB2312"/>
          <w:color w:val="auto"/>
          <w:sz w:val="24"/>
          <w:szCs w:val="24"/>
          <w:highlight w:val="none"/>
        </w:rPr>
        <w:t>投标人提出的</w:t>
      </w:r>
      <w:r>
        <w:rPr>
          <w:rFonts w:hint="eastAsia" w:eastAsia="宋体" w:cs="仿宋_GB2312"/>
          <w:color w:val="auto"/>
          <w:sz w:val="24"/>
          <w:szCs w:val="24"/>
          <w:highlight w:val="none"/>
          <w:lang w:val="en-US" w:eastAsia="zh-CN"/>
        </w:rPr>
        <w:t>询问</w:t>
      </w:r>
      <w:r>
        <w:rPr>
          <w:rFonts w:hint="eastAsia" w:eastAsia="宋体" w:cs="仿宋_GB2312"/>
          <w:color w:val="auto"/>
          <w:sz w:val="24"/>
          <w:szCs w:val="24"/>
          <w:highlight w:val="none"/>
        </w:rPr>
        <w:t>时对招标文件进行澄清与修改。</w:t>
      </w:r>
      <w:r>
        <w:rPr>
          <w:rFonts w:eastAsia="宋体" w:cs="仿宋_GB2312"/>
          <w:color w:val="auto"/>
          <w:sz w:val="24"/>
          <w:szCs w:val="24"/>
          <w:highlight w:val="none"/>
        </w:rPr>
        <w:t>采购代理机构将</w:t>
      </w:r>
      <w:r>
        <w:rPr>
          <w:rFonts w:hint="eastAsia" w:eastAsia="宋体" w:cs="仿宋_GB2312"/>
          <w:color w:val="auto"/>
          <w:sz w:val="24"/>
          <w:szCs w:val="24"/>
          <w:highlight w:val="none"/>
        </w:rPr>
        <w:t>在</w:t>
      </w:r>
      <w:r>
        <w:rPr>
          <w:rFonts w:hint="eastAsia" w:cs="宋体"/>
          <w:color w:val="auto"/>
          <w:sz w:val="24"/>
          <w:szCs w:val="24"/>
          <w:highlight w:val="none"/>
          <w:lang w:val="en-US" w:eastAsia="zh-CN"/>
        </w:rPr>
        <w:t>新疆</w:t>
      </w:r>
      <w:r>
        <w:rPr>
          <w:rFonts w:hint="eastAsia" w:cs="仿宋_GB2312"/>
          <w:color w:val="auto"/>
          <w:sz w:val="24"/>
          <w:szCs w:val="24"/>
          <w:highlight w:val="none"/>
          <w:lang w:val="en-US" w:eastAsia="zh-CN"/>
        </w:rPr>
        <w:t>政府采购云平台</w:t>
      </w:r>
      <w:r>
        <w:rPr>
          <w:rFonts w:hint="eastAsia" w:eastAsia="宋体" w:cs="仿宋_GB2312"/>
          <w:color w:val="auto"/>
          <w:sz w:val="24"/>
          <w:szCs w:val="24"/>
          <w:highlight w:val="none"/>
        </w:rPr>
        <w:t>以发布更正公告的方式澄清或修改招标文件，更正公告的</w:t>
      </w:r>
      <w:r>
        <w:rPr>
          <w:rFonts w:eastAsia="宋体" w:cs="仿宋_GB2312"/>
          <w:color w:val="auto"/>
          <w:sz w:val="24"/>
          <w:szCs w:val="24"/>
          <w:highlight w:val="none"/>
        </w:rPr>
        <w:t>内容</w:t>
      </w:r>
      <w:r>
        <w:rPr>
          <w:rFonts w:hint="eastAsia" w:eastAsia="宋体" w:cs="仿宋_GB2312"/>
          <w:color w:val="auto"/>
          <w:sz w:val="24"/>
          <w:szCs w:val="24"/>
          <w:highlight w:val="none"/>
        </w:rPr>
        <w:t>作</w:t>
      </w:r>
      <w:r>
        <w:rPr>
          <w:rFonts w:eastAsia="宋体" w:cs="仿宋_GB2312"/>
          <w:color w:val="auto"/>
          <w:sz w:val="24"/>
          <w:szCs w:val="24"/>
          <w:highlight w:val="none"/>
        </w:rPr>
        <w:t>为招标文件</w:t>
      </w:r>
      <w:r>
        <w:rPr>
          <w:rFonts w:hint="eastAsia" w:eastAsia="宋体" w:cs="仿宋_GB2312"/>
          <w:color w:val="auto"/>
          <w:sz w:val="24"/>
          <w:szCs w:val="24"/>
          <w:highlight w:val="none"/>
        </w:rPr>
        <w:t>的</w:t>
      </w:r>
      <w:r>
        <w:rPr>
          <w:rFonts w:eastAsia="宋体" w:cs="仿宋_GB2312"/>
          <w:color w:val="auto"/>
          <w:sz w:val="24"/>
          <w:szCs w:val="24"/>
          <w:highlight w:val="none"/>
        </w:rPr>
        <w:t>组成部分，对投标人起约束作用</w:t>
      </w:r>
      <w:r>
        <w:rPr>
          <w:rFonts w:hint="eastAsia" w:eastAsia="宋体" w:cs="仿宋_GB2312"/>
          <w:color w:val="auto"/>
          <w:sz w:val="24"/>
          <w:szCs w:val="24"/>
          <w:highlight w:val="none"/>
        </w:rPr>
        <w:t>。投标人应主动上网查询。采购代理机构不承担投标人未及时关注相关信息引发的相关责任。</w:t>
      </w:r>
    </w:p>
    <w:p w14:paraId="14950506">
      <w:pPr>
        <w:keepNext w:val="0"/>
        <w:keepLines w:val="0"/>
        <w:pageBreakBefore w:val="0"/>
        <w:widowControl w:val="0"/>
        <w:kinsoku/>
        <w:overflowPunct/>
        <w:topLinePunct w:val="0"/>
        <w:autoSpaceDE/>
        <w:autoSpaceDN/>
        <w:bidi w:val="0"/>
        <w:adjustRightInd/>
        <w:ind w:firstLine="480" w:firstLineChars="200"/>
        <w:jc w:val="both"/>
        <w:textAlignment w:val="auto"/>
        <w:rPr>
          <w:rFonts w:hint="eastAsia" w:eastAsia="宋体" w:cs="仿宋_GB2312"/>
          <w:color w:val="auto"/>
          <w:sz w:val="24"/>
          <w:szCs w:val="24"/>
          <w:highlight w:val="none"/>
        </w:rPr>
      </w:pPr>
      <w:r>
        <w:rPr>
          <w:rFonts w:eastAsia="宋体" w:cs="仿宋_GB2312"/>
          <w:color w:val="auto"/>
          <w:sz w:val="24"/>
          <w:szCs w:val="24"/>
          <w:highlight w:val="none"/>
        </w:rPr>
        <w:t>1</w:t>
      </w:r>
      <w:r>
        <w:rPr>
          <w:rFonts w:hint="eastAsia" w:eastAsia="宋体" w:cs="仿宋_GB2312"/>
          <w:color w:val="auto"/>
          <w:sz w:val="24"/>
          <w:szCs w:val="24"/>
          <w:highlight w:val="none"/>
          <w:lang w:val="en-US" w:eastAsia="zh-CN"/>
        </w:rPr>
        <w:t>2</w:t>
      </w:r>
      <w:r>
        <w:rPr>
          <w:rFonts w:hint="eastAsia" w:eastAsia="宋体" w:cs="仿宋_GB2312"/>
          <w:color w:val="auto"/>
          <w:sz w:val="24"/>
          <w:szCs w:val="24"/>
          <w:highlight w:val="none"/>
        </w:rPr>
        <w:t>.3 招标文件的澄清或者修改的内容可能影响投标文件编制的，采购人或者采购代理机构应当在投标截止时间至少15日前，以书面形式通知所有获取招标文件的潜在投标人；不足15日的，采购人或者采购代理机构应当顺延提交投标文件的截止时间。</w:t>
      </w:r>
    </w:p>
    <w:p w14:paraId="593F433F">
      <w:pPr>
        <w:keepNext w:val="0"/>
        <w:keepLines w:val="0"/>
        <w:pageBreakBefore w:val="0"/>
        <w:widowControl w:val="0"/>
        <w:kinsoku/>
        <w:overflowPunct/>
        <w:topLinePunct w:val="0"/>
        <w:autoSpaceDE/>
        <w:autoSpaceDN/>
        <w:bidi w:val="0"/>
        <w:adjustRightInd/>
        <w:ind w:firstLine="480" w:firstLineChars="200"/>
        <w:jc w:val="both"/>
        <w:textAlignment w:val="auto"/>
        <w:rPr>
          <w:rFonts w:eastAsia="宋体" w:cs="仿宋_GB2312"/>
          <w:color w:val="auto"/>
          <w:sz w:val="24"/>
          <w:szCs w:val="24"/>
          <w:highlight w:val="none"/>
        </w:rPr>
      </w:pPr>
      <w:r>
        <w:rPr>
          <w:rFonts w:hint="eastAsia" w:cs="仿宋_GB2312"/>
          <w:color w:val="auto"/>
          <w:sz w:val="24"/>
          <w:szCs w:val="24"/>
          <w:highlight w:val="none"/>
          <w:lang w:val="en-US" w:eastAsia="zh-CN"/>
        </w:rPr>
        <w:t>12</w:t>
      </w:r>
      <w:r>
        <w:rPr>
          <w:rFonts w:hint="eastAsia" w:eastAsia="宋体" w:cs="仿宋_GB2312"/>
          <w:color w:val="auto"/>
          <w:sz w:val="24"/>
          <w:szCs w:val="24"/>
          <w:highlight w:val="none"/>
        </w:rPr>
        <w:t>.</w:t>
      </w:r>
      <w:r>
        <w:rPr>
          <w:rFonts w:hint="eastAsia" w:cs="仿宋_GB2312"/>
          <w:color w:val="auto"/>
          <w:sz w:val="24"/>
          <w:szCs w:val="24"/>
          <w:highlight w:val="none"/>
          <w:lang w:val="en-US" w:eastAsia="zh-CN"/>
        </w:rPr>
        <w:t>4</w:t>
      </w:r>
      <w:r>
        <w:rPr>
          <w:rFonts w:hint="eastAsia" w:eastAsia="宋体" w:cs="仿宋_GB2312"/>
          <w:color w:val="auto"/>
          <w:sz w:val="24"/>
          <w:szCs w:val="24"/>
          <w:highlight w:val="none"/>
        </w:rPr>
        <w:t>任何人或任何组织向投标人提供的任何书面或口头资料，未经采购代理机构在网上发布或书面通知，均作无效处理，不得作为招标文件的组成部分。采购代理机构对投标人由此而做出的推论、理解和结论概不负责。</w:t>
      </w:r>
    </w:p>
    <w:p w14:paraId="715B8664">
      <w:pPr>
        <w:keepNext w:val="0"/>
        <w:keepLines w:val="0"/>
        <w:pageBreakBefore w:val="0"/>
        <w:widowControl w:val="0"/>
        <w:kinsoku/>
        <w:overflowPunct/>
        <w:topLinePunct w:val="0"/>
        <w:autoSpaceDE/>
        <w:autoSpaceDN/>
        <w:bidi w:val="0"/>
        <w:adjustRightInd/>
        <w:ind w:firstLine="480" w:firstLineChars="200"/>
        <w:jc w:val="both"/>
        <w:textAlignment w:val="auto"/>
        <w:rPr>
          <w:rFonts w:eastAsia="宋体" w:cs="仿宋_GB2312"/>
          <w:color w:val="auto"/>
          <w:sz w:val="24"/>
          <w:szCs w:val="24"/>
          <w:highlight w:val="none"/>
        </w:rPr>
      </w:pPr>
      <w:r>
        <w:rPr>
          <w:rFonts w:hint="eastAsia" w:cs="仿宋_GB2312"/>
          <w:color w:val="auto"/>
          <w:sz w:val="24"/>
          <w:szCs w:val="24"/>
          <w:highlight w:val="none"/>
          <w:lang w:val="en-US" w:eastAsia="zh-CN"/>
        </w:rPr>
        <w:t>12.5</w:t>
      </w:r>
      <w:r>
        <w:rPr>
          <w:rFonts w:eastAsia="宋体" w:cs="仿宋_GB2312"/>
          <w:color w:val="auto"/>
          <w:sz w:val="24"/>
          <w:szCs w:val="24"/>
          <w:highlight w:val="none"/>
        </w:rPr>
        <w:t>对于没有提出</w:t>
      </w:r>
      <w:r>
        <w:rPr>
          <w:rFonts w:hint="eastAsia" w:eastAsia="宋体" w:cs="仿宋_GB2312"/>
          <w:color w:val="auto"/>
          <w:sz w:val="24"/>
          <w:szCs w:val="24"/>
          <w:highlight w:val="none"/>
        </w:rPr>
        <w:t>疑问</w:t>
      </w:r>
      <w:r>
        <w:rPr>
          <w:rFonts w:eastAsia="宋体" w:cs="仿宋_GB2312"/>
          <w:color w:val="auto"/>
          <w:sz w:val="24"/>
          <w:szCs w:val="24"/>
          <w:highlight w:val="none"/>
        </w:rPr>
        <w:t>又参与了</w:t>
      </w:r>
      <w:r>
        <w:rPr>
          <w:rFonts w:hint="eastAsia" w:eastAsia="宋体" w:cs="仿宋_GB2312"/>
          <w:color w:val="auto"/>
          <w:sz w:val="24"/>
          <w:szCs w:val="24"/>
          <w:highlight w:val="none"/>
        </w:rPr>
        <w:t>本</w:t>
      </w:r>
      <w:r>
        <w:rPr>
          <w:rFonts w:eastAsia="宋体" w:cs="仿宋_GB2312"/>
          <w:color w:val="auto"/>
          <w:sz w:val="24"/>
          <w:szCs w:val="24"/>
          <w:highlight w:val="none"/>
        </w:rPr>
        <w:t>项目投标的</w:t>
      </w:r>
      <w:r>
        <w:rPr>
          <w:rFonts w:hint="eastAsia" w:eastAsia="宋体" w:cs="仿宋_GB2312"/>
          <w:color w:val="auto"/>
          <w:sz w:val="24"/>
          <w:szCs w:val="24"/>
          <w:highlight w:val="none"/>
        </w:rPr>
        <w:t>投标人</w:t>
      </w:r>
      <w:r>
        <w:rPr>
          <w:rFonts w:eastAsia="宋体" w:cs="仿宋_GB2312"/>
          <w:color w:val="auto"/>
          <w:sz w:val="24"/>
          <w:szCs w:val="24"/>
          <w:highlight w:val="none"/>
        </w:rPr>
        <w:t>将被视为完全认同</w:t>
      </w:r>
      <w:r>
        <w:rPr>
          <w:rFonts w:hint="eastAsia" w:eastAsia="宋体" w:cs="仿宋_GB2312"/>
          <w:color w:val="auto"/>
          <w:sz w:val="24"/>
          <w:szCs w:val="24"/>
          <w:highlight w:val="none"/>
        </w:rPr>
        <w:t>本</w:t>
      </w:r>
      <w:r>
        <w:rPr>
          <w:rFonts w:eastAsia="宋体" w:cs="仿宋_GB2312"/>
          <w:color w:val="auto"/>
          <w:sz w:val="24"/>
          <w:szCs w:val="24"/>
          <w:highlight w:val="none"/>
        </w:rPr>
        <w:t>招标文件（含</w:t>
      </w:r>
      <w:r>
        <w:rPr>
          <w:rFonts w:hint="eastAsia" w:eastAsia="宋体" w:cs="仿宋_GB2312"/>
          <w:color w:val="auto"/>
          <w:sz w:val="24"/>
          <w:szCs w:val="24"/>
          <w:highlight w:val="none"/>
        </w:rPr>
        <w:t>更正公告的</w:t>
      </w:r>
      <w:r>
        <w:rPr>
          <w:rFonts w:eastAsia="宋体" w:cs="仿宋_GB2312"/>
          <w:color w:val="auto"/>
          <w:sz w:val="24"/>
          <w:szCs w:val="24"/>
          <w:highlight w:val="none"/>
        </w:rPr>
        <w:t>内容）</w:t>
      </w:r>
      <w:r>
        <w:rPr>
          <w:rFonts w:hint="eastAsia" w:eastAsia="宋体" w:cs="仿宋_GB2312"/>
          <w:color w:val="auto"/>
          <w:sz w:val="24"/>
          <w:szCs w:val="24"/>
          <w:highlight w:val="none"/>
        </w:rPr>
        <w:t>。</w:t>
      </w:r>
    </w:p>
    <w:p w14:paraId="4C471A46">
      <w:pPr>
        <w:pStyle w:val="37"/>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rPr>
      </w:pPr>
      <w:r>
        <w:rPr>
          <w:rFonts w:eastAsia="宋体"/>
          <w:color w:val="auto"/>
          <w:sz w:val="24"/>
          <w:highlight w:val="none"/>
        </w:rPr>
        <w:t>1</w:t>
      </w:r>
      <w:r>
        <w:rPr>
          <w:rFonts w:hint="eastAsia" w:eastAsia="宋体"/>
          <w:color w:val="auto"/>
          <w:sz w:val="24"/>
          <w:highlight w:val="none"/>
          <w:lang w:val="en-US" w:eastAsia="zh-CN"/>
        </w:rPr>
        <w:t>2</w:t>
      </w:r>
      <w:r>
        <w:rPr>
          <w:rFonts w:eastAsia="宋体"/>
          <w:color w:val="auto"/>
          <w:sz w:val="24"/>
          <w:highlight w:val="none"/>
        </w:rPr>
        <w:t>.</w:t>
      </w:r>
      <w:r>
        <w:rPr>
          <w:rFonts w:hint="eastAsia"/>
          <w:color w:val="auto"/>
          <w:sz w:val="24"/>
          <w:highlight w:val="none"/>
          <w:lang w:val="en-US" w:eastAsia="zh-CN"/>
        </w:rPr>
        <w:t>6</w:t>
      </w:r>
      <w:r>
        <w:rPr>
          <w:rFonts w:hint="eastAsia" w:eastAsia="宋体"/>
          <w:color w:val="auto"/>
          <w:sz w:val="24"/>
          <w:highlight w:val="none"/>
        </w:rPr>
        <w:t xml:space="preserve"> </w:t>
      </w:r>
      <w:r>
        <w:rPr>
          <w:rFonts w:hint="eastAsia" w:eastAsia="宋体" w:cs="仿宋_GB2312"/>
          <w:color w:val="auto"/>
          <w:sz w:val="24"/>
          <w:szCs w:val="24"/>
          <w:highlight w:val="none"/>
          <w:lang w:val="en-US" w:eastAsia="zh-CN"/>
        </w:rPr>
        <w:t>“</w:t>
      </w:r>
      <w:r>
        <w:rPr>
          <w:rFonts w:hint="eastAsia" w:eastAsia="宋体" w:cs="仿宋_GB2312"/>
          <w:color w:val="auto"/>
          <w:sz w:val="24"/>
          <w:szCs w:val="24"/>
          <w:highlight w:val="none"/>
        </w:rPr>
        <w:t>投标人须知”所称“</w:t>
      </w:r>
      <w:r>
        <w:rPr>
          <w:rFonts w:hint="eastAsia" w:eastAsia="宋体"/>
          <w:color w:val="auto"/>
          <w:sz w:val="24"/>
          <w:highlight w:val="none"/>
        </w:rPr>
        <w:t>书面形式</w:t>
      </w:r>
      <w:r>
        <w:rPr>
          <w:rFonts w:hint="eastAsia" w:eastAsia="宋体" w:cs="仿宋_GB2312"/>
          <w:color w:val="auto"/>
          <w:sz w:val="24"/>
          <w:szCs w:val="24"/>
          <w:highlight w:val="none"/>
        </w:rPr>
        <w:t>”</w:t>
      </w:r>
      <w:r>
        <w:rPr>
          <w:rFonts w:hint="eastAsia" w:eastAsia="宋体"/>
          <w:color w:val="auto"/>
          <w:sz w:val="24"/>
          <w:highlight w:val="none"/>
        </w:rPr>
        <w:t>包括系统消息、政府采购</w:t>
      </w:r>
      <w:r>
        <w:rPr>
          <w:rFonts w:hint="eastAsia" w:eastAsia="宋体"/>
          <w:color w:val="auto"/>
          <w:sz w:val="24"/>
          <w:highlight w:val="none"/>
          <w:lang w:val="en-US" w:eastAsia="zh-CN"/>
        </w:rPr>
        <w:t>云平台</w:t>
      </w:r>
      <w:r>
        <w:rPr>
          <w:rFonts w:hint="eastAsia" w:eastAsia="宋体"/>
          <w:color w:val="auto"/>
          <w:sz w:val="24"/>
          <w:highlight w:val="none"/>
        </w:rPr>
        <w:t>发布的公告。</w:t>
      </w:r>
    </w:p>
    <w:p w14:paraId="39FCE417">
      <w:pPr>
        <w:pStyle w:val="54"/>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2"/>
          <w:highlight w:val="none"/>
          <w:lang w:val="en-US" w:eastAsia="zh-CN"/>
        </w:rPr>
        <w:t>12.7</w:t>
      </w:r>
      <w:r>
        <w:rPr>
          <w:rFonts w:hint="eastAsia" w:ascii="宋体" w:hAnsi="宋体" w:eastAsia="宋体" w:cs="宋体"/>
          <w:color w:val="auto"/>
          <w:kern w:val="2"/>
          <w:sz w:val="24"/>
          <w:szCs w:val="22"/>
          <w:highlight w:val="none"/>
        </w:rPr>
        <w:t>当招标文件的澄清、修改及其他答复等就同一内容的表述不一致时，以最后发布的内容为准。</w:t>
      </w:r>
    </w:p>
    <w:p w14:paraId="578320B0">
      <w:pPr>
        <w:pStyle w:val="4"/>
        <w:keepNext w:val="0"/>
        <w:keepLines w:val="0"/>
        <w:pageBreakBefore w:val="0"/>
        <w:widowControl w:val="0"/>
        <w:numPr>
          <w:ilvl w:val="0"/>
          <w:numId w:val="0"/>
        </w:numPr>
        <w:kinsoku/>
        <w:wordWrap/>
        <w:overflowPunct/>
        <w:topLinePunct w:val="0"/>
        <w:autoSpaceDE/>
        <w:autoSpaceDN/>
        <w:bidi w:val="0"/>
        <w:adjustRightInd/>
        <w:snapToGrid/>
        <w:spacing w:before="120" w:after="120" w:line="240" w:lineRule="auto"/>
        <w:ind w:left="420" w:leftChars="0" w:hanging="420" w:firstLineChars="0"/>
        <w:jc w:val="both"/>
        <w:textAlignment w:val="auto"/>
        <w:rPr>
          <w:rFonts w:hint="eastAsia" w:ascii="宋体" w:hAnsi="宋体" w:eastAsia="宋体" w:cs="宋体"/>
          <w:b/>
          <w:bCs/>
          <w:color w:val="auto"/>
          <w:kern w:val="2"/>
          <w:sz w:val="24"/>
          <w:szCs w:val="24"/>
          <w:highlight w:val="none"/>
          <w:lang w:val="en-US" w:eastAsia="zh-CN" w:bidi="ar-SA"/>
        </w:rPr>
      </w:pPr>
      <w:bookmarkStart w:id="176" w:name="_Toc19757"/>
      <w:bookmarkStart w:id="177" w:name="_Toc155185872"/>
      <w:bookmarkStart w:id="178" w:name="_Toc163492837"/>
      <w:r>
        <w:rPr>
          <w:rFonts w:hint="eastAsia" w:ascii="宋体" w:hAnsi="宋体" w:eastAsia="宋体" w:cs="宋体"/>
          <w:b/>
          <w:bCs/>
          <w:color w:val="auto"/>
          <w:kern w:val="2"/>
          <w:sz w:val="24"/>
          <w:szCs w:val="24"/>
          <w:highlight w:val="none"/>
          <w:lang w:val="en-US" w:eastAsia="zh-CN" w:bidi="ar-SA"/>
        </w:rPr>
        <w:t>（三）投标文件</w:t>
      </w:r>
      <w:bookmarkEnd w:id="176"/>
      <w:bookmarkEnd w:id="177"/>
      <w:bookmarkEnd w:id="178"/>
    </w:p>
    <w:p w14:paraId="67D7EC68">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4"/>
          <w:highlight w:val="none"/>
          <w:lang w:val="en-US" w:eastAsia="zh-CN" w:bidi="ar-SA"/>
        </w:rPr>
      </w:pPr>
      <w:bookmarkStart w:id="179" w:name="_Toc163492838"/>
      <w:bookmarkStart w:id="180" w:name="_Toc17841"/>
      <w:r>
        <w:rPr>
          <w:rFonts w:hint="eastAsia" w:ascii="宋体" w:hAnsi="宋体" w:eastAsia="宋体" w:cs="宋体"/>
          <w:b/>
          <w:bCs/>
          <w:color w:val="auto"/>
          <w:kern w:val="2"/>
          <w:sz w:val="24"/>
          <w:szCs w:val="24"/>
          <w:highlight w:val="none"/>
          <w:lang w:val="en-US" w:eastAsia="zh-CN" w:bidi="ar-SA"/>
        </w:rPr>
        <w:t>13.投标文件的组成</w:t>
      </w:r>
      <w:bookmarkEnd w:id="179"/>
      <w:bookmarkEnd w:id="180"/>
    </w:p>
    <w:p w14:paraId="174A0A3D">
      <w:pPr>
        <w:pStyle w:val="54"/>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color w:val="auto"/>
          <w:kern w:val="2"/>
          <w:sz w:val="24"/>
          <w:szCs w:val="24"/>
          <w:highlight w:val="none"/>
        </w:rPr>
      </w:pPr>
      <w:bookmarkStart w:id="181" w:name="_Toc140132772"/>
      <w:bookmarkStart w:id="182" w:name="_Toc163492839"/>
      <w:r>
        <w:rPr>
          <w:rFonts w:hint="eastAsia" w:ascii="宋体" w:hAnsi="宋体" w:eastAsia="宋体" w:cs="宋体"/>
          <w:color w:val="auto"/>
          <w:kern w:val="2"/>
          <w:sz w:val="24"/>
          <w:szCs w:val="24"/>
          <w:highlight w:val="none"/>
          <w:lang w:val="en-US" w:eastAsia="zh-CN"/>
        </w:rPr>
        <w:t>13</w:t>
      </w:r>
      <w:r>
        <w:rPr>
          <w:rFonts w:hint="eastAsia" w:ascii="宋体" w:hAnsi="宋体" w:eastAsia="宋体" w:cs="宋体"/>
          <w:color w:val="auto"/>
          <w:kern w:val="2"/>
          <w:sz w:val="24"/>
          <w:szCs w:val="24"/>
          <w:highlight w:val="none"/>
        </w:rPr>
        <w:t>.1投标人应完整地按招标文件提供的投标文件格式及要求编写投标文件，具体内容详见</w:t>
      </w:r>
      <w:r>
        <w:rPr>
          <w:rFonts w:hint="eastAsia" w:ascii="宋体" w:hAnsi="宋体" w:eastAsia="宋体" w:cs="宋体"/>
          <w:color w:val="auto"/>
          <w:kern w:val="2"/>
          <w:sz w:val="24"/>
          <w:szCs w:val="24"/>
          <w:highlight w:val="none"/>
          <w:lang w:eastAsia="zh-CN"/>
        </w:rPr>
        <w:t>“</w:t>
      </w:r>
      <w:r>
        <w:rPr>
          <w:rFonts w:hint="eastAsia" w:ascii="宋体" w:hAnsi="宋体" w:eastAsia="宋体" w:cs="宋体"/>
          <w:color w:val="auto"/>
          <w:kern w:val="2"/>
          <w:sz w:val="24"/>
          <w:szCs w:val="24"/>
          <w:highlight w:val="none"/>
          <w:lang w:val="en-US" w:eastAsia="zh-CN"/>
        </w:rPr>
        <w:t xml:space="preserve">第七章 </w:t>
      </w:r>
      <w:r>
        <w:rPr>
          <w:rFonts w:hint="eastAsia" w:ascii="宋体" w:hAnsi="宋体" w:eastAsia="宋体" w:cs="宋体"/>
          <w:color w:val="auto"/>
          <w:kern w:val="2"/>
          <w:sz w:val="24"/>
          <w:szCs w:val="24"/>
          <w:highlight w:val="none"/>
        </w:rPr>
        <w:t>投标文件格式</w:t>
      </w:r>
      <w:r>
        <w:rPr>
          <w:rFonts w:hint="eastAsia" w:ascii="宋体" w:hAnsi="宋体" w:eastAsia="宋体" w:cs="宋体"/>
          <w:color w:val="auto"/>
          <w:kern w:val="2"/>
          <w:sz w:val="24"/>
          <w:szCs w:val="24"/>
          <w:highlight w:val="none"/>
          <w:lang w:eastAsia="zh-CN"/>
        </w:rPr>
        <w:t>”</w:t>
      </w:r>
      <w:r>
        <w:rPr>
          <w:rFonts w:hint="eastAsia" w:ascii="宋体" w:hAnsi="宋体" w:eastAsia="宋体" w:cs="宋体"/>
          <w:color w:val="auto"/>
          <w:kern w:val="2"/>
          <w:sz w:val="24"/>
          <w:szCs w:val="24"/>
          <w:highlight w:val="none"/>
        </w:rPr>
        <w:t>的相关内容。</w:t>
      </w:r>
    </w:p>
    <w:p w14:paraId="3BB3A0B7">
      <w:pPr>
        <w:pStyle w:val="54"/>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13.2</w:t>
      </w:r>
      <w:r>
        <w:rPr>
          <w:rFonts w:hint="eastAsia" w:ascii="宋体" w:hAnsi="宋体" w:eastAsia="宋体" w:cs="宋体"/>
          <w:color w:val="auto"/>
          <w:kern w:val="2"/>
          <w:sz w:val="24"/>
          <w:szCs w:val="24"/>
          <w:highlight w:val="none"/>
        </w:rPr>
        <w:t>投标人应提交招标文件要求的证明文件，证明其投标内容符合招标文件规定</w:t>
      </w:r>
      <w:r>
        <w:rPr>
          <w:rFonts w:hint="eastAsia" w:ascii="宋体" w:hAnsi="宋体" w:eastAsia="宋体" w:cs="宋体"/>
          <w:color w:val="auto"/>
          <w:kern w:val="2"/>
          <w:sz w:val="24"/>
          <w:szCs w:val="24"/>
          <w:highlight w:val="none"/>
          <w:lang w:eastAsia="zh-CN"/>
        </w:rPr>
        <w:t>，</w:t>
      </w:r>
      <w:r>
        <w:rPr>
          <w:rFonts w:hint="eastAsia" w:ascii="宋体" w:hAnsi="宋体" w:eastAsia="宋体" w:cs="宋体"/>
          <w:color w:val="auto"/>
          <w:kern w:val="2"/>
          <w:sz w:val="24"/>
          <w:szCs w:val="24"/>
          <w:highlight w:val="none"/>
        </w:rPr>
        <w:t>该证明文件是投标文件的一部分</w:t>
      </w:r>
      <w:r>
        <w:rPr>
          <w:rFonts w:hint="eastAsia" w:ascii="宋体" w:hAnsi="宋体" w:eastAsia="宋体" w:cs="宋体"/>
          <w:color w:val="auto"/>
          <w:kern w:val="2"/>
          <w:sz w:val="24"/>
          <w:szCs w:val="24"/>
          <w:highlight w:val="none"/>
          <w:lang w:eastAsia="zh-CN"/>
        </w:rPr>
        <w:t>。</w:t>
      </w:r>
      <w:r>
        <w:rPr>
          <w:rFonts w:hint="eastAsia" w:ascii="宋体" w:hAnsi="宋体" w:eastAsia="宋体" w:cs="宋体"/>
          <w:color w:val="auto"/>
          <w:kern w:val="2"/>
          <w:sz w:val="24"/>
          <w:szCs w:val="24"/>
          <w:highlight w:val="none"/>
        </w:rPr>
        <w:t>证明文件</w:t>
      </w:r>
      <w:r>
        <w:rPr>
          <w:rFonts w:hint="eastAsia" w:ascii="宋体" w:hAnsi="宋体" w:eastAsia="宋体" w:cs="宋体"/>
          <w:color w:val="auto"/>
          <w:kern w:val="2"/>
          <w:sz w:val="24"/>
          <w:szCs w:val="24"/>
          <w:highlight w:val="none"/>
          <w:lang w:val="en-US" w:eastAsia="zh-CN"/>
        </w:rPr>
        <w:t>形式</w:t>
      </w:r>
      <w:r>
        <w:rPr>
          <w:rFonts w:hint="eastAsia" w:ascii="宋体" w:hAnsi="宋体" w:eastAsia="宋体" w:cs="宋体"/>
          <w:color w:val="auto"/>
          <w:kern w:val="2"/>
          <w:sz w:val="24"/>
          <w:szCs w:val="24"/>
          <w:highlight w:val="none"/>
        </w:rPr>
        <w:t>可以是文字资料、图纸和数据</w:t>
      </w:r>
      <w:bookmarkStart w:id="183" w:name="_Hlk11703583"/>
      <w:r>
        <w:rPr>
          <w:rFonts w:hint="eastAsia" w:ascii="宋体" w:hAnsi="宋体" w:eastAsia="宋体" w:cs="宋体"/>
          <w:color w:val="auto"/>
          <w:kern w:val="2"/>
          <w:sz w:val="24"/>
          <w:szCs w:val="24"/>
          <w:highlight w:val="none"/>
          <w:lang w:val="en-US" w:eastAsia="zh-CN"/>
        </w:rPr>
        <w:t>等。</w:t>
      </w:r>
    </w:p>
    <w:bookmarkEnd w:id="183"/>
    <w:p w14:paraId="781BBAEB">
      <w:pPr>
        <w:pStyle w:val="54"/>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13.3</w:t>
      </w:r>
      <w:r>
        <w:rPr>
          <w:rFonts w:hint="eastAsia" w:ascii="宋体" w:hAnsi="宋体" w:eastAsia="宋体" w:cs="宋体"/>
          <w:color w:val="auto"/>
          <w:kern w:val="2"/>
          <w:sz w:val="24"/>
          <w:szCs w:val="24"/>
          <w:highlight w:val="none"/>
        </w:rPr>
        <w:t>为保证公平公正，除非</w:t>
      </w:r>
      <w:r>
        <w:rPr>
          <w:rFonts w:hint="eastAsia" w:ascii="宋体" w:hAnsi="宋体" w:eastAsia="宋体" w:cs="宋体"/>
          <w:color w:val="auto"/>
          <w:kern w:val="2"/>
          <w:sz w:val="24"/>
          <w:szCs w:val="24"/>
          <w:highlight w:val="none"/>
          <w:lang w:val="en-US" w:eastAsia="zh-CN"/>
        </w:rPr>
        <w:t>本招标文件</w:t>
      </w:r>
      <w:r>
        <w:rPr>
          <w:rFonts w:hint="eastAsia" w:ascii="宋体" w:hAnsi="宋体" w:eastAsia="宋体" w:cs="宋体"/>
          <w:color w:val="auto"/>
          <w:kern w:val="2"/>
          <w:sz w:val="24"/>
          <w:szCs w:val="24"/>
          <w:highlight w:val="none"/>
        </w:rPr>
        <w:t>另有规定或说明，投标人对同一项目投标时，不得同时提供备选投标方案。</w:t>
      </w:r>
    </w:p>
    <w:p w14:paraId="2DB5A9E4">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4"/>
          <w:highlight w:val="none"/>
          <w:lang w:val="en-US" w:eastAsia="zh-CN" w:bidi="ar-SA"/>
        </w:rPr>
      </w:pPr>
      <w:bookmarkStart w:id="184" w:name="_Toc348"/>
      <w:r>
        <w:rPr>
          <w:rFonts w:hint="eastAsia" w:ascii="宋体" w:hAnsi="宋体" w:eastAsia="宋体" w:cs="宋体"/>
          <w:b/>
          <w:bCs/>
          <w:color w:val="auto"/>
          <w:kern w:val="2"/>
          <w:sz w:val="24"/>
          <w:szCs w:val="24"/>
          <w:highlight w:val="none"/>
          <w:lang w:val="en-US" w:eastAsia="zh-CN" w:bidi="ar-SA"/>
        </w:rPr>
        <w:t>14.投标报价</w:t>
      </w:r>
      <w:bookmarkEnd w:id="181"/>
      <w:bookmarkEnd w:id="182"/>
      <w:bookmarkEnd w:id="184"/>
    </w:p>
    <w:p w14:paraId="3BD2CDC3">
      <w:pPr>
        <w:keepNext w:val="0"/>
        <w:keepLines w:val="0"/>
        <w:pageBreakBefore w:val="0"/>
        <w:widowControl w:val="0"/>
        <w:kinsoku/>
        <w:overflowPunct/>
        <w:topLinePunct w:val="0"/>
        <w:autoSpaceDE/>
        <w:autoSpaceDN/>
        <w:bidi w:val="0"/>
        <w:adjustRightInd/>
        <w:ind w:firstLine="480" w:firstLineChars="200"/>
        <w:jc w:val="both"/>
        <w:textAlignment w:val="auto"/>
        <w:rPr>
          <w:rFonts w:hint="eastAsia" w:ascii="宋体" w:hAnsi="宋体" w:eastAsia="宋体" w:cs="宋体"/>
          <w:snapToGrid w:val="0"/>
          <w:color w:val="auto"/>
          <w:sz w:val="24"/>
          <w:szCs w:val="24"/>
          <w:highlight w:val="none"/>
          <w:lang w:val="zh-CN"/>
        </w:rPr>
      </w:pPr>
      <w:r>
        <w:rPr>
          <w:rFonts w:hint="eastAsia" w:ascii="宋体" w:hAnsi="宋体" w:eastAsia="宋体" w:cs="宋体"/>
          <w:snapToGrid w:val="0"/>
          <w:color w:val="auto"/>
          <w:sz w:val="24"/>
          <w:szCs w:val="24"/>
          <w:highlight w:val="none"/>
        </w:rPr>
        <w:t>1</w:t>
      </w:r>
      <w:r>
        <w:rPr>
          <w:rFonts w:hint="eastAsia" w:ascii="宋体" w:hAnsi="宋体" w:eastAsia="宋体" w:cs="宋体"/>
          <w:snapToGrid w:val="0"/>
          <w:color w:val="auto"/>
          <w:sz w:val="24"/>
          <w:szCs w:val="24"/>
          <w:highlight w:val="none"/>
          <w:lang w:val="en-US" w:eastAsia="zh-CN"/>
        </w:rPr>
        <w:t>4</w:t>
      </w:r>
      <w:r>
        <w:rPr>
          <w:rFonts w:hint="eastAsia" w:ascii="宋体" w:hAnsi="宋体" w:eastAsia="宋体" w:cs="宋体"/>
          <w:snapToGrid w:val="0"/>
          <w:color w:val="auto"/>
          <w:sz w:val="24"/>
          <w:szCs w:val="24"/>
          <w:highlight w:val="none"/>
        </w:rPr>
        <w:t xml:space="preserve">.1 </w:t>
      </w:r>
      <w:r>
        <w:rPr>
          <w:rFonts w:hint="eastAsia" w:ascii="宋体" w:hAnsi="宋体" w:eastAsia="宋体" w:cs="宋体"/>
          <w:snapToGrid w:val="0"/>
          <w:color w:val="auto"/>
          <w:sz w:val="24"/>
          <w:szCs w:val="24"/>
          <w:highlight w:val="none"/>
          <w:lang w:val="zh-CN"/>
        </w:rPr>
        <w:t>投标人的报价均应以人民币进行报价。</w:t>
      </w:r>
    </w:p>
    <w:p w14:paraId="6CC00543">
      <w:pPr>
        <w:keepNext w:val="0"/>
        <w:keepLines w:val="0"/>
        <w:pageBreakBefore w:val="0"/>
        <w:widowControl w:val="0"/>
        <w:kinsoku/>
        <w:overflowPunct/>
        <w:topLinePunct w:val="0"/>
        <w:autoSpaceDE/>
        <w:autoSpaceDN/>
        <w:bidi w:val="0"/>
        <w:adjustRightInd/>
        <w:ind w:firstLine="480" w:firstLineChars="200"/>
        <w:jc w:val="both"/>
        <w:textAlignment w:val="auto"/>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rPr>
        <w:t>1</w:t>
      </w:r>
      <w:r>
        <w:rPr>
          <w:rFonts w:hint="eastAsia" w:ascii="宋体" w:hAnsi="宋体" w:eastAsia="宋体" w:cs="宋体"/>
          <w:snapToGrid w:val="0"/>
          <w:color w:val="auto"/>
          <w:sz w:val="24"/>
          <w:szCs w:val="24"/>
          <w:highlight w:val="none"/>
          <w:lang w:val="en-US" w:eastAsia="zh-CN"/>
        </w:rPr>
        <w:t>4</w:t>
      </w:r>
      <w:r>
        <w:rPr>
          <w:rFonts w:hint="eastAsia" w:ascii="宋体" w:hAnsi="宋体" w:eastAsia="宋体" w:cs="宋体"/>
          <w:snapToGrid w:val="0"/>
          <w:color w:val="auto"/>
          <w:sz w:val="24"/>
          <w:szCs w:val="24"/>
          <w:highlight w:val="none"/>
        </w:rPr>
        <w:t>.2 投标人应按照本招标文件规定的报价方式进行报价，投标报价中不得包含招标文件要求以外的内容，否则，在评标时不予核减。投标报价中也不得遗漏招标文件所要求的内容，否则其</w:t>
      </w:r>
      <w:r>
        <w:rPr>
          <w:rFonts w:hint="eastAsia" w:ascii="宋体" w:hAnsi="宋体" w:eastAsia="宋体" w:cs="宋体"/>
          <w:b/>
          <w:bCs/>
          <w:snapToGrid w:val="0"/>
          <w:color w:val="auto"/>
          <w:sz w:val="24"/>
          <w:szCs w:val="24"/>
          <w:highlight w:val="none"/>
        </w:rPr>
        <w:t>投标无效</w:t>
      </w:r>
      <w:r>
        <w:rPr>
          <w:rFonts w:hint="eastAsia" w:ascii="宋体" w:hAnsi="宋体" w:eastAsia="宋体" w:cs="宋体"/>
          <w:snapToGrid w:val="0"/>
          <w:color w:val="auto"/>
          <w:sz w:val="24"/>
          <w:szCs w:val="24"/>
          <w:highlight w:val="none"/>
        </w:rPr>
        <w:t>。</w:t>
      </w:r>
    </w:p>
    <w:p w14:paraId="1197AD09">
      <w:pPr>
        <w:keepNext w:val="0"/>
        <w:keepLines w:val="0"/>
        <w:pageBreakBefore w:val="0"/>
        <w:widowControl w:val="0"/>
        <w:kinsoku/>
        <w:overflowPunct/>
        <w:topLinePunct w:val="0"/>
        <w:autoSpaceDE/>
        <w:autoSpaceDN/>
        <w:bidi w:val="0"/>
        <w:adjustRightInd/>
        <w:ind w:firstLine="480" w:firstLineChars="200"/>
        <w:jc w:val="both"/>
        <w:textAlignment w:val="auto"/>
        <w:rPr>
          <w:rFonts w:hint="eastAsia" w:ascii="宋体" w:hAnsi="宋体" w:eastAsia="宋体" w:cs="宋体"/>
          <w:snapToGrid w:val="0"/>
          <w:color w:val="auto"/>
          <w:sz w:val="24"/>
          <w:szCs w:val="24"/>
          <w:highlight w:val="none"/>
        </w:rPr>
      </w:pPr>
      <w:r>
        <w:rPr>
          <w:rFonts w:hint="eastAsia" w:ascii="宋体" w:hAnsi="宋体" w:eastAsia="宋体" w:cs="宋体"/>
          <w:color w:val="auto"/>
          <w:kern w:val="2"/>
          <w:sz w:val="24"/>
          <w:szCs w:val="24"/>
          <w:highlight w:val="none"/>
          <w:lang w:val="en-US" w:eastAsia="zh-CN"/>
        </w:rPr>
        <w:t>14.3</w:t>
      </w:r>
      <w:r>
        <w:rPr>
          <w:rFonts w:hint="eastAsia" w:ascii="宋体" w:hAnsi="宋体" w:eastAsia="宋体" w:cs="宋体"/>
          <w:snapToGrid w:val="0"/>
          <w:color w:val="auto"/>
          <w:sz w:val="24"/>
          <w:szCs w:val="24"/>
          <w:highlight w:val="none"/>
          <w:lang w:val="en-US" w:eastAsia="zh-CN"/>
        </w:rPr>
        <w:t>投标人的报价应包括为完成本项目所发生的一切费用和税费，采购人将不再支付报价以外的任何费用。只要投报了一个确定数额的总价，无论分项价格是否全部填报了相应的金额或免费字样，该报价应被视为已包含但不限于本次招标全部采购需求所应提供的服务，以及伴随的货物和工程等的费用和所需缴纳的所有价格、税、费。在其他情况下，由于分项报价填报不完整、不清楚或存在其他任何失误，所导致的任何不利后果均应当由投标人自行承担</w:t>
      </w:r>
      <w:r>
        <w:rPr>
          <w:rFonts w:hint="eastAsia" w:ascii="宋体" w:hAnsi="宋体" w:eastAsia="宋体" w:cs="宋体"/>
          <w:snapToGrid w:val="0"/>
          <w:color w:val="auto"/>
          <w:sz w:val="24"/>
          <w:szCs w:val="24"/>
          <w:highlight w:val="none"/>
        </w:rPr>
        <w:t>。</w:t>
      </w:r>
    </w:p>
    <w:p w14:paraId="29AAB874">
      <w:pPr>
        <w:pStyle w:val="1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14.4投标人的报价应包括但不限于按照招标文件要求完成本项目的全部相关费用。</w:t>
      </w:r>
    </w:p>
    <w:p w14:paraId="049AF5FA">
      <w:pPr>
        <w:ind w:firstLine="480" w:firstLineChars="200"/>
        <w:jc w:val="both"/>
        <w:rPr>
          <w:rFonts w:hint="eastAsia" w:ascii="宋体" w:hAnsi="宋体" w:eastAsia="宋体" w:cs="宋体"/>
          <w:snapToGrid w:val="0"/>
          <w:color w:val="auto"/>
          <w:sz w:val="24"/>
          <w:szCs w:val="24"/>
          <w:highlight w:val="none"/>
          <w:lang w:val="zh-CN"/>
        </w:rPr>
      </w:pPr>
      <w:r>
        <w:rPr>
          <w:rFonts w:hint="eastAsia" w:ascii="宋体" w:hAnsi="宋体" w:eastAsia="宋体" w:cs="宋体"/>
          <w:color w:val="auto"/>
          <w:kern w:val="2"/>
          <w:sz w:val="24"/>
          <w:szCs w:val="24"/>
          <w:highlight w:val="none"/>
          <w:lang w:val="en-US" w:eastAsia="zh-CN" w:bidi="ar-SA"/>
        </w:rPr>
        <w:t>14.5 投标人须严格按照分项报价表规定的内容填写服务单价以及其他事项。</w:t>
      </w:r>
      <w:r>
        <w:rPr>
          <w:rFonts w:hint="eastAsia" w:ascii="宋体" w:hAnsi="宋体" w:eastAsia="宋体" w:cs="宋体"/>
          <w:snapToGrid w:val="0"/>
          <w:color w:val="auto"/>
          <w:sz w:val="24"/>
          <w:szCs w:val="24"/>
          <w:highlight w:val="none"/>
          <w:lang w:val="zh-CN"/>
        </w:rPr>
        <w:t>投标人应根据本招标文件的规定和要求、市场价格水平及其走势、投标人的管理水平、投标人的方案和由这些因素决定的投标人之于本项目的成本水平等提出自己的报价。报价应合理，并包含完成本招标文件采购需求全部内容的所有费用，所有根据本招标文件或其它原因应由投标人支付的税款和其他应交纳的费用都应包括在投标人提交的投标报价中。</w:t>
      </w:r>
    </w:p>
    <w:p w14:paraId="058EFD12">
      <w:pPr>
        <w:ind w:firstLine="480" w:firstLineChars="20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14.6 投标人在投标文件中注明免费的项目将视为包含在投标报价中。</w:t>
      </w:r>
    </w:p>
    <w:p w14:paraId="6DF8B2FA">
      <w:pPr>
        <w:pStyle w:val="10"/>
        <w:jc w:val="both"/>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lang w:val="en-US" w:eastAsia="zh-CN" w:bidi="ar-SA"/>
        </w:rPr>
        <w:t>14.7 每一种采购内容只允许</w:t>
      </w:r>
      <w:r>
        <w:rPr>
          <w:rFonts w:hint="eastAsia" w:ascii="宋体" w:hAnsi="宋体" w:eastAsia="宋体" w:cs="宋体"/>
          <w:snapToGrid w:val="0"/>
          <w:color w:val="auto"/>
          <w:sz w:val="24"/>
          <w:szCs w:val="24"/>
          <w:highlight w:val="none"/>
        </w:rPr>
        <w:t>有一个报价，否则其</w:t>
      </w:r>
      <w:r>
        <w:rPr>
          <w:rFonts w:hint="eastAsia" w:ascii="宋体" w:hAnsi="宋体" w:eastAsia="宋体" w:cs="宋体"/>
          <w:b/>
          <w:bCs/>
          <w:snapToGrid w:val="0"/>
          <w:color w:val="auto"/>
          <w:sz w:val="24"/>
          <w:szCs w:val="24"/>
          <w:highlight w:val="none"/>
        </w:rPr>
        <w:t>投标无效</w:t>
      </w:r>
      <w:r>
        <w:rPr>
          <w:rFonts w:hint="eastAsia" w:ascii="宋体" w:hAnsi="宋体" w:eastAsia="宋体" w:cs="宋体"/>
          <w:snapToGrid w:val="0"/>
          <w:color w:val="auto"/>
          <w:sz w:val="24"/>
          <w:szCs w:val="24"/>
          <w:highlight w:val="none"/>
        </w:rPr>
        <w:t>。</w:t>
      </w:r>
      <w:r>
        <w:rPr>
          <w:rFonts w:hint="eastAsia" w:ascii="宋体" w:hAnsi="宋体" w:eastAsia="宋体" w:cs="宋体"/>
          <w:color w:val="auto"/>
          <w:kern w:val="2"/>
          <w:sz w:val="24"/>
          <w:szCs w:val="24"/>
          <w:highlight w:val="none"/>
        </w:rPr>
        <w:t>除非招标文件另有规定，不接受可选择或可调整的投标方案和报价，任何有选择的或可调整的投标方案和报价将被视为非</w:t>
      </w:r>
      <w:r>
        <w:rPr>
          <w:rFonts w:hint="eastAsia" w:ascii="宋体" w:hAnsi="宋体" w:eastAsia="宋体" w:cs="宋体"/>
          <w:color w:val="auto"/>
          <w:kern w:val="2"/>
          <w:sz w:val="24"/>
          <w:szCs w:val="24"/>
          <w:highlight w:val="none"/>
          <w:lang w:val="en-US" w:eastAsia="zh-CN"/>
        </w:rPr>
        <w:t>实质性</w:t>
      </w:r>
      <w:r>
        <w:rPr>
          <w:rFonts w:hint="eastAsia" w:ascii="宋体" w:hAnsi="宋体" w:eastAsia="宋体" w:cs="宋体"/>
          <w:color w:val="auto"/>
          <w:kern w:val="2"/>
          <w:sz w:val="24"/>
          <w:szCs w:val="24"/>
          <w:highlight w:val="none"/>
        </w:rPr>
        <w:t>响应</w:t>
      </w:r>
      <w:r>
        <w:rPr>
          <w:rFonts w:hint="eastAsia" w:ascii="宋体" w:hAnsi="宋体" w:eastAsia="宋体" w:cs="宋体"/>
          <w:color w:val="auto"/>
          <w:kern w:val="2"/>
          <w:sz w:val="24"/>
          <w:szCs w:val="24"/>
          <w:highlight w:val="none"/>
          <w:lang w:val="en-US" w:eastAsia="zh-CN"/>
        </w:rPr>
        <w:t>招标文件,其</w:t>
      </w:r>
      <w:r>
        <w:rPr>
          <w:rFonts w:hint="eastAsia" w:ascii="宋体" w:hAnsi="宋体" w:eastAsia="宋体" w:cs="宋体"/>
          <w:b/>
          <w:bCs/>
          <w:color w:val="auto"/>
          <w:kern w:val="2"/>
          <w:sz w:val="24"/>
          <w:szCs w:val="24"/>
          <w:highlight w:val="none"/>
          <w:lang w:eastAsia="zh-CN"/>
        </w:rPr>
        <w:t>投标无效</w:t>
      </w:r>
      <w:r>
        <w:rPr>
          <w:rFonts w:hint="eastAsia" w:ascii="宋体" w:hAnsi="宋体" w:eastAsia="宋体" w:cs="宋体"/>
          <w:color w:val="auto"/>
          <w:kern w:val="2"/>
          <w:sz w:val="24"/>
          <w:szCs w:val="24"/>
          <w:highlight w:val="none"/>
        </w:rPr>
        <w:t>。</w:t>
      </w:r>
    </w:p>
    <w:p w14:paraId="192E0BF0">
      <w:pPr>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 xml:space="preserve">8 </w:t>
      </w:r>
      <w:r>
        <w:rPr>
          <w:rFonts w:hint="eastAsia" w:ascii="宋体" w:hAnsi="宋体" w:eastAsia="宋体" w:cs="宋体"/>
          <w:color w:val="auto"/>
          <w:sz w:val="24"/>
          <w:szCs w:val="24"/>
          <w:highlight w:val="none"/>
        </w:rPr>
        <w:t>投标报价不得超过“</w:t>
      </w:r>
      <w:r>
        <w:rPr>
          <w:rFonts w:hint="eastAsia" w:ascii="宋体" w:hAnsi="宋体" w:eastAsia="宋体" w:cs="宋体"/>
          <w:color w:val="auto"/>
          <w:sz w:val="24"/>
          <w:szCs w:val="24"/>
          <w:highlight w:val="none"/>
          <w:lang w:val="en-US" w:eastAsia="zh-CN"/>
        </w:rPr>
        <w:t>第一章 招标公告</w:t>
      </w:r>
      <w:r>
        <w:rPr>
          <w:rFonts w:hint="eastAsia" w:ascii="宋体" w:hAnsi="宋体" w:eastAsia="宋体" w:cs="宋体"/>
          <w:color w:val="auto"/>
          <w:sz w:val="24"/>
          <w:szCs w:val="24"/>
          <w:highlight w:val="none"/>
        </w:rPr>
        <w:t>”中规定的最高投标限价</w:t>
      </w:r>
      <w:r>
        <w:rPr>
          <w:rFonts w:hint="eastAsia" w:ascii="宋体" w:hAnsi="宋体" w:eastAsia="宋体" w:cs="宋体"/>
          <w:color w:val="auto"/>
          <w:sz w:val="24"/>
          <w:szCs w:val="24"/>
          <w:highlight w:val="none"/>
          <w:lang w:val="en-US" w:eastAsia="zh-CN"/>
        </w:rPr>
        <w:t>或者预算金额</w:t>
      </w:r>
      <w:r>
        <w:rPr>
          <w:rFonts w:hint="eastAsia" w:ascii="宋体" w:hAnsi="宋体" w:eastAsia="宋体" w:cs="宋体"/>
          <w:color w:val="auto"/>
          <w:sz w:val="24"/>
          <w:szCs w:val="24"/>
          <w:highlight w:val="none"/>
        </w:rPr>
        <w:t>，否则评标委员会将</w:t>
      </w:r>
      <w:r>
        <w:rPr>
          <w:rFonts w:hint="eastAsia" w:ascii="宋体" w:hAnsi="宋体" w:eastAsia="宋体" w:cs="宋体"/>
          <w:b w:val="0"/>
          <w:bCs w:val="0"/>
          <w:color w:val="auto"/>
          <w:sz w:val="24"/>
          <w:szCs w:val="24"/>
          <w:highlight w:val="none"/>
          <w:lang w:val="en-US" w:eastAsia="zh-CN"/>
        </w:rPr>
        <w:t>对</w:t>
      </w:r>
      <w:r>
        <w:rPr>
          <w:rFonts w:hint="eastAsia" w:ascii="宋体" w:hAnsi="宋体" w:eastAsia="宋体" w:cs="宋体"/>
          <w:b w:val="0"/>
          <w:bCs w:val="0"/>
          <w:color w:val="auto"/>
          <w:sz w:val="24"/>
          <w:szCs w:val="24"/>
          <w:highlight w:val="none"/>
        </w:rPr>
        <w:t>其</w:t>
      </w:r>
      <w:r>
        <w:rPr>
          <w:rFonts w:hint="eastAsia" w:ascii="宋体" w:hAnsi="宋体" w:eastAsia="宋体" w:cs="宋体"/>
          <w:b w:val="0"/>
          <w:bCs w:val="0"/>
          <w:color w:val="auto"/>
          <w:sz w:val="24"/>
          <w:szCs w:val="24"/>
          <w:highlight w:val="none"/>
          <w:lang w:val="en-US" w:eastAsia="zh-CN"/>
        </w:rPr>
        <w:t>作</w:t>
      </w:r>
      <w:r>
        <w:rPr>
          <w:rFonts w:hint="eastAsia" w:ascii="宋体" w:hAnsi="宋体" w:eastAsia="宋体" w:cs="宋体"/>
          <w:b/>
          <w:bCs/>
          <w:color w:val="auto"/>
          <w:sz w:val="24"/>
          <w:szCs w:val="24"/>
          <w:highlight w:val="none"/>
          <w:lang w:val="en-US" w:eastAsia="zh-CN"/>
        </w:rPr>
        <w:t>无效</w:t>
      </w:r>
      <w:r>
        <w:rPr>
          <w:rFonts w:hint="eastAsia" w:ascii="宋体" w:hAnsi="宋体" w:eastAsia="宋体" w:cs="宋体"/>
          <w:b/>
          <w:bCs/>
          <w:color w:val="auto"/>
          <w:sz w:val="24"/>
          <w:szCs w:val="24"/>
          <w:highlight w:val="none"/>
        </w:rPr>
        <w:t>投标</w:t>
      </w:r>
      <w:r>
        <w:rPr>
          <w:rFonts w:hint="eastAsia" w:ascii="宋体" w:hAnsi="宋体" w:eastAsia="宋体" w:cs="宋体"/>
          <w:b/>
          <w:bCs/>
          <w:color w:val="auto"/>
          <w:sz w:val="24"/>
          <w:szCs w:val="24"/>
          <w:highlight w:val="none"/>
          <w:lang w:val="en-US" w:eastAsia="zh-CN"/>
        </w:rPr>
        <w:t>处理</w:t>
      </w:r>
      <w:r>
        <w:rPr>
          <w:rFonts w:hint="eastAsia" w:ascii="宋体" w:hAnsi="宋体" w:eastAsia="宋体" w:cs="宋体"/>
          <w:color w:val="auto"/>
          <w:sz w:val="24"/>
          <w:szCs w:val="24"/>
          <w:highlight w:val="none"/>
        </w:rPr>
        <w:t>。</w:t>
      </w:r>
    </w:p>
    <w:p w14:paraId="1DC40C77">
      <w:pPr>
        <w:pStyle w:val="54"/>
        <w:pageBreakBefore w:val="0"/>
        <w:shd w:val="clear" w:color="auto" w:fill="auto"/>
        <w:kinsoku/>
        <w:wordWrap/>
        <w:overflowPunct/>
        <w:topLinePunct w:val="0"/>
        <w:bidi w:val="0"/>
        <w:spacing w:line="360" w:lineRule="auto"/>
        <w:ind w:firstLine="480" w:firstLineChars="20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1</w:t>
      </w:r>
      <w:r>
        <w:rPr>
          <w:rFonts w:hint="eastAsia" w:ascii="宋体" w:hAnsi="宋体" w:eastAsia="宋体" w:cs="宋体"/>
          <w:color w:val="auto"/>
          <w:kern w:val="2"/>
          <w:sz w:val="24"/>
          <w:szCs w:val="24"/>
          <w:highlight w:val="none"/>
          <w:lang w:val="en-US" w:eastAsia="zh-CN"/>
        </w:rPr>
        <w:t>4</w:t>
      </w:r>
      <w:r>
        <w:rPr>
          <w:rFonts w:hint="eastAsia" w:ascii="宋体" w:hAnsi="宋体" w:eastAsia="宋体" w:cs="宋体"/>
          <w:color w:val="auto"/>
          <w:kern w:val="2"/>
          <w:sz w:val="24"/>
          <w:szCs w:val="24"/>
          <w:highlight w:val="none"/>
        </w:rPr>
        <w:t>.</w:t>
      </w:r>
      <w:r>
        <w:rPr>
          <w:rFonts w:hint="eastAsia" w:ascii="宋体" w:hAnsi="宋体" w:eastAsia="宋体" w:cs="宋体"/>
          <w:color w:val="auto"/>
          <w:kern w:val="2"/>
          <w:sz w:val="24"/>
          <w:szCs w:val="24"/>
          <w:highlight w:val="none"/>
          <w:lang w:val="en-US" w:eastAsia="zh-CN"/>
        </w:rPr>
        <w:t xml:space="preserve">9 </w:t>
      </w:r>
      <w:r>
        <w:rPr>
          <w:rFonts w:hint="eastAsia" w:ascii="宋体" w:hAnsi="宋体" w:eastAsia="宋体" w:cs="宋体"/>
          <w:color w:val="auto"/>
          <w:kern w:val="2"/>
          <w:sz w:val="24"/>
          <w:szCs w:val="24"/>
          <w:highlight w:val="none"/>
        </w:rPr>
        <w:t>投标人对投标报价若有说明应在投标文件中显著处注明。</w:t>
      </w:r>
    </w:p>
    <w:p w14:paraId="69F7C97A">
      <w:pPr>
        <w:pStyle w:val="54"/>
        <w:pageBreakBefore w:val="0"/>
        <w:shd w:val="clear" w:color="auto" w:fill="auto"/>
        <w:kinsoku/>
        <w:wordWrap/>
        <w:overflowPunct/>
        <w:topLinePunct w:val="0"/>
        <w:bidi w:val="0"/>
        <w:spacing w:line="360" w:lineRule="auto"/>
        <w:ind w:firstLine="480" w:firstLineChars="20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除政策性文件规定以外，投标人所报价格在合同实施期间不因市场变化因素而变动。</w:t>
      </w:r>
    </w:p>
    <w:p w14:paraId="3D2E52CC">
      <w:pPr>
        <w:pStyle w:val="54"/>
        <w:pageBreakBefore w:val="0"/>
        <w:shd w:val="clear" w:color="auto" w:fill="auto"/>
        <w:kinsoku/>
        <w:wordWrap/>
        <w:overflowPunct/>
        <w:topLinePunct w:val="0"/>
        <w:bidi w:val="0"/>
        <w:spacing w:line="360" w:lineRule="auto"/>
        <w:ind w:firstLine="480" w:firstLineChars="20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1</w:t>
      </w:r>
      <w:r>
        <w:rPr>
          <w:rFonts w:hint="eastAsia" w:ascii="宋体" w:hAnsi="宋体" w:eastAsia="宋体" w:cs="宋体"/>
          <w:color w:val="auto"/>
          <w:kern w:val="2"/>
          <w:sz w:val="24"/>
          <w:szCs w:val="24"/>
          <w:highlight w:val="none"/>
          <w:lang w:val="en-US" w:eastAsia="zh-CN"/>
        </w:rPr>
        <w:t>4</w:t>
      </w:r>
      <w:r>
        <w:rPr>
          <w:rFonts w:hint="eastAsia" w:ascii="宋体" w:hAnsi="宋体" w:eastAsia="宋体" w:cs="宋体"/>
          <w:color w:val="auto"/>
          <w:kern w:val="2"/>
          <w:sz w:val="24"/>
          <w:szCs w:val="24"/>
          <w:highlight w:val="none"/>
        </w:rPr>
        <w:t>.</w:t>
      </w:r>
      <w:r>
        <w:rPr>
          <w:rFonts w:hint="eastAsia" w:ascii="宋体" w:hAnsi="宋体" w:eastAsia="宋体" w:cs="宋体"/>
          <w:color w:val="auto"/>
          <w:kern w:val="2"/>
          <w:sz w:val="24"/>
          <w:szCs w:val="24"/>
          <w:highlight w:val="none"/>
          <w:lang w:val="en-US" w:eastAsia="zh-CN"/>
        </w:rPr>
        <w:t xml:space="preserve">10 </w:t>
      </w:r>
      <w:r>
        <w:rPr>
          <w:rFonts w:hint="eastAsia" w:ascii="宋体" w:hAnsi="宋体" w:eastAsia="宋体" w:cs="宋体"/>
          <w:color w:val="auto"/>
          <w:kern w:val="2"/>
          <w:sz w:val="24"/>
          <w:szCs w:val="24"/>
          <w:highlight w:val="none"/>
        </w:rPr>
        <w:t>最低报价不能作为中标的保证。</w:t>
      </w:r>
    </w:p>
    <w:p w14:paraId="4F55CD6E">
      <w:pPr>
        <w:pStyle w:val="10"/>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14.11</w:t>
      </w:r>
      <w:r>
        <w:rPr>
          <w:rFonts w:hint="eastAsia" w:ascii="宋体" w:hAnsi="宋体" w:eastAsia="宋体" w:cs="宋体"/>
          <w:color w:val="auto"/>
          <w:kern w:val="0"/>
          <w:sz w:val="24"/>
          <w:szCs w:val="24"/>
          <w:highlight w:val="none"/>
          <w:lang w:val="en-US" w:eastAsia="zh-CN" w:bidi="ar"/>
        </w:rPr>
        <w:t>采购人不得向投标人索要或者接受其给予的赠品、回扣或者与采购无关的其他商品、服务。</w:t>
      </w:r>
    </w:p>
    <w:p w14:paraId="691BBD09">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4"/>
          <w:highlight w:val="none"/>
          <w:lang w:val="en-US" w:eastAsia="zh-CN" w:bidi="ar-SA"/>
        </w:rPr>
      </w:pPr>
      <w:bookmarkStart w:id="185" w:name="_Toc140132773"/>
      <w:bookmarkStart w:id="186" w:name="_Toc7336"/>
      <w:bookmarkStart w:id="187" w:name="_Toc163492840"/>
      <w:r>
        <w:rPr>
          <w:rFonts w:hint="eastAsia" w:ascii="宋体" w:hAnsi="宋体" w:eastAsia="宋体" w:cs="宋体"/>
          <w:b/>
          <w:bCs/>
          <w:color w:val="auto"/>
          <w:kern w:val="2"/>
          <w:sz w:val="24"/>
          <w:szCs w:val="24"/>
          <w:highlight w:val="none"/>
          <w:lang w:val="en-US" w:eastAsia="zh-CN" w:bidi="ar-SA"/>
        </w:rPr>
        <w:t>15.投标有效期</w:t>
      </w:r>
      <w:bookmarkEnd w:id="185"/>
      <w:bookmarkEnd w:id="186"/>
      <w:bookmarkEnd w:id="187"/>
    </w:p>
    <w:p w14:paraId="13B2B164">
      <w:pPr>
        <w:keepNext w:val="0"/>
        <w:keepLines w:val="0"/>
        <w:pageBreakBefore w:val="0"/>
        <w:widowControl w:val="0"/>
        <w:kinsoku/>
        <w:overflowPunct/>
        <w:topLinePunct w:val="0"/>
        <w:autoSpaceDE/>
        <w:autoSpaceDN/>
        <w:bidi w:val="0"/>
        <w:adjustRightInd/>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 xml:space="preserve">.1 </w:t>
      </w:r>
      <w:r>
        <w:rPr>
          <w:rFonts w:hint="eastAsia" w:ascii="宋体" w:hAnsi="宋体" w:eastAsia="宋体" w:cs="宋体"/>
          <w:color w:val="auto"/>
          <w:kern w:val="0"/>
          <w:sz w:val="24"/>
          <w:szCs w:val="24"/>
          <w:highlight w:val="none"/>
          <w:lang w:val="en"/>
        </w:rPr>
        <w:t>投标有效期</w:t>
      </w:r>
      <w:r>
        <w:rPr>
          <w:rFonts w:hint="eastAsia" w:ascii="宋体" w:hAnsi="宋体" w:eastAsia="宋体" w:cs="宋体"/>
          <w:color w:val="auto"/>
          <w:sz w:val="24"/>
          <w:szCs w:val="24"/>
          <w:highlight w:val="none"/>
        </w:rPr>
        <w:t>见“</w:t>
      </w:r>
      <w:r>
        <w:rPr>
          <w:rFonts w:hint="eastAsia" w:ascii="宋体" w:hAnsi="宋体" w:eastAsia="宋体" w:cs="宋体"/>
          <w:color w:val="auto"/>
          <w:sz w:val="24"/>
          <w:szCs w:val="24"/>
          <w:highlight w:val="none"/>
          <w:lang w:val="en-US" w:eastAsia="zh-CN"/>
        </w:rPr>
        <w:t xml:space="preserve">第二章 </w:t>
      </w:r>
      <w:r>
        <w:rPr>
          <w:rFonts w:hint="eastAsia" w:ascii="宋体" w:hAnsi="宋体" w:eastAsia="宋体" w:cs="宋体"/>
          <w:color w:val="auto"/>
          <w:sz w:val="24"/>
          <w:szCs w:val="24"/>
          <w:highlight w:val="none"/>
        </w:rPr>
        <w:t>投标人须知前附表”，投标人承诺的投标有效期</w:t>
      </w:r>
      <w:r>
        <w:rPr>
          <w:rFonts w:hint="eastAsia" w:ascii="宋体" w:hAnsi="宋体" w:eastAsia="宋体" w:cs="宋体"/>
          <w:snapToGrid w:val="0"/>
          <w:color w:val="auto"/>
          <w:sz w:val="24"/>
          <w:szCs w:val="24"/>
          <w:highlight w:val="none"/>
          <w:lang w:val="zh-CN" w:eastAsia="zh-CN"/>
        </w:rPr>
        <w:t>少于</w:t>
      </w:r>
      <w:r>
        <w:rPr>
          <w:rFonts w:hint="eastAsia" w:ascii="宋体" w:hAnsi="宋体" w:eastAsia="宋体" w:cs="宋体"/>
          <w:snapToGrid w:val="0"/>
          <w:color w:val="auto"/>
          <w:sz w:val="24"/>
          <w:szCs w:val="24"/>
          <w:highlight w:val="none"/>
          <w:lang w:val="en-US" w:eastAsia="zh-CN"/>
        </w:rPr>
        <w:t>招标</w:t>
      </w:r>
      <w:r>
        <w:rPr>
          <w:rFonts w:hint="eastAsia" w:ascii="宋体" w:hAnsi="宋体" w:eastAsia="宋体" w:cs="宋体"/>
          <w:snapToGrid w:val="0"/>
          <w:color w:val="auto"/>
          <w:sz w:val="24"/>
          <w:szCs w:val="24"/>
          <w:highlight w:val="none"/>
          <w:lang w:val="zh-CN" w:eastAsia="zh-CN"/>
        </w:rPr>
        <w:t>文件规定期限的，其</w:t>
      </w:r>
      <w:r>
        <w:rPr>
          <w:rFonts w:hint="eastAsia" w:ascii="宋体" w:hAnsi="宋体" w:eastAsia="宋体" w:cs="宋体"/>
          <w:b/>
          <w:bCs/>
          <w:snapToGrid w:val="0"/>
          <w:color w:val="auto"/>
          <w:sz w:val="24"/>
          <w:szCs w:val="24"/>
          <w:highlight w:val="none"/>
          <w:lang w:val="en-US" w:eastAsia="zh-CN"/>
        </w:rPr>
        <w:t>投标</w:t>
      </w:r>
      <w:r>
        <w:rPr>
          <w:rFonts w:hint="eastAsia" w:ascii="宋体" w:hAnsi="宋体" w:eastAsia="宋体" w:cs="宋体"/>
          <w:b/>
          <w:bCs/>
          <w:snapToGrid w:val="0"/>
          <w:color w:val="auto"/>
          <w:sz w:val="24"/>
          <w:szCs w:val="24"/>
          <w:highlight w:val="none"/>
          <w:lang w:val="zh-CN" w:eastAsia="zh-CN"/>
        </w:rPr>
        <w:t>无效</w:t>
      </w:r>
      <w:r>
        <w:rPr>
          <w:rFonts w:hint="eastAsia" w:ascii="宋体" w:hAnsi="宋体" w:eastAsia="宋体" w:cs="宋体"/>
          <w:snapToGrid w:val="0"/>
          <w:color w:val="auto"/>
          <w:sz w:val="24"/>
          <w:szCs w:val="24"/>
          <w:highlight w:val="none"/>
          <w:lang w:val="zh-CN" w:eastAsia="zh-CN"/>
        </w:rPr>
        <w:t>。</w:t>
      </w:r>
    </w:p>
    <w:p w14:paraId="6D112F8D">
      <w:pPr>
        <w:keepNext w:val="0"/>
        <w:keepLines w:val="0"/>
        <w:pageBreakBefore w:val="0"/>
        <w:widowControl w:val="0"/>
        <w:kinsoku/>
        <w:overflowPunct/>
        <w:topLinePunct w:val="0"/>
        <w:autoSpaceDE/>
        <w:autoSpaceDN/>
        <w:bidi w:val="0"/>
        <w:adjustRightInd/>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15.2 投标有效期从提交投标文件的截止之日起算。投标文件中承诺的投标有效期应当不少于招标文件中载明的投标有效期。投标有效期内投标人撤销投标文件的，采购人或者采购代理机构可以不退还投标保证金。</w:t>
      </w:r>
    </w:p>
    <w:p w14:paraId="4457FE8E">
      <w:pPr>
        <w:keepNext w:val="0"/>
        <w:keepLines w:val="0"/>
        <w:pageBreakBefore w:val="0"/>
        <w:widowControl w:val="0"/>
        <w:kinsoku/>
        <w:overflowPunct/>
        <w:topLinePunct w:val="0"/>
        <w:autoSpaceDE/>
        <w:autoSpaceDN/>
        <w:bidi w:val="0"/>
        <w:adjustRightInd/>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特殊情况下，在原投标文件有效期截止之前，采购代理机构或采购人可要求投标人延长投标有效期。需要延长投标有效期时，采购代理机构或采购人将以书面形式通知所有投标人，投标人应以书面形式答复是否同意延长投标有效期。</w:t>
      </w:r>
    </w:p>
    <w:p w14:paraId="2EF7720C">
      <w:pPr>
        <w:keepNext w:val="0"/>
        <w:keepLines w:val="0"/>
        <w:pageBreakBefore w:val="0"/>
        <w:widowControl w:val="0"/>
        <w:kinsoku/>
        <w:overflowPunct/>
        <w:topLinePunct w:val="0"/>
        <w:autoSpaceDE/>
        <w:autoSpaceDN/>
        <w:bidi w:val="0"/>
        <w:adjustRightInd/>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投标人同意延长的，</w:t>
      </w:r>
      <w:r>
        <w:rPr>
          <w:rFonts w:hint="eastAsia" w:ascii="宋体" w:hAnsi="宋体" w:eastAsia="宋体" w:cs="宋体"/>
          <w:color w:val="auto"/>
          <w:kern w:val="2"/>
          <w:sz w:val="24"/>
          <w:szCs w:val="24"/>
          <w:highlight w:val="none"/>
          <w:lang w:val="en-US" w:eastAsia="zh-CN"/>
        </w:rPr>
        <w:t>其</w:t>
      </w:r>
      <w:r>
        <w:rPr>
          <w:rFonts w:hint="eastAsia" w:ascii="宋体" w:hAnsi="宋体" w:eastAsia="宋体" w:cs="宋体"/>
          <w:color w:val="auto"/>
          <w:kern w:val="2"/>
          <w:sz w:val="24"/>
          <w:szCs w:val="24"/>
          <w:highlight w:val="none"/>
        </w:rPr>
        <w:t>投标保证金的有效期也相应延长</w:t>
      </w:r>
      <w:r>
        <w:rPr>
          <w:rFonts w:hint="eastAsia" w:ascii="宋体" w:hAnsi="宋体" w:eastAsia="宋体" w:cs="宋体"/>
          <w:color w:val="auto"/>
          <w:kern w:val="2"/>
          <w:sz w:val="24"/>
          <w:szCs w:val="24"/>
          <w:highlight w:val="none"/>
          <w:lang w:eastAsia="zh-CN"/>
        </w:rPr>
        <w:t>，</w:t>
      </w:r>
      <w:r>
        <w:rPr>
          <w:rFonts w:hint="eastAsia" w:ascii="宋体" w:hAnsi="宋体" w:eastAsia="宋体" w:cs="宋体"/>
          <w:color w:val="auto"/>
          <w:kern w:val="2"/>
          <w:sz w:val="24"/>
          <w:szCs w:val="24"/>
          <w:highlight w:val="none"/>
          <w:lang w:val="en-US" w:eastAsia="zh-CN"/>
        </w:rPr>
        <w:t>但</w:t>
      </w:r>
      <w:r>
        <w:rPr>
          <w:rFonts w:hint="eastAsia" w:ascii="宋体" w:hAnsi="宋体" w:eastAsia="宋体" w:cs="宋体"/>
          <w:color w:val="auto"/>
          <w:sz w:val="24"/>
          <w:szCs w:val="24"/>
          <w:highlight w:val="none"/>
        </w:rPr>
        <w:t>不得要求或被允许修改或撤销其投标文件；</w:t>
      </w: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rPr>
        <w:t>拒绝延长的，其投标文件在原投标有效期满后将不再有效</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但其提交的投标保证金可予以退还</w:t>
      </w:r>
      <w:r>
        <w:rPr>
          <w:rFonts w:hint="eastAsia" w:ascii="宋体" w:hAnsi="宋体" w:eastAsia="宋体" w:cs="宋体"/>
          <w:color w:val="auto"/>
          <w:sz w:val="24"/>
          <w:szCs w:val="24"/>
          <w:highlight w:val="none"/>
        </w:rPr>
        <w:t>。</w:t>
      </w:r>
    </w:p>
    <w:p w14:paraId="51F7C8DB">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4"/>
          <w:highlight w:val="none"/>
          <w:lang w:val="en-US" w:eastAsia="zh-CN" w:bidi="ar-SA"/>
        </w:rPr>
      </w:pPr>
      <w:bookmarkStart w:id="188" w:name="_Toc163492841"/>
      <w:bookmarkStart w:id="189" w:name="_Toc140132774"/>
      <w:bookmarkStart w:id="190" w:name="_Toc26129"/>
      <w:r>
        <w:rPr>
          <w:rFonts w:hint="eastAsia" w:ascii="宋体" w:hAnsi="宋体" w:eastAsia="宋体" w:cs="宋体"/>
          <w:b/>
          <w:bCs/>
          <w:color w:val="auto"/>
          <w:kern w:val="2"/>
          <w:sz w:val="24"/>
          <w:szCs w:val="24"/>
          <w:highlight w:val="none"/>
          <w:lang w:val="en-US" w:eastAsia="zh-CN" w:bidi="ar-SA"/>
        </w:rPr>
        <w:t>16.投标文件的编制</w:t>
      </w:r>
      <w:bookmarkEnd w:id="188"/>
      <w:bookmarkEnd w:id="189"/>
      <w:bookmarkEnd w:id="190"/>
    </w:p>
    <w:p w14:paraId="523C51E8">
      <w:pPr>
        <w:keepNext w:val="0"/>
        <w:keepLines w:val="0"/>
        <w:pageBreakBefore w:val="0"/>
        <w:widowControl w:val="0"/>
        <w:kinsoku/>
        <w:overflowPunct/>
        <w:topLinePunct w:val="0"/>
        <w:autoSpaceDE/>
        <w:autoSpaceDN/>
        <w:bidi w:val="0"/>
        <w:adjustRightInd/>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.1投标文件应在</w:t>
      </w:r>
      <w:r>
        <w:rPr>
          <w:rFonts w:hint="eastAsia" w:cs="宋体"/>
          <w:color w:val="auto"/>
          <w:sz w:val="24"/>
          <w:szCs w:val="24"/>
          <w:highlight w:val="none"/>
          <w:lang w:eastAsia="zh-CN"/>
        </w:rPr>
        <w:t>“</w:t>
      </w:r>
      <w:r>
        <w:rPr>
          <w:rFonts w:hint="eastAsia" w:cs="仿宋_GB2312"/>
          <w:color w:val="auto"/>
          <w:sz w:val="24"/>
          <w:szCs w:val="24"/>
          <w:highlight w:val="none"/>
          <w:lang w:val="en-US" w:eastAsia="zh-CN"/>
        </w:rPr>
        <w:t>投标</w:t>
      </w:r>
      <w:r>
        <w:rPr>
          <w:rFonts w:hint="eastAsia" w:eastAsia="宋体" w:cs="仿宋_GB2312"/>
          <w:color w:val="auto"/>
          <w:sz w:val="24"/>
          <w:szCs w:val="24"/>
          <w:highlight w:val="none"/>
        </w:rPr>
        <w:t>客户端</w:t>
      </w:r>
      <w:r>
        <w:rPr>
          <w:rFonts w:hint="eastAsia" w:cs="仿宋_GB2312"/>
          <w:color w:val="auto"/>
          <w:sz w:val="24"/>
          <w:szCs w:val="24"/>
          <w:highlight w:val="none"/>
          <w:lang w:eastAsia="zh-CN"/>
        </w:rPr>
        <w:t>”</w:t>
      </w:r>
      <w:r>
        <w:rPr>
          <w:rFonts w:hint="eastAsia" w:ascii="宋体" w:hAnsi="宋体" w:eastAsia="宋体" w:cs="宋体"/>
          <w:color w:val="auto"/>
          <w:sz w:val="24"/>
          <w:szCs w:val="24"/>
          <w:highlight w:val="none"/>
        </w:rPr>
        <w:t>中进行编制，在投标文件中要求加盖印章的，除有特殊说明之外，</w:t>
      </w:r>
      <w:r>
        <w:rPr>
          <w:rFonts w:hint="eastAsia" w:ascii="宋体" w:hAnsi="宋体" w:eastAsia="宋体" w:cs="宋体"/>
          <w:color w:val="auto"/>
          <w:sz w:val="24"/>
          <w:szCs w:val="24"/>
          <w:highlight w:val="none"/>
          <w:lang w:val="en-US" w:eastAsia="zh-CN"/>
        </w:rPr>
        <w:t>可</w:t>
      </w:r>
      <w:r>
        <w:rPr>
          <w:rFonts w:hint="eastAsia" w:ascii="宋体" w:hAnsi="宋体" w:eastAsia="宋体" w:cs="宋体"/>
          <w:color w:val="auto"/>
          <w:sz w:val="24"/>
          <w:szCs w:val="24"/>
          <w:highlight w:val="none"/>
        </w:rPr>
        <w:t>使用电子签章签署。</w:t>
      </w:r>
    </w:p>
    <w:p w14:paraId="540601F4">
      <w:pPr>
        <w:pStyle w:val="37"/>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w:t>
      </w:r>
      <w:bookmarkStart w:id="191" w:name="_Hlk143528557"/>
      <w:r>
        <w:rPr>
          <w:rFonts w:hint="eastAsia" w:ascii="宋体" w:hAnsi="宋体" w:eastAsia="宋体" w:cs="宋体"/>
          <w:color w:val="auto"/>
          <w:sz w:val="24"/>
          <w:szCs w:val="24"/>
          <w:highlight w:val="none"/>
        </w:rPr>
        <w:t>2投标人在</w:t>
      </w:r>
      <w:r>
        <w:rPr>
          <w:rFonts w:hint="eastAsia" w:cs="宋体"/>
          <w:color w:val="auto"/>
          <w:sz w:val="24"/>
          <w:szCs w:val="24"/>
          <w:highlight w:val="none"/>
          <w:lang w:eastAsia="zh-CN"/>
        </w:rPr>
        <w:t>“</w:t>
      </w:r>
      <w:r>
        <w:rPr>
          <w:rFonts w:hint="eastAsia" w:cs="仿宋_GB2312"/>
          <w:color w:val="auto"/>
          <w:sz w:val="24"/>
          <w:szCs w:val="24"/>
          <w:highlight w:val="none"/>
          <w:lang w:val="en-US" w:eastAsia="zh-CN"/>
        </w:rPr>
        <w:t>投标</w:t>
      </w:r>
      <w:r>
        <w:rPr>
          <w:rFonts w:hint="eastAsia" w:eastAsia="宋体" w:cs="仿宋_GB2312"/>
          <w:color w:val="auto"/>
          <w:sz w:val="24"/>
          <w:szCs w:val="24"/>
          <w:highlight w:val="none"/>
        </w:rPr>
        <w:t>客户端</w:t>
      </w:r>
      <w:r>
        <w:rPr>
          <w:rFonts w:hint="eastAsia" w:cs="仿宋_GB2312"/>
          <w:color w:val="auto"/>
          <w:sz w:val="24"/>
          <w:szCs w:val="24"/>
          <w:highlight w:val="none"/>
          <w:lang w:eastAsia="zh-CN"/>
        </w:rPr>
        <w:t>”</w:t>
      </w:r>
      <w:r>
        <w:rPr>
          <w:rFonts w:hint="eastAsia" w:ascii="宋体" w:hAnsi="宋体" w:eastAsia="宋体" w:cs="宋体"/>
          <w:color w:val="auto"/>
          <w:sz w:val="24"/>
          <w:szCs w:val="24"/>
          <w:highlight w:val="none"/>
        </w:rPr>
        <w:t>中按照</w:t>
      </w:r>
      <w:r>
        <w:rPr>
          <w:rFonts w:hint="eastAsia" w:cs="宋体"/>
          <w:color w:val="auto"/>
          <w:sz w:val="24"/>
          <w:szCs w:val="24"/>
          <w:highlight w:val="none"/>
          <w:lang w:eastAsia="zh-CN"/>
        </w:rPr>
        <w:t>“</w:t>
      </w:r>
      <w:r>
        <w:rPr>
          <w:rFonts w:hint="eastAsia" w:cs="仿宋_GB2312"/>
          <w:color w:val="auto"/>
          <w:sz w:val="24"/>
          <w:szCs w:val="24"/>
          <w:highlight w:val="none"/>
          <w:lang w:val="en-US" w:eastAsia="zh-CN"/>
        </w:rPr>
        <w:t>投标</w:t>
      </w:r>
      <w:r>
        <w:rPr>
          <w:rFonts w:hint="eastAsia" w:eastAsia="宋体" w:cs="仿宋_GB2312"/>
          <w:color w:val="auto"/>
          <w:sz w:val="24"/>
          <w:szCs w:val="24"/>
          <w:highlight w:val="none"/>
        </w:rPr>
        <w:t>客户端</w:t>
      </w:r>
      <w:r>
        <w:rPr>
          <w:rFonts w:hint="eastAsia" w:cs="仿宋_GB2312"/>
          <w:color w:val="auto"/>
          <w:sz w:val="24"/>
          <w:szCs w:val="24"/>
          <w:highlight w:val="none"/>
          <w:lang w:eastAsia="zh-CN"/>
        </w:rPr>
        <w:t>”</w:t>
      </w:r>
      <w:r>
        <w:rPr>
          <w:rFonts w:hint="eastAsia" w:ascii="宋体" w:hAnsi="宋体" w:eastAsia="宋体" w:cs="宋体"/>
          <w:color w:val="auto"/>
          <w:sz w:val="24"/>
          <w:szCs w:val="24"/>
          <w:highlight w:val="none"/>
        </w:rPr>
        <w:t>中的格式要求填写响应内容后，生成投标文件。投标人须按照招标文件的要求使用电子签章对要求加盖印章的部分逐一进行签章。</w:t>
      </w:r>
      <w:bookmarkEnd w:id="191"/>
    </w:p>
    <w:p w14:paraId="1A7BD123">
      <w:pPr>
        <w:pStyle w:val="37"/>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投标人应详细阅读招标文件的全部内容。投标文件须对招标文件中的内容作出实质性和完整的响应，如果投标文件填报的内容不详，或没有提供招标文件中所要求的全部资料及数据，将可能</w:t>
      </w:r>
      <w:r>
        <w:rPr>
          <w:rFonts w:hint="eastAsia" w:ascii="宋体" w:hAnsi="宋体" w:eastAsia="宋体" w:cs="宋体"/>
          <w:b/>
          <w:bCs/>
          <w:color w:val="auto"/>
          <w:sz w:val="24"/>
          <w:szCs w:val="24"/>
          <w:highlight w:val="none"/>
        </w:rPr>
        <w:t>导致</w:t>
      </w:r>
      <w:r>
        <w:rPr>
          <w:rFonts w:hint="eastAsia" w:ascii="宋体" w:hAnsi="宋体" w:eastAsia="宋体" w:cs="宋体"/>
          <w:b/>
          <w:bCs/>
          <w:color w:val="auto"/>
          <w:sz w:val="24"/>
          <w:szCs w:val="24"/>
          <w:highlight w:val="none"/>
          <w:lang w:val="en-US" w:eastAsia="zh-CN"/>
        </w:rPr>
        <w:t>其</w:t>
      </w:r>
      <w:r>
        <w:rPr>
          <w:rFonts w:hint="eastAsia" w:ascii="宋体" w:hAnsi="宋体" w:eastAsia="宋体" w:cs="宋体"/>
          <w:b/>
          <w:bCs/>
          <w:color w:val="auto"/>
          <w:sz w:val="24"/>
          <w:szCs w:val="24"/>
          <w:highlight w:val="none"/>
        </w:rPr>
        <w:t>投标</w:t>
      </w:r>
      <w:r>
        <w:rPr>
          <w:rFonts w:hint="eastAsia" w:ascii="宋体" w:hAnsi="宋体" w:eastAsia="宋体" w:cs="宋体"/>
          <w:b/>
          <w:bCs/>
          <w:color w:val="auto"/>
          <w:sz w:val="24"/>
          <w:szCs w:val="24"/>
          <w:highlight w:val="none"/>
          <w:lang w:val="en-US" w:eastAsia="zh-CN"/>
        </w:rPr>
        <w:t>无效</w:t>
      </w:r>
      <w:r>
        <w:rPr>
          <w:rFonts w:hint="eastAsia" w:ascii="宋体" w:hAnsi="宋体" w:eastAsia="宋体" w:cs="宋体"/>
          <w:color w:val="auto"/>
          <w:sz w:val="24"/>
          <w:szCs w:val="24"/>
          <w:highlight w:val="none"/>
        </w:rPr>
        <w:t>。</w:t>
      </w:r>
    </w:p>
    <w:p w14:paraId="7A6BB4B7">
      <w:pPr>
        <w:pStyle w:val="37"/>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投标文件须严格按照</w:t>
      </w:r>
      <w:r>
        <w:rPr>
          <w:rFonts w:hint="eastAsia" w:ascii="宋体" w:hAnsi="宋体" w:eastAsia="宋体" w:cs="宋体"/>
          <w:color w:val="auto"/>
          <w:sz w:val="24"/>
          <w:szCs w:val="24"/>
          <w:highlight w:val="none"/>
          <w:lang w:val="en-US" w:eastAsia="zh-CN"/>
        </w:rPr>
        <w:t>本</w:t>
      </w:r>
      <w:r>
        <w:rPr>
          <w:rFonts w:hint="eastAsia" w:ascii="宋体" w:hAnsi="宋体" w:eastAsia="宋体" w:cs="宋体"/>
          <w:color w:val="auto"/>
          <w:sz w:val="24"/>
          <w:szCs w:val="24"/>
          <w:highlight w:val="none"/>
        </w:rPr>
        <w:t>招标文件第</w:t>
      </w:r>
      <w:r>
        <w:rPr>
          <w:rFonts w:hint="eastAsia" w:ascii="宋体" w:hAnsi="宋体" w:eastAsia="宋体" w:cs="宋体"/>
          <w:color w:val="auto"/>
          <w:sz w:val="24"/>
          <w:szCs w:val="24"/>
          <w:highlight w:val="none"/>
          <w:lang w:val="en-US" w:eastAsia="zh-CN"/>
        </w:rPr>
        <w:t>七章</w:t>
      </w:r>
      <w:r>
        <w:rPr>
          <w:rFonts w:hint="eastAsia" w:ascii="宋体" w:hAnsi="宋体" w:eastAsia="宋体" w:cs="宋体"/>
          <w:color w:val="auto"/>
          <w:sz w:val="24"/>
          <w:szCs w:val="24"/>
          <w:highlight w:val="none"/>
        </w:rPr>
        <w:t>规定的格式提交，并按规定的统一格式逐项填写，不准有空项；无相应内容可填的项，应填写“无”、“未测试”、“没有相应指标”等明确的回答文字。由于编排混乱导致投标文件被误读或查找不到，其责任由投标人承担。</w:t>
      </w:r>
    </w:p>
    <w:p w14:paraId="4B72F25A">
      <w:pPr>
        <w:pStyle w:val="37"/>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开标一览表为在开标</w:t>
      </w:r>
      <w:r>
        <w:rPr>
          <w:rFonts w:hint="eastAsia" w:ascii="宋体" w:hAnsi="宋体" w:eastAsia="宋体" w:cs="宋体"/>
          <w:color w:val="auto"/>
          <w:sz w:val="24"/>
          <w:szCs w:val="24"/>
          <w:highlight w:val="none"/>
          <w:lang w:val="en-US" w:eastAsia="zh-CN"/>
        </w:rPr>
        <w:t>时</w:t>
      </w:r>
      <w:r>
        <w:rPr>
          <w:rFonts w:hint="eastAsia" w:ascii="宋体" w:hAnsi="宋体" w:eastAsia="宋体" w:cs="宋体"/>
          <w:color w:val="auto"/>
          <w:sz w:val="24"/>
          <w:szCs w:val="24"/>
          <w:highlight w:val="none"/>
        </w:rPr>
        <w:t>唱标的内容，要求按格式统一填写，不得自行增减内容。</w:t>
      </w:r>
    </w:p>
    <w:p w14:paraId="499D7059">
      <w:pPr>
        <w:pStyle w:val="37"/>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投标人须注意：为合理节约政府采购评审成本，提倡诚实信用的投标行为，特别要求投标人应本着诚信精神，在本次投标文件的偏离表中，均以审慎的态度明确、清楚地披露各项偏离。若投标人对某一事项是否存在或是否属于偏离不能确定，亦必须在偏离表中清楚地表明该偏离事项，并可以注明不能确定的字样。任何情况下，对于投标人没有在偏离表中明确、清楚地披露的事项，包括可能属于被投标人在偏离表中遗漏披露的事项，一旦在评审中被发现存在偏离或被认定为属于偏离，则评标委员会有权视具体情形评审时</w:t>
      </w:r>
      <w:r>
        <w:rPr>
          <w:rFonts w:hint="eastAsia" w:ascii="宋体" w:hAnsi="宋体" w:eastAsia="宋体" w:cs="宋体"/>
          <w:color w:val="auto"/>
          <w:sz w:val="24"/>
          <w:szCs w:val="24"/>
          <w:highlight w:val="none"/>
          <w:lang w:val="en-US" w:eastAsia="zh-CN"/>
        </w:rPr>
        <w:t>按</w:t>
      </w:r>
      <w:r>
        <w:rPr>
          <w:rFonts w:hint="eastAsia" w:ascii="宋体" w:hAnsi="宋体" w:eastAsia="宋体" w:cs="宋体"/>
          <w:b/>
          <w:bCs/>
          <w:color w:val="auto"/>
          <w:sz w:val="24"/>
          <w:szCs w:val="24"/>
          <w:highlight w:val="none"/>
          <w:lang w:val="en-US" w:eastAsia="zh-CN"/>
        </w:rPr>
        <w:t>无效投标</w:t>
      </w:r>
      <w:r>
        <w:rPr>
          <w:rFonts w:hint="eastAsia" w:ascii="宋体" w:hAnsi="宋体" w:eastAsia="宋体" w:cs="宋体"/>
          <w:color w:val="auto"/>
          <w:sz w:val="24"/>
          <w:szCs w:val="24"/>
          <w:highlight w:val="none"/>
        </w:rPr>
        <w:t>处理。</w:t>
      </w:r>
    </w:p>
    <w:p w14:paraId="7DBECB06">
      <w:pPr>
        <w:pStyle w:val="37"/>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投标人必须保证投标文件所提供的全部资料真实可靠，并接受采购</w:t>
      </w:r>
      <w:r>
        <w:rPr>
          <w:rFonts w:hint="eastAsia" w:ascii="宋体" w:hAnsi="宋体" w:eastAsia="宋体" w:cs="宋体"/>
          <w:color w:val="auto"/>
          <w:sz w:val="24"/>
          <w:szCs w:val="24"/>
          <w:highlight w:val="none"/>
          <w:lang w:val="en-US" w:eastAsia="zh-CN"/>
        </w:rPr>
        <w:t>人、采购</w:t>
      </w:r>
      <w:r>
        <w:rPr>
          <w:rFonts w:hint="eastAsia" w:ascii="宋体" w:hAnsi="宋体" w:eastAsia="宋体" w:cs="宋体"/>
          <w:color w:val="auto"/>
          <w:sz w:val="24"/>
          <w:szCs w:val="24"/>
          <w:highlight w:val="none"/>
        </w:rPr>
        <w:t>代理机构或评标委员会对其中任何资料进一步审查的要求。</w:t>
      </w:r>
    </w:p>
    <w:p w14:paraId="7AE3718F">
      <w:pPr>
        <w:pStyle w:val="37"/>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投标人在投标文件及相关文件的签订、履行、通知等事项的文件中的单位盖章、印章、公章等处均指与当事人全称相一致的标准公章，不得使用其他形式（如带有“专用章”等字样的印章）。不符合本条规定的按</w:t>
      </w:r>
      <w:r>
        <w:rPr>
          <w:rFonts w:hint="eastAsia" w:ascii="宋体" w:hAnsi="宋体" w:eastAsia="宋体" w:cs="宋体"/>
          <w:b/>
          <w:bCs/>
          <w:color w:val="auto"/>
          <w:sz w:val="24"/>
          <w:szCs w:val="24"/>
          <w:highlight w:val="none"/>
        </w:rPr>
        <w:t>无效投标</w:t>
      </w:r>
      <w:r>
        <w:rPr>
          <w:rFonts w:hint="eastAsia" w:ascii="宋体" w:hAnsi="宋体" w:eastAsia="宋体" w:cs="宋体"/>
          <w:color w:val="auto"/>
          <w:sz w:val="24"/>
          <w:szCs w:val="24"/>
          <w:highlight w:val="none"/>
        </w:rPr>
        <w:t>处理。</w:t>
      </w:r>
    </w:p>
    <w:p w14:paraId="323B93DE">
      <w:pPr>
        <w:pStyle w:val="54"/>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iCs/>
          <w:color w:val="auto"/>
          <w:kern w:val="2"/>
          <w:sz w:val="24"/>
          <w:szCs w:val="24"/>
          <w:highlight w:val="none"/>
          <w:shd w:val="clear" w:color="auto" w:fill="FFFFFF" w:themeFill="background1"/>
          <w:lang w:val="en-US" w:eastAsia="zh-CN" w:bidi="ar-SA"/>
        </w:rPr>
      </w:pPr>
      <w:r>
        <w:rPr>
          <w:rFonts w:hint="eastAsia" w:ascii="宋体" w:hAnsi="宋体" w:eastAsia="宋体" w:cs="宋体"/>
          <w:iCs/>
          <w:color w:val="auto"/>
          <w:kern w:val="2"/>
          <w:sz w:val="24"/>
          <w:szCs w:val="24"/>
          <w:highlight w:val="none"/>
          <w:shd w:val="clear" w:color="auto" w:fill="FFFFFF" w:themeFill="background1"/>
          <w:lang w:val="en-US" w:eastAsia="zh-CN" w:bidi="ar-SA"/>
        </w:rPr>
        <w:t>16.9电子投标文件的编制</w:t>
      </w:r>
    </w:p>
    <w:p w14:paraId="072DFFA4">
      <w:pPr>
        <w:pStyle w:val="54"/>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iCs/>
          <w:color w:val="auto"/>
          <w:kern w:val="2"/>
          <w:sz w:val="24"/>
          <w:szCs w:val="24"/>
          <w:highlight w:val="none"/>
          <w:shd w:val="clear" w:color="auto" w:fill="FFFFFF" w:themeFill="background1"/>
          <w:lang w:val="en-US" w:eastAsia="zh-CN" w:bidi="ar-SA"/>
        </w:rPr>
      </w:pPr>
      <w:r>
        <w:rPr>
          <w:rFonts w:hint="eastAsia" w:ascii="宋体" w:hAnsi="宋体" w:eastAsia="宋体" w:cs="宋体"/>
          <w:iCs/>
          <w:color w:val="auto"/>
          <w:kern w:val="2"/>
          <w:sz w:val="24"/>
          <w:szCs w:val="24"/>
          <w:highlight w:val="none"/>
          <w:shd w:val="clear" w:color="auto" w:fill="FFFFFF" w:themeFill="background1"/>
          <w:lang w:val="en-US" w:eastAsia="zh-CN" w:bidi="ar-SA"/>
        </w:rPr>
        <w:t xml:space="preserve">16.9.1电子投标文件需按招标文件要求进行制作编制。投标文件制作时，不同内容按标签提示制作导入，按照招标文件中明确的投标文件目录和格式进行编制，保证目录清晰、内容完整；           </w:t>
      </w:r>
    </w:p>
    <w:p w14:paraId="51F1928B">
      <w:pPr>
        <w:pStyle w:val="54"/>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iCs/>
          <w:color w:val="auto"/>
          <w:kern w:val="2"/>
          <w:sz w:val="24"/>
          <w:szCs w:val="24"/>
          <w:highlight w:val="none"/>
          <w:shd w:val="clear" w:color="auto" w:fill="FFFFFF" w:themeFill="background1"/>
          <w:lang w:val="en-US" w:eastAsia="zh-CN" w:bidi="ar-SA"/>
        </w:rPr>
      </w:pPr>
      <w:r>
        <w:rPr>
          <w:rFonts w:hint="eastAsia" w:ascii="宋体" w:hAnsi="宋体" w:eastAsia="宋体" w:cs="宋体"/>
          <w:iCs/>
          <w:color w:val="auto"/>
          <w:kern w:val="2"/>
          <w:sz w:val="24"/>
          <w:szCs w:val="24"/>
          <w:highlight w:val="none"/>
          <w:shd w:val="clear" w:color="auto" w:fill="FFFFFF" w:themeFill="background1"/>
          <w:lang w:val="en-US" w:eastAsia="zh-CN" w:bidi="ar-SA"/>
        </w:rPr>
        <w:t>16.9.2电子招投标文件具有法律效力，与其他形式的招投标文件在内容和格式上等同，若投标文件与招标文件要求不一致，其内容影响中标结果时，责任由投标人自行承担。投标人递交的电子投标文件因投标人自身原因而导致无法导入电子辅助评标系统，该投标文件视为无效投标文件，</w:t>
      </w:r>
      <w:r>
        <w:rPr>
          <w:rFonts w:hint="eastAsia" w:ascii="宋体" w:hAnsi="宋体" w:eastAsia="宋体" w:cs="宋体"/>
          <w:b/>
          <w:bCs/>
          <w:iCs/>
          <w:color w:val="auto"/>
          <w:kern w:val="2"/>
          <w:sz w:val="24"/>
          <w:szCs w:val="24"/>
          <w:highlight w:val="none"/>
          <w:shd w:val="clear" w:color="auto" w:fill="FFFFFF" w:themeFill="background1"/>
          <w:lang w:val="en-US" w:eastAsia="zh-CN" w:bidi="ar-SA"/>
        </w:rPr>
        <w:t>其投标无效</w:t>
      </w:r>
      <w:r>
        <w:rPr>
          <w:rFonts w:hint="eastAsia" w:ascii="宋体" w:hAnsi="宋体" w:eastAsia="宋体" w:cs="宋体"/>
          <w:iCs/>
          <w:color w:val="auto"/>
          <w:kern w:val="2"/>
          <w:sz w:val="24"/>
          <w:szCs w:val="24"/>
          <w:highlight w:val="none"/>
          <w:shd w:val="clear" w:color="auto" w:fill="FFFFFF" w:themeFill="background1"/>
          <w:lang w:val="en-US" w:eastAsia="zh-CN" w:bidi="ar-SA"/>
        </w:rPr>
        <w:t xml:space="preserve">。 </w:t>
      </w:r>
    </w:p>
    <w:p w14:paraId="6B2E6D6A">
      <w:pPr>
        <w:pStyle w:val="4"/>
        <w:keepNext w:val="0"/>
        <w:keepLines w:val="0"/>
        <w:pageBreakBefore w:val="0"/>
        <w:widowControl w:val="0"/>
        <w:numPr>
          <w:ilvl w:val="0"/>
          <w:numId w:val="0"/>
        </w:numPr>
        <w:kinsoku/>
        <w:wordWrap/>
        <w:overflowPunct/>
        <w:topLinePunct w:val="0"/>
        <w:autoSpaceDE/>
        <w:autoSpaceDN/>
        <w:bidi w:val="0"/>
        <w:adjustRightInd/>
        <w:snapToGrid/>
        <w:spacing w:before="120" w:after="120" w:line="240" w:lineRule="auto"/>
        <w:ind w:left="420" w:leftChars="0" w:hanging="420" w:firstLineChars="0"/>
        <w:jc w:val="both"/>
        <w:textAlignment w:val="auto"/>
        <w:rPr>
          <w:rFonts w:hint="eastAsia" w:ascii="宋体" w:hAnsi="宋体" w:eastAsia="宋体" w:cs="宋体"/>
          <w:b/>
          <w:bCs/>
          <w:color w:val="auto"/>
          <w:kern w:val="2"/>
          <w:sz w:val="24"/>
          <w:szCs w:val="24"/>
          <w:highlight w:val="none"/>
          <w:lang w:val="en-US" w:eastAsia="zh-CN" w:bidi="ar-SA"/>
        </w:rPr>
      </w:pPr>
      <w:bookmarkStart w:id="192" w:name="_Toc25951"/>
      <w:bookmarkStart w:id="193" w:name="_Toc163492842"/>
      <w:bookmarkStart w:id="194" w:name="_Toc155185873"/>
      <w:r>
        <w:rPr>
          <w:rFonts w:hint="eastAsia" w:ascii="宋体" w:hAnsi="宋体" w:eastAsia="宋体" w:cs="宋体"/>
          <w:b/>
          <w:bCs/>
          <w:color w:val="auto"/>
          <w:kern w:val="2"/>
          <w:sz w:val="24"/>
          <w:szCs w:val="24"/>
          <w:highlight w:val="none"/>
          <w:lang w:val="en-US" w:eastAsia="zh-CN" w:bidi="ar-SA"/>
        </w:rPr>
        <w:t>（四）投标</w:t>
      </w:r>
      <w:bookmarkEnd w:id="192"/>
      <w:bookmarkEnd w:id="193"/>
      <w:bookmarkEnd w:id="194"/>
    </w:p>
    <w:p w14:paraId="386CC8EA">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4"/>
          <w:highlight w:val="none"/>
          <w:lang w:val="en-US" w:eastAsia="zh-CN" w:bidi="ar-SA"/>
        </w:rPr>
      </w:pPr>
      <w:bookmarkStart w:id="195" w:name="_Toc3205"/>
      <w:bookmarkStart w:id="196" w:name="_Toc163492843"/>
      <w:r>
        <w:rPr>
          <w:rFonts w:hint="eastAsia" w:ascii="宋体" w:hAnsi="宋体" w:eastAsia="宋体" w:cs="宋体"/>
          <w:b/>
          <w:bCs/>
          <w:color w:val="auto"/>
          <w:kern w:val="2"/>
          <w:sz w:val="24"/>
          <w:szCs w:val="24"/>
          <w:highlight w:val="none"/>
          <w:lang w:val="en-US" w:eastAsia="zh-CN" w:bidi="ar-SA"/>
        </w:rPr>
        <w:t>17.投标保证金</w:t>
      </w:r>
      <w:bookmarkEnd w:id="195"/>
    </w:p>
    <w:p w14:paraId="1182B9BB">
      <w:pPr>
        <w:pStyle w:val="54"/>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iCs/>
          <w:color w:val="auto"/>
          <w:kern w:val="2"/>
          <w:sz w:val="24"/>
          <w:szCs w:val="24"/>
          <w:highlight w:val="none"/>
          <w:shd w:val="clear" w:color="auto" w:fill="FFFFFF" w:themeFill="background1"/>
          <w:lang w:val="en-US" w:eastAsia="zh-CN" w:bidi="ar-SA"/>
        </w:rPr>
      </w:pPr>
      <w:r>
        <w:rPr>
          <w:rFonts w:hint="eastAsia" w:ascii="宋体" w:hAnsi="宋体" w:eastAsia="宋体" w:cs="宋体"/>
          <w:iCs/>
          <w:color w:val="auto"/>
          <w:kern w:val="2"/>
          <w:sz w:val="24"/>
          <w:szCs w:val="24"/>
          <w:highlight w:val="none"/>
          <w:shd w:val="clear" w:color="auto" w:fill="FFFFFF" w:themeFill="background1"/>
          <w:lang w:val="en-US" w:eastAsia="zh-CN" w:bidi="ar-SA"/>
        </w:rPr>
        <w:t>17.1投标人应按照招标文件“第二章 投标人须知前附表”规定的金额及要求提交投标保证金。投标人自愿超额缴纳投标保证金的，投标文件不做无效处理。</w:t>
      </w:r>
    </w:p>
    <w:p w14:paraId="370C7C1E">
      <w:pPr>
        <w:keepNext w:val="0"/>
        <w:keepLines w:val="0"/>
        <w:pageBreakBefore w:val="0"/>
        <w:widowControl w:val="0"/>
        <w:suppressLineNumbers w:val="0"/>
        <w:kinsoku/>
        <w:overflowPunct/>
        <w:topLinePunct w:val="0"/>
        <w:autoSpaceDE/>
        <w:autoSpaceDN/>
        <w:bidi w:val="0"/>
        <w:adjustRightInd/>
        <w:ind w:firstLine="480" w:firstLineChars="20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iCs/>
          <w:color w:val="auto"/>
          <w:kern w:val="2"/>
          <w:sz w:val="24"/>
          <w:szCs w:val="24"/>
          <w:highlight w:val="none"/>
          <w:shd w:val="clear" w:color="auto" w:fill="FFFFFF" w:themeFill="background1"/>
          <w:lang w:val="en-US" w:eastAsia="zh-CN" w:bidi="ar-SA"/>
        </w:rPr>
        <w:t>17.2提交投标保证金可采用的形式：政府采购法律法规接受的支票、汇票、本票、网上银行支付或者金融机构、担保机构出具的保函等非现金形式。</w:t>
      </w:r>
      <w:r>
        <w:rPr>
          <w:rFonts w:hint="eastAsia" w:ascii="宋体" w:hAnsi="宋体" w:eastAsia="宋体" w:cs="宋体"/>
          <w:color w:val="auto"/>
          <w:kern w:val="2"/>
          <w:sz w:val="24"/>
          <w:szCs w:val="24"/>
          <w:highlight w:val="none"/>
          <w:lang w:val="en-US" w:eastAsia="zh-CN" w:bidi="ar-SA"/>
        </w:rPr>
        <w:t>投标人未按照招标文件要求提交投标保证金的，其</w:t>
      </w:r>
      <w:r>
        <w:rPr>
          <w:rFonts w:hint="eastAsia" w:ascii="宋体" w:hAnsi="宋体" w:eastAsia="宋体" w:cs="宋体"/>
          <w:b/>
          <w:bCs/>
          <w:color w:val="auto"/>
          <w:kern w:val="2"/>
          <w:sz w:val="24"/>
          <w:szCs w:val="24"/>
          <w:highlight w:val="none"/>
          <w:lang w:val="en-US" w:eastAsia="zh-CN" w:bidi="ar-SA"/>
        </w:rPr>
        <w:t>投标无效</w:t>
      </w:r>
      <w:r>
        <w:rPr>
          <w:rFonts w:hint="eastAsia" w:ascii="宋体" w:hAnsi="宋体" w:eastAsia="宋体" w:cs="宋体"/>
          <w:color w:val="auto"/>
          <w:kern w:val="2"/>
          <w:sz w:val="24"/>
          <w:szCs w:val="24"/>
          <w:highlight w:val="none"/>
          <w:lang w:val="en-US" w:eastAsia="zh-CN" w:bidi="ar-SA"/>
        </w:rPr>
        <w:t>。</w:t>
      </w:r>
      <w:r>
        <w:rPr>
          <w:rFonts w:hint="eastAsia" w:ascii="宋体" w:hAnsi="宋体" w:eastAsia="宋体" w:cs="宋体"/>
          <w:color w:val="auto"/>
          <w:sz w:val="24"/>
          <w:szCs w:val="24"/>
          <w:highlight w:val="none"/>
          <w:lang w:val="en-US" w:eastAsia="zh-CN"/>
        </w:rPr>
        <w:t>投标保证金有效期同投标有效期。</w:t>
      </w:r>
    </w:p>
    <w:p w14:paraId="54BD0912">
      <w:pPr>
        <w:pStyle w:val="10"/>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17.3投标保证金到账（保函提交）截止时间同投标截止时间。以支票、汇票、本票、网上银行支付等形式提交投标保证金的，应在投标截止时间前到账；以金融机构、担保机构出具的保函等形式提交投标保证金的，应在投标截止时间前将投标保证金支付原件扫描后作为投标文件的组成部分与投标文件一起上传。由于到账时间晚于投标截止时间，或者票据错误、印鉴不清等原因导致不能到账的，其</w:t>
      </w:r>
      <w:r>
        <w:rPr>
          <w:rFonts w:hint="eastAsia" w:ascii="宋体" w:hAnsi="宋体" w:eastAsia="宋体" w:cs="宋体"/>
          <w:b/>
          <w:bCs/>
          <w:color w:val="auto"/>
          <w:kern w:val="2"/>
          <w:sz w:val="24"/>
          <w:szCs w:val="24"/>
          <w:highlight w:val="none"/>
          <w:lang w:val="en-US" w:eastAsia="zh-CN"/>
        </w:rPr>
        <w:t>投标无效</w:t>
      </w:r>
      <w:r>
        <w:rPr>
          <w:rFonts w:hint="eastAsia" w:ascii="宋体" w:hAnsi="宋体" w:eastAsia="宋体" w:cs="宋体"/>
          <w:color w:val="auto"/>
          <w:kern w:val="2"/>
          <w:sz w:val="24"/>
          <w:szCs w:val="24"/>
          <w:highlight w:val="none"/>
          <w:lang w:val="en-US" w:eastAsia="zh-CN"/>
        </w:rPr>
        <w:t>。</w:t>
      </w:r>
    </w:p>
    <w:p w14:paraId="27BA1101">
      <w:pPr>
        <w:pStyle w:val="54"/>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iCs/>
          <w:color w:val="auto"/>
          <w:kern w:val="2"/>
          <w:sz w:val="24"/>
          <w:szCs w:val="24"/>
          <w:highlight w:val="none"/>
          <w:shd w:val="clear" w:color="auto" w:fill="FFFFFF" w:themeFill="background1"/>
          <w:lang w:val="en-US" w:eastAsia="zh-CN" w:bidi="ar-SA"/>
        </w:rPr>
      </w:pPr>
      <w:r>
        <w:rPr>
          <w:rFonts w:hint="eastAsia" w:ascii="宋体" w:hAnsi="宋体" w:eastAsia="宋体" w:cs="宋体"/>
          <w:iCs/>
          <w:color w:val="auto"/>
          <w:kern w:val="2"/>
          <w:sz w:val="24"/>
          <w:szCs w:val="24"/>
          <w:highlight w:val="none"/>
          <w:shd w:val="clear" w:color="auto" w:fill="FFFFFF" w:themeFill="background1"/>
          <w:lang w:val="en-US" w:eastAsia="zh-CN" w:bidi="ar-SA"/>
        </w:rPr>
        <w:t xml:space="preserve">17.4 投标人为联合体的，可以由联合体中的一方或者多方共同提交投标保证金，其提交的投标保证金对联合体各方均具有约束力。 </w:t>
      </w:r>
    </w:p>
    <w:p w14:paraId="45878AFC">
      <w:pPr>
        <w:pStyle w:val="54"/>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iCs/>
          <w:color w:val="auto"/>
          <w:kern w:val="2"/>
          <w:sz w:val="24"/>
          <w:szCs w:val="24"/>
          <w:highlight w:val="none"/>
          <w:shd w:val="clear" w:color="auto" w:fill="FFFFFF" w:themeFill="background1"/>
          <w:lang w:val="en-US" w:eastAsia="zh-CN" w:bidi="ar-SA"/>
        </w:rPr>
      </w:pPr>
      <w:r>
        <w:rPr>
          <w:rFonts w:hint="eastAsia" w:ascii="宋体" w:hAnsi="宋体" w:eastAsia="宋体" w:cs="宋体"/>
          <w:iCs/>
          <w:color w:val="auto"/>
          <w:kern w:val="2"/>
          <w:sz w:val="24"/>
          <w:szCs w:val="24"/>
          <w:highlight w:val="none"/>
          <w:shd w:val="clear" w:color="auto" w:fill="FFFFFF" w:themeFill="background1"/>
          <w:lang w:val="en-US" w:eastAsia="zh-CN" w:bidi="ar-SA"/>
        </w:rPr>
        <w:t xml:space="preserve"> 17.5采购人或者采购代理机构应当在采购活动结束后及时退还投标人的投标保证金，采用银行保函、担保机构担保函等形式递交的投标保证金，经投标人同意后采购人、采购代理机构可以不再退还，但因投标人自身原因导致无法及时退还的除外。未中标投标人的投标保证金应当自中标通知书发出之日起 5 个工作日内退还，中标投标人的投标保证金应当自采购合同签订之日起 5 个工作日内退还。 </w:t>
      </w:r>
    </w:p>
    <w:p w14:paraId="6CFB121F">
      <w:pPr>
        <w:pStyle w:val="54"/>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iCs/>
          <w:color w:val="auto"/>
          <w:kern w:val="2"/>
          <w:sz w:val="24"/>
          <w:szCs w:val="24"/>
          <w:highlight w:val="none"/>
          <w:shd w:val="clear" w:color="auto" w:fill="FFFFFF" w:themeFill="background1"/>
          <w:lang w:val="en-US" w:eastAsia="zh-CN" w:bidi="ar-SA"/>
        </w:rPr>
      </w:pPr>
      <w:r>
        <w:rPr>
          <w:rFonts w:hint="eastAsia" w:ascii="宋体" w:hAnsi="宋体" w:eastAsia="宋体" w:cs="宋体"/>
          <w:iCs/>
          <w:color w:val="auto"/>
          <w:kern w:val="2"/>
          <w:sz w:val="24"/>
          <w:szCs w:val="24"/>
          <w:highlight w:val="none"/>
          <w:shd w:val="clear" w:color="auto" w:fill="FFFFFF" w:themeFill="background1"/>
          <w:lang w:val="en-US" w:eastAsia="zh-CN" w:bidi="ar-SA"/>
        </w:rPr>
        <w:t xml:space="preserve">17.6 投标人在投标截止时间前撤回已提交的投标文件的，自收到投标人书面撤回通知之日起 5 个工作日内，退还已收取的投标保证金，但因投标人自身原因导致无法及时退还的除外。 </w:t>
      </w:r>
    </w:p>
    <w:p w14:paraId="5EB3FE3B">
      <w:pPr>
        <w:pStyle w:val="54"/>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iCs/>
          <w:color w:val="auto"/>
          <w:kern w:val="2"/>
          <w:sz w:val="24"/>
          <w:szCs w:val="24"/>
          <w:highlight w:val="none"/>
          <w:shd w:val="clear" w:color="auto" w:fill="FFFFFF" w:themeFill="background1"/>
          <w:lang w:val="en-US" w:eastAsia="zh-CN" w:bidi="ar-SA"/>
        </w:rPr>
      </w:pPr>
      <w:r>
        <w:rPr>
          <w:rFonts w:hint="eastAsia" w:ascii="宋体" w:hAnsi="宋体" w:eastAsia="宋体" w:cs="宋体"/>
          <w:iCs/>
          <w:color w:val="auto"/>
          <w:kern w:val="2"/>
          <w:sz w:val="24"/>
          <w:szCs w:val="24"/>
          <w:highlight w:val="none"/>
          <w:shd w:val="clear" w:color="auto" w:fill="FFFFFF" w:themeFill="background1"/>
          <w:lang w:val="en-US" w:eastAsia="zh-CN" w:bidi="ar-SA"/>
        </w:rPr>
        <w:t>17.7 终止招标项目已经收取投标保证金的，自终止采购活动后 5 个工作日内退还已收取的投标保证金及其在银行产生的孳息。</w:t>
      </w:r>
    </w:p>
    <w:p w14:paraId="0B6A028F">
      <w:pPr>
        <w:pStyle w:val="54"/>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iCs/>
          <w:color w:val="auto"/>
          <w:kern w:val="2"/>
          <w:sz w:val="24"/>
          <w:szCs w:val="24"/>
          <w:highlight w:val="none"/>
          <w:shd w:val="clear" w:color="auto" w:fill="FFFFFF" w:themeFill="background1"/>
          <w:lang w:val="en-US" w:eastAsia="zh-CN" w:bidi="ar-SA"/>
        </w:rPr>
      </w:pPr>
      <w:r>
        <w:rPr>
          <w:rFonts w:hint="eastAsia" w:ascii="宋体" w:hAnsi="宋体" w:eastAsia="宋体" w:cs="宋体"/>
          <w:iCs/>
          <w:color w:val="auto"/>
          <w:kern w:val="2"/>
          <w:sz w:val="24"/>
          <w:szCs w:val="24"/>
          <w:highlight w:val="none"/>
          <w:shd w:val="clear" w:color="auto" w:fill="FFFFFF" w:themeFill="background1"/>
          <w:lang w:val="en-US" w:eastAsia="zh-CN" w:bidi="ar-SA"/>
        </w:rPr>
        <w:t>17.8 有下列情形之一的，采购人或采购代理机构可以不予退还投标保证金,</w:t>
      </w:r>
      <w:r>
        <w:rPr>
          <w:rFonts w:hint="eastAsia" w:ascii="宋体" w:hAnsi="宋体" w:eastAsia="宋体" w:cs="宋体"/>
          <w:color w:val="auto"/>
          <w:kern w:val="2"/>
          <w:sz w:val="24"/>
          <w:szCs w:val="24"/>
          <w:highlight w:val="none"/>
        </w:rPr>
        <w:t>情节严重的将其列入不良记录名单</w:t>
      </w:r>
      <w:r>
        <w:rPr>
          <w:rFonts w:hint="eastAsia" w:ascii="宋体" w:hAnsi="宋体" w:eastAsia="宋体" w:cs="宋体"/>
          <w:iCs/>
          <w:color w:val="auto"/>
          <w:kern w:val="2"/>
          <w:sz w:val="24"/>
          <w:szCs w:val="24"/>
          <w:highlight w:val="none"/>
          <w:shd w:val="clear" w:color="auto" w:fill="FFFFFF" w:themeFill="background1"/>
          <w:lang w:val="en-US" w:eastAsia="zh-CN" w:bidi="ar-SA"/>
        </w:rPr>
        <w:t xml:space="preserve">： </w:t>
      </w:r>
    </w:p>
    <w:p w14:paraId="02F7ADEB">
      <w:pPr>
        <w:pStyle w:val="54"/>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iCs/>
          <w:color w:val="auto"/>
          <w:kern w:val="2"/>
          <w:sz w:val="24"/>
          <w:szCs w:val="24"/>
          <w:highlight w:val="none"/>
          <w:shd w:val="clear" w:color="auto" w:fill="FFFFFF" w:themeFill="background1"/>
          <w:lang w:val="en-US" w:eastAsia="zh-CN" w:bidi="ar-SA"/>
        </w:rPr>
      </w:pPr>
      <w:r>
        <w:rPr>
          <w:rFonts w:hint="eastAsia" w:ascii="宋体" w:hAnsi="宋体" w:eastAsia="宋体" w:cs="宋体"/>
          <w:iCs/>
          <w:color w:val="auto"/>
          <w:kern w:val="2"/>
          <w:sz w:val="24"/>
          <w:szCs w:val="24"/>
          <w:highlight w:val="none"/>
          <w:shd w:val="clear" w:color="auto" w:fill="FFFFFF" w:themeFill="background1"/>
          <w:lang w:val="en-US" w:eastAsia="zh-CN" w:bidi="ar-SA"/>
        </w:rPr>
        <w:t xml:space="preserve">17.8.1 </w:t>
      </w:r>
      <w:r>
        <w:rPr>
          <w:rFonts w:hint="eastAsia" w:ascii="宋体" w:hAnsi="宋体" w:eastAsia="宋体" w:cs="宋体"/>
          <w:color w:val="auto"/>
          <w:kern w:val="2"/>
          <w:sz w:val="24"/>
          <w:szCs w:val="24"/>
          <w:highlight w:val="none"/>
        </w:rPr>
        <w:t>开标后在投标有效期内，投标人撤</w:t>
      </w:r>
      <w:r>
        <w:rPr>
          <w:rFonts w:hint="eastAsia" w:ascii="宋体" w:hAnsi="宋体" w:eastAsia="宋体" w:cs="宋体"/>
          <w:color w:val="auto"/>
          <w:kern w:val="2"/>
          <w:sz w:val="24"/>
          <w:szCs w:val="24"/>
          <w:highlight w:val="none"/>
          <w:lang w:val="en-US" w:eastAsia="zh-CN"/>
        </w:rPr>
        <w:t>销</w:t>
      </w:r>
      <w:r>
        <w:rPr>
          <w:rFonts w:hint="eastAsia" w:ascii="宋体" w:hAnsi="宋体" w:eastAsia="宋体" w:cs="宋体"/>
          <w:color w:val="auto"/>
          <w:kern w:val="2"/>
          <w:sz w:val="24"/>
          <w:szCs w:val="24"/>
          <w:highlight w:val="none"/>
        </w:rPr>
        <w:t>其投标</w:t>
      </w:r>
      <w:r>
        <w:rPr>
          <w:rFonts w:hint="eastAsia" w:ascii="宋体" w:hAnsi="宋体" w:eastAsia="宋体" w:cs="宋体"/>
          <w:color w:val="auto"/>
          <w:kern w:val="2"/>
          <w:sz w:val="24"/>
          <w:szCs w:val="24"/>
          <w:highlight w:val="none"/>
          <w:lang w:val="en-US" w:eastAsia="zh-CN"/>
        </w:rPr>
        <w:t>的</w:t>
      </w:r>
      <w:r>
        <w:rPr>
          <w:rFonts w:hint="eastAsia" w:ascii="宋体" w:hAnsi="宋体" w:eastAsia="宋体" w:cs="宋体"/>
          <w:color w:val="auto"/>
          <w:kern w:val="2"/>
          <w:sz w:val="24"/>
          <w:szCs w:val="24"/>
          <w:highlight w:val="none"/>
        </w:rPr>
        <w:t>；</w:t>
      </w:r>
      <w:r>
        <w:rPr>
          <w:rFonts w:hint="eastAsia" w:ascii="宋体" w:hAnsi="宋体" w:eastAsia="宋体" w:cs="宋体"/>
          <w:iCs/>
          <w:color w:val="auto"/>
          <w:kern w:val="2"/>
          <w:sz w:val="24"/>
          <w:szCs w:val="24"/>
          <w:highlight w:val="none"/>
          <w:shd w:val="clear" w:color="auto" w:fill="FFFFFF" w:themeFill="background1"/>
          <w:lang w:val="en-US" w:eastAsia="zh-CN" w:bidi="ar-SA"/>
        </w:rPr>
        <w:t xml:space="preserve"> </w:t>
      </w:r>
    </w:p>
    <w:p w14:paraId="36FC9D74">
      <w:pPr>
        <w:pStyle w:val="54"/>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iCs/>
          <w:color w:val="auto"/>
          <w:kern w:val="2"/>
          <w:sz w:val="24"/>
          <w:szCs w:val="24"/>
          <w:highlight w:val="none"/>
          <w:shd w:val="clear" w:color="auto" w:fill="FFFFFF" w:themeFill="background1"/>
          <w:lang w:val="en-US" w:eastAsia="zh-CN" w:bidi="ar-SA"/>
        </w:rPr>
      </w:pPr>
      <w:r>
        <w:rPr>
          <w:rFonts w:hint="eastAsia" w:ascii="宋体" w:hAnsi="宋体" w:eastAsia="宋体" w:cs="宋体"/>
          <w:iCs/>
          <w:color w:val="auto"/>
          <w:kern w:val="2"/>
          <w:sz w:val="24"/>
          <w:szCs w:val="24"/>
          <w:highlight w:val="none"/>
          <w:shd w:val="clear" w:color="auto" w:fill="FFFFFF" w:themeFill="background1"/>
          <w:lang w:val="en-US" w:eastAsia="zh-CN" w:bidi="ar-SA"/>
        </w:rPr>
        <w:t xml:space="preserve">17.8.2 </w:t>
      </w:r>
      <w:r>
        <w:rPr>
          <w:rFonts w:hint="eastAsia" w:ascii="宋体" w:hAnsi="宋体" w:eastAsia="宋体" w:cs="宋体"/>
          <w:color w:val="auto"/>
          <w:kern w:val="2"/>
          <w:sz w:val="24"/>
          <w:szCs w:val="24"/>
          <w:highlight w:val="none"/>
        </w:rPr>
        <w:t>中标后无正当理由不与采购人签订合同的；</w:t>
      </w:r>
    </w:p>
    <w:p w14:paraId="3694295C">
      <w:pPr>
        <w:pStyle w:val="54"/>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iCs/>
          <w:color w:val="auto"/>
          <w:kern w:val="2"/>
          <w:sz w:val="24"/>
          <w:szCs w:val="24"/>
          <w:highlight w:val="none"/>
          <w:shd w:val="clear" w:color="auto" w:fill="FFFFFF" w:themeFill="background1"/>
          <w:lang w:val="en-US" w:eastAsia="zh-CN" w:bidi="ar-SA"/>
        </w:rPr>
        <w:t xml:space="preserve">17.8.3 </w:t>
      </w:r>
      <w:r>
        <w:rPr>
          <w:rFonts w:hint="eastAsia" w:ascii="宋体" w:hAnsi="宋体" w:eastAsia="宋体" w:cs="宋体"/>
          <w:color w:val="auto"/>
          <w:kern w:val="2"/>
          <w:sz w:val="24"/>
          <w:szCs w:val="24"/>
          <w:highlight w:val="none"/>
        </w:rPr>
        <w:t>中标人与采购人订立背离合同实质性内容的其他协议；</w:t>
      </w:r>
    </w:p>
    <w:p w14:paraId="54583F23">
      <w:pPr>
        <w:pStyle w:val="54"/>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iCs/>
          <w:color w:val="auto"/>
          <w:kern w:val="2"/>
          <w:sz w:val="24"/>
          <w:szCs w:val="24"/>
          <w:highlight w:val="none"/>
          <w:shd w:val="clear" w:color="auto" w:fill="FFFFFF" w:themeFill="background1"/>
          <w:lang w:val="en-US" w:eastAsia="zh-CN" w:bidi="ar-SA"/>
        </w:rPr>
        <w:t>17.8.</w:t>
      </w:r>
      <w:r>
        <w:rPr>
          <w:rFonts w:hint="eastAsia" w:ascii="宋体" w:hAnsi="宋体" w:eastAsia="宋体" w:cs="宋体"/>
          <w:color w:val="auto"/>
          <w:kern w:val="2"/>
          <w:sz w:val="24"/>
          <w:szCs w:val="24"/>
          <w:highlight w:val="none"/>
        </w:rPr>
        <w:t>4</w:t>
      </w:r>
      <w:r>
        <w:rPr>
          <w:rFonts w:hint="eastAsia" w:ascii="宋体" w:hAnsi="宋体" w:eastAsia="宋体" w:cs="宋体"/>
          <w:color w:val="auto"/>
          <w:kern w:val="2"/>
          <w:sz w:val="24"/>
          <w:szCs w:val="24"/>
          <w:highlight w:val="none"/>
          <w:lang w:val="en-US" w:eastAsia="zh-CN"/>
        </w:rPr>
        <w:t xml:space="preserve"> </w:t>
      </w:r>
      <w:r>
        <w:rPr>
          <w:rFonts w:hint="eastAsia" w:ascii="宋体" w:hAnsi="宋体" w:eastAsia="宋体" w:cs="宋体"/>
          <w:color w:val="auto"/>
          <w:kern w:val="2"/>
          <w:sz w:val="24"/>
          <w:szCs w:val="24"/>
          <w:highlight w:val="none"/>
        </w:rPr>
        <w:t>将中标项目转让给他人，或者在投标文件中未说明，且未经采购</w:t>
      </w:r>
      <w:r>
        <w:rPr>
          <w:rFonts w:hint="eastAsia" w:ascii="宋体" w:hAnsi="宋体" w:eastAsia="宋体" w:cs="宋体"/>
          <w:color w:val="auto"/>
          <w:kern w:val="2"/>
          <w:sz w:val="24"/>
          <w:szCs w:val="24"/>
          <w:highlight w:val="none"/>
          <w:lang w:val="en-US" w:eastAsia="zh-CN"/>
        </w:rPr>
        <w:t>人</w:t>
      </w:r>
      <w:r>
        <w:rPr>
          <w:rFonts w:hint="eastAsia" w:ascii="宋体" w:hAnsi="宋体" w:eastAsia="宋体" w:cs="宋体"/>
          <w:color w:val="auto"/>
          <w:kern w:val="2"/>
          <w:sz w:val="24"/>
          <w:szCs w:val="24"/>
          <w:highlight w:val="none"/>
        </w:rPr>
        <w:t>同意，将中标项目分包给他人的；</w:t>
      </w:r>
    </w:p>
    <w:p w14:paraId="433DB211">
      <w:pPr>
        <w:pStyle w:val="54"/>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iCs/>
          <w:color w:val="auto"/>
          <w:kern w:val="2"/>
          <w:sz w:val="24"/>
          <w:szCs w:val="24"/>
          <w:highlight w:val="none"/>
          <w:shd w:val="clear" w:color="auto" w:fill="FFFFFF" w:themeFill="background1"/>
          <w:lang w:val="en-US" w:eastAsia="zh-CN" w:bidi="ar-SA"/>
        </w:rPr>
        <w:t>17.8.</w:t>
      </w:r>
      <w:r>
        <w:rPr>
          <w:rFonts w:hint="eastAsia" w:ascii="宋体" w:hAnsi="宋体" w:eastAsia="宋体" w:cs="宋体"/>
          <w:color w:val="auto"/>
          <w:kern w:val="2"/>
          <w:sz w:val="24"/>
          <w:szCs w:val="24"/>
          <w:highlight w:val="none"/>
        </w:rPr>
        <w:t>5</w:t>
      </w:r>
      <w:r>
        <w:rPr>
          <w:rFonts w:hint="eastAsia" w:ascii="宋体" w:hAnsi="宋体" w:eastAsia="宋体" w:cs="宋体"/>
          <w:color w:val="auto"/>
          <w:kern w:val="2"/>
          <w:sz w:val="24"/>
          <w:szCs w:val="24"/>
          <w:highlight w:val="none"/>
          <w:lang w:val="en-US" w:eastAsia="zh-CN"/>
        </w:rPr>
        <w:t xml:space="preserve"> </w:t>
      </w:r>
      <w:r>
        <w:rPr>
          <w:rFonts w:hint="eastAsia" w:ascii="宋体" w:hAnsi="宋体" w:eastAsia="宋体" w:cs="宋体"/>
          <w:color w:val="auto"/>
          <w:kern w:val="2"/>
          <w:sz w:val="24"/>
          <w:szCs w:val="24"/>
          <w:highlight w:val="none"/>
        </w:rPr>
        <w:t>存在串通投标行为的；</w:t>
      </w:r>
    </w:p>
    <w:p w14:paraId="0A3E2CC4">
      <w:pPr>
        <w:pStyle w:val="54"/>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iCs/>
          <w:color w:val="auto"/>
          <w:kern w:val="2"/>
          <w:sz w:val="24"/>
          <w:szCs w:val="24"/>
          <w:highlight w:val="none"/>
          <w:shd w:val="clear" w:color="auto" w:fill="FFFFFF" w:themeFill="background1"/>
          <w:lang w:val="en-US" w:eastAsia="zh-CN" w:bidi="ar-SA"/>
        </w:rPr>
        <w:t>17.8.</w:t>
      </w:r>
      <w:r>
        <w:rPr>
          <w:rFonts w:hint="eastAsia" w:ascii="宋体" w:hAnsi="宋体" w:eastAsia="宋体" w:cs="宋体"/>
          <w:color w:val="auto"/>
          <w:kern w:val="2"/>
          <w:sz w:val="24"/>
          <w:szCs w:val="24"/>
          <w:highlight w:val="none"/>
        </w:rPr>
        <w:t>6</w:t>
      </w:r>
      <w:r>
        <w:rPr>
          <w:rFonts w:hint="eastAsia" w:ascii="宋体" w:hAnsi="宋体" w:eastAsia="宋体" w:cs="宋体"/>
          <w:color w:val="auto"/>
          <w:kern w:val="2"/>
          <w:sz w:val="24"/>
          <w:szCs w:val="24"/>
          <w:highlight w:val="none"/>
          <w:lang w:val="en-US" w:eastAsia="zh-CN"/>
        </w:rPr>
        <w:t xml:space="preserve"> </w:t>
      </w:r>
      <w:r>
        <w:rPr>
          <w:rFonts w:hint="eastAsia" w:ascii="宋体" w:hAnsi="宋体" w:eastAsia="宋体" w:cs="宋体"/>
          <w:color w:val="auto"/>
          <w:kern w:val="2"/>
          <w:sz w:val="24"/>
          <w:szCs w:val="24"/>
          <w:highlight w:val="none"/>
        </w:rPr>
        <w:t>存在弄虚作假或提供虚假材料谋取中标的；</w:t>
      </w:r>
    </w:p>
    <w:p w14:paraId="3CBF915F">
      <w:pPr>
        <w:pStyle w:val="54"/>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iCs/>
          <w:color w:val="auto"/>
          <w:kern w:val="2"/>
          <w:sz w:val="24"/>
          <w:szCs w:val="24"/>
          <w:highlight w:val="none"/>
          <w:shd w:val="clear" w:color="auto" w:fill="FFFFFF" w:themeFill="background1"/>
          <w:lang w:val="en-US" w:eastAsia="zh-CN" w:bidi="ar-SA"/>
        </w:rPr>
        <w:t>17.8.</w:t>
      </w:r>
      <w:r>
        <w:rPr>
          <w:rFonts w:hint="eastAsia" w:ascii="宋体" w:hAnsi="宋体" w:eastAsia="宋体" w:cs="宋体"/>
          <w:color w:val="auto"/>
          <w:kern w:val="2"/>
          <w:sz w:val="24"/>
          <w:szCs w:val="24"/>
          <w:highlight w:val="none"/>
        </w:rPr>
        <w:t>7</w:t>
      </w:r>
      <w:r>
        <w:rPr>
          <w:rFonts w:hint="eastAsia" w:ascii="宋体" w:hAnsi="宋体" w:eastAsia="宋体" w:cs="宋体"/>
          <w:color w:val="auto"/>
          <w:kern w:val="2"/>
          <w:sz w:val="24"/>
          <w:szCs w:val="24"/>
          <w:highlight w:val="none"/>
          <w:lang w:val="en-US" w:eastAsia="zh-CN"/>
        </w:rPr>
        <w:t xml:space="preserve"> </w:t>
      </w:r>
      <w:r>
        <w:rPr>
          <w:rFonts w:hint="eastAsia" w:ascii="宋体" w:hAnsi="宋体" w:eastAsia="宋体" w:cs="宋体"/>
          <w:color w:val="auto"/>
          <w:kern w:val="2"/>
          <w:sz w:val="24"/>
          <w:szCs w:val="24"/>
          <w:highlight w:val="none"/>
        </w:rPr>
        <w:t>投标人其他未按招标文件规定和合同约定履行义务的行为。</w:t>
      </w:r>
    </w:p>
    <w:p w14:paraId="330E240F">
      <w:pPr>
        <w:pStyle w:val="54"/>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iCs/>
          <w:color w:val="auto"/>
          <w:kern w:val="2"/>
          <w:sz w:val="24"/>
          <w:szCs w:val="24"/>
          <w:highlight w:val="none"/>
          <w:shd w:val="clear" w:color="auto" w:fill="FFFFFF" w:themeFill="background1"/>
          <w:lang w:val="en-US" w:eastAsia="zh-CN" w:bidi="ar-SA"/>
        </w:rPr>
      </w:pPr>
      <w:r>
        <w:rPr>
          <w:rFonts w:hint="eastAsia" w:ascii="宋体" w:hAnsi="宋体" w:eastAsia="宋体" w:cs="宋体"/>
          <w:iCs/>
          <w:color w:val="auto"/>
          <w:kern w:val="2"/>
          <w:sz w:val="24"/>
          <w:szCs w:val="24"/>
          <w:highlight w:val="none"/>
          <w:shd w:val="clear" w:color="auto" w:fill="FFFFFF" w:themeFill="background1"/>
          <w:lang w:val="en-US" w:eastAsia="zh-CN" w:bidi="ar-SA"/>
        </w:rPr>
        <w:t>17.9如开标时投标人对本单位投标保证金缴纳情况有疑义，投标人应在开标结束前向采购人提交书面申请核实保证金缴纳情况。由银行或保险公司核实后出具书面材料予以答复。</w:t>
      </w:r>
    </w:p>
    <w:p w14:paraId="7018BCE4">
      <w:pPr>
        <w:pStyle w:val="54"/>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iCs/>
          <w:color w:val="auto"/>
          <w:kern w:val="2"/>
          <w:sz w:val="24"/>
          <w:szCs w:val="24"/>
          <w:highlight w:val="none"/>
          <w:shd w:val="clear" w:color="auto" w:fill="FFFFFF" w:themeFill="background1"/>
          <w:lang w:val="en-US" w:eastAsia="zh-CN" w:bidi="ar-SA"/>
        </w:rPr>
      </w:pPr>
      <w:r>
        <w:rPr>
          <w:rFonts w:hint="eastAsia" w:ascii="宋体" w:hAnsi="宋体" w:eastAsia="宋体" w:cs="宋体"/>
          <w:iCs/>
          <w:color w:val="auto"/>
          <w:kern w:val="2"/>
          <w:sz w:val="24"/>
          <w:szCs w:val="24"/>
          <w:highlight w:val="none"/>
          <w:shd w:val="clear" w:color="auto" w:fill="FFFFFF" w:themeFill="background1"/>
          <w:lang w:val="en-US" w:eastAsia="zh-CN" w:bidi="ar-SA"/>
        </w:rPr>
        <w:t>17.10为支持和促进中小企业发展，进一步发挥政府采购政策功能，鼓励投标供应商使用电子保函代替现金缴纳投标保证金，在线完成保函的申请、审核、开票、出函等环节，投标企业注意区分办理保函类型，并确认投标有效期，如采用政采云电子保函，可登录“新疆政府采购网”—顶部通栏“信用融资”或者“新疆政府采购网”首页“政采贷｜电子保函”快捷模块查看：</w:t>
      </w:r>
    </w:p>
    <w:p w14:paraId="1F3A8C5E">
      <w:pPr>
        <w:pStyle w:val="54"/>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iCs/>
          <w:color w:val="auto"/>
          <w:kern w:val="2"/>
          <w:sz w:val="24"/>
          <w:szCs w:val="24"/>
          <w:highlight w:val="none"/>
          <w:shd w:val="clear" w:color="auto" w:fill="FFFFFF" w:themeFill="background1"/>
          <w:lang w:val="en-US" w:eastAsia="zh-CN" w:bidi="ar-SA"/>
        </w:rPr>
      </w:pPr>
      <w:r>
        <w:rPr>
          <w:rFonts w:hint="eastAsia" w:ascii="宋体" w:hAnsi="宋体" w:eastAsia="宋体" w:cs="宋体"/>
          <w:iCs/>
          <w:color w:val="auto"/>
          <w:kern w:val="2"/>
          <w:sz w:val="24"/>
          <w:szCs w:val="24"/>
          <w:highlight w:val="none"/>
          <w:shd w:val="clear" w:color="auto" w:fill="FFFFFF" w:themeFill="background1"/>
          <w:lang w:val="en-US" w:eastAsia="zh-CN" w:bidi="ar-SA"/>
        </w:rPr>
        <w:t>直达链接（电子保函）：</w:t>
      </w:r>
    </w:p>
    <w:p w14:paraId="15E30E92">
      <w:pPr>
        <w:pStyle w:val="54"/>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iCs/>
          <w:color w:val="auto"/>
          <w:kern w:val="2"/>
          <w:sz w:val="24"/>
          <w:szCs w:val="24"/>
          <w:highlight w:val="none"/>
          <w:shd w:val="clear" w:color="auto" w:fill="FFFFFF" w:themeFill="background1"/>
          <w:lang w:val="en-US" w:eastAsia="zh-CN" w:bidi="ar-SA"/>
        </w:rPr>
      </w:pPr>
      <w:r>
        <w:rPr>
          <w:rFonts w:hint="eastAsia" w:ascii="宋体" w:hAnsi="宋体" w:eastAsia="宋体" w:cs="宋体"/>
          <w:iCs/>
          <w:color w:val="auto"/>
          <w:kern w:val="2"/>
          <w:sz w:val="24"/>
          <w:szCs w:val="24"/>
          <w:highlight w:val="none"/>
          <w:shd w:val="clear" w:color="auto" w:fill="FFFFFF" w:themeFill="background1"/>
          <w:lang w:val="en-US" w:eastAsia="zh-CN" w:bidi="ar-SA"/>
        </w:rPr>
        <w:t>https://jinrong.zcygov.cn/luban/finance/xinjiang?utm=site.site-PC-4838.1473-pc-wsg-customFloatWindow-front.1.b9d627301e6311efb796b33a13fe0d0a</w:t>
      </w:r>
    </w:p>
    <w:p w14:paraId="071DFFA7">
      <w:pPr>
        <w:pStyle w:val="54"/>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iCs/>
          <w:color w:val="auto"/>
          <w:kern w:val="2"/>
          <w:sz w:val="24"/>
          <w:szCs w:val="24"/>
          <w:highlight w:val="none"/>
          <w:shd w:val="clear" w:color="auto" w:fill="FFFFFF" w:themeFill="background1"/>
          <w:lang w:val="en-US" w:eastAsia="zh-CN" w:bidi="ar-SA"/>
        </w:rPr>
      </w:pPr>
      <w:r>
        <w:rPr>
          <w:rFonts w:hint="eastAsia" w:ascii="宋体" w:hAnsi="宋体" w:eastAsia="宋体" w:cs="宋体"/>
          <w:iCs/>
          <w:color w:val="auto"/>
          <w:kern w:val="2"/>
          <w:sz w:val="24"/>
          <w:szCs w:val="24"/>
          <w:highlight w:val="none"/>
          <w:shd w:val="clear" w:color="auto" w:fill="FFFFFF" w:themeFill="background1"/>
          <w:lang w:val="en-US" w:eastAsia="zh-CN" w:bidi="ar-SA"/>
        </w:rPr>
        <w:t>金融服务支撑热线：</w:t>
      </w:r>
      <w:r>
        <w:rPr>
          <w:rFonts w:hint="eastAsia" w:ascii="宋体" w:hAnsi="宋体" w:eastAsia="宋体" w:cs="宋体"/>
          <w:b/>
          <w:bCs/>
          <w:iCs/>
          <w:color w:val="auto"/>
          <w:kern w:val="2"/>
          <w:sz w:val="24"/>
          <w:szCs w:val="24"/>
          <w:highlight w:val="none"/>
          <w:shd w:val="clear" w:color="auto" w:fill="FFFFFF" w:themeFill="background1"/>
          <w:lang w:val="en-US" w:eastAsia="zh-CN" w:bidi="ar-SA"/>
        </w:rPr>
        <w:t>95763</w:t>
      </w:r>
      <w:r>
        <w:rPr>
          <w:rFonts w:hint="eastAsia" w:ascii="宋体" w:hAnsi="宋体" w:eastAsia="宋体" w:cs="宋体"/>
          <w:iCs/>
          <w:color w:val="auto"/>
          <w:kern w:val="2"/>
          <w:sz w:val="24"/>
          <w:szCs w:val="24"/>
          <w:highlight w:val="none"/>
          <w:shd w:val="clear" w:color="auto" w:fill="FFFFFF" w:themeFill="background1"/>
          <w:lang w:val="en-US" w:eastAsia="zh-CN" w:bidi="ar-SA"/>
        </w:rPr>
        <w:t xml:space="preserve">     </w:t>
      </w:r>
    </w:p>
    <w:p w14:paraId="3586E853">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4"/>
          <w:highlight w:val="none"/>
          <w:lang w:val="en-US" w:eastAsia="zh-CN" w:bidi="ar-SA"/>
        </w:rPr>
      </w:pPr>
      <w:bookmarkStart w:id="197" w:name="_Toc16592"/>
      <w:r>
        <w:rPr>
          <w:rFonts w:hint="eastAsia" w:ascii="宋体" w:hAnsi="宋体" w:eastAsia="宋体" w:cs="宋体"/>
          <w:b/>
          <w:bCs/>
          <w:color w:val="auto"/>
          <w:kern w:val="2"/>
          <w:sz w:val="24"/>
          <w:szCs w:val="24"/>
          <w:highlight w:val="none"/>
          <w:lang w:val="en-US" w:eastAsia="zh-CN" w:bidi="ar-SA"/>
        </w:rPr>
        <w:t>18.投标文件的加密</w:t>
      </w:r>
      <w:bookmarkEnd w:id="196"/>
      <w:bookmarkEnd w:id="197"/>
    </w:p>
    <w:p w14:paraId="7CFFC076">
      <w:pPr>
        <w:keepNext w:val="0"/>
        <w:keepLines w:val="0"/>
        <w:pageBreakBefore w:val="0"/>
        <w:widowControl w:val="0"/>
        <w:kinsoku/>
        <w:overflowPunct/>
        <w:topLinePunct w:val="0"/>
        <w:autoSpaceDE/>
        <w:autoSpaceDN/>
        <w:bidi w:val="0"/>
        <w:adjustRightInd/>
        <w:ind w:firstLine="480" w:firstLineChars="200"/>
        <w:jc w:val="both"/>
        <w:textAlignment w:val="auto"/>
        <w:rPr>
          <w:rFonts w:hint="eastAsia" w:ascii="宋体" w:hAnsi="宋体" w:eastAsia="宋体" w:cs="宋体"/>
          <w:color w:val="auto"/>
          <w:sz w:val="24"/>
          <w:szCs w:val="24"/>
          <w:highlight w:val="none"/>
          <w:u w:val="single"/>
        </w:rPr>
      </w:pPr>
      <w:bookmarkStart w:id="198" w:name="_Hlk143531864"/>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.1投标人在</w:t>
      </w:r>
      <w:r>
        <w:rPr>
          <w:rFonts w:hint="eastAsia" w:cs="宋体"/>
          <w:color w:val="auto"/>
          <w:sz w:val="24"/>
          <w:szCs w:val="24"/>
          <w:highlight w:val="none"/>
          <w:lang w:eastAsia="zh-CN"/>
        </w:rPr>
        <w:t>“</w:t>
      </w:r>
      <w:r>
        <w:rPr>
          <w:rFonts w:hint="eastAsia" w:cs="仿宋_GB2312"/>
          <w:color w:val="auto"/>
          <w:sz w:val="24"/>
          <w:szCs w:val="24"/>
          <w:highlight w:val="none"/>
          <w:lang w:val="en-US" w:eastAsia="zh-CN"/>
        </w:rPr>
        <w:t>投标</w:t>
      </w:r>
      <w:r>
        <w:rPr>
          <w:rFonts w:hint="eastAsia" w:eastAsia="宋体" w:cs="仿宋_GB2312"/>
          <w:color w:val="auto"/>
          <w:sz w:val="24"/>
          <w:szCs w:val="24"/>
          <w:highlight w:val="none"/>
        </w:rPr>
        <w:t>客户端</w:t>
      </w:r>
      <w:r>
        <w:rPr>
          <w:rFonts w:hint="eastAsia" w:cs="仿宋_GB2312"/>
          <w:color w:val="auto"/>
          <w:sz w:val="24"/>
          <w:szCs w:val="24"/>
          <w:highlight w:val="none"/>
          <w:lang w:eastAsia="zh-CN"/>
        </w:rPr>
        <w:t>”</w:t>
      </w:r>
      <w:r>
        <w:rPr>
          <w:rFonts w:hint="eastAsia" w:ascii="宋体" w:hAnsi="宋体" w:eastAsia="宋体" w:cs="宋体"/>
          <w:color w:val="auto"/>
          <w:sz w:val="24"/>
          <w:szCs w:val="24"/>
          <w:highlight w:val="none"/>
        </w:rPr>
        <w:t>中生成投标文件并完成签章之后，使用CA证书在</w:t>
      </w:r>
      <w:r>
        <w:rPr>
          <w:rFonts w:hint="eastAsia" w:cs="宋体"/>
          <w:color w:val="auto"/>
          <w:sz w:val="24"/>
          <w:szCs w:val="24"/>
          <w:highlight w:val="none"/>
          <w:lang w:eastAsia="zh-CN"/>
        </w:rPr>
        <w:t>“</w:t>
      </w:r>
      <w:r>
        <w:rPr>
          <w:rFonts w:hint="eastAsia" w:cs="仿宋_GB2312"/>
          <w:color w:val="auto"/>
          <w:sz w:val="24"/>
          <w:szCs w:val="24"/>
          <w:highlight w:val="none"/>
          <w:lang w:val="en-US" w:eastAsia="zh-CN"/>
        </w:rPr>
        <w:t>投标</w:t>
      </w:r>
      <w:r>
        <w:rPr>
          <w:rFonts w:hint="eastAsia" w:eastAsia="宋体" w:cs="仿宋_GB2312"/>
          <w:color w:val="auto"/>
          <w:sz w:val="24"/>
          <w:szCs w:val="24"/>
          <w:highlight w:val="none"/>
        </w:rPr>
        <w:t>客户端</w:t>
      </w:r>
      <w:r>
        <w:rPr>
          <w:rFonts w:hint="eastAsia" w:cs="仿宋_GB2312"/>
          <w:color w:val="auto"/>
          <w:sz w:val="24"/>
          <w:szCs w:val="24"/>
          <w:highlight w:val="none"/>
          <w:lang w:eastAsia="zh-CN"/>
        </w:rPr>
        <w:t>”</w:t>
      </w:r>
      <w:r>
        <w:rPr>
          <w:rFonts w:hint="eastAsia" w:ascii="宋体" w:hAnsi="宋体" w:eastAsia="宋体" w:cs="宋体"/>
          <w:color w:val="auto"/>
          <w:sz w:val="24"/>
          <w:szCs w:val="24"/>
          <w:highlight w:val="none"/>
        </w:rPr>
        <w:t>中对投标文件进行加密。</w:t>
      </w:r>
    </w:p>
    <w:p w14:paraId="20075D69">
      <w:pPr>
        <w:keepNext w:val="0"/>
        <w:keepLines w:val="0"/>
        <w:pageBreakBefore w:val="0"/>
        <w:widowControl w:val="0"/>
        <w:kinsoku/>
        <w:overflowPunct/>
        <w:topLinePunct w:val="0"/>
        <w:autoSpaceDE/>
        <w:autoSpaceDN/>
        <w:bidi w:val="0"/>
        <w:adjustRightInd/>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.2投标人应在</w:t>
      </w:r>
      <w:r>
        <w:rPr>
          <w:rFonts w:hint="eastAsia" w:cs="宋体"/>
          <w:color w:val="auto"/>
          <w:sz w:val="24"/>
          <w:szCs w:val="24"/>
          <w:highlight w:val="none"/>
          <w:lang w:eastAsia="zh-CN"/>
        </w:rPr>
        <w:t>“</w:t>
      </w:r>
      <w:r>
        <w:rPr>
          <w:rFonts w:hint="eastAsia" w:cs="仿宋_GB2312"/>
          <w:color w:val="auto"/>
          <w:sz w:val="24"/>
          <w:szCs w:val="24"/>
          <w:highlight w:val="none"/>
          <w:lang w:val="en-US" w:eastAsia="zh-CN"/>
        </w:rPr>
        <w:t>投标</w:t>
      </w:r>
      <w:r>
        <w:rPr>
          <w:rFonts w:hint="eastAsia" w:eastAsia="宋体" w:cs="仿宋_GB2312"/>
          <w:color w:val="auto"/>
          <w:sz w:val="24"/>
          <w:szCs w:val="24"/>
          <w:highlight w:val="none"/>
        </w:rPr>
        <w:t>客户端</w:t>
      </w:r>
      <w:r>
        <w:rPr>
          <w:rFonts w:hint="eastAsia" w:cs="仿宋_GB2312"/>
          <w:color w:val="auto"/>
          <w:sz w:val="24"/>
          <w:szCs w:val="24"/>
          <w:highlight w:val="none"/>
          <w:lang w:eastAsia="zh-CN"/>
        </w:rPr>
        <w:t>”</w:t>
      </w:r>
      <w:r>
        <w:rPr>
          <w:rFonts w:hint="eastAsia" w:ascii="宋体" w:hAnsi="宋体" w:eastAsia="宋体" w:cs="宋体"/>
          <w:color w:val="auto"/>
          <w:sz w:val="24"/>
          <w:szCs w:val="24"/>
          <w:highlight w:val="none"/>
        </w:rPr>
        <w:t>中对加密的投标文件进行解密验证，以防止投标文件加密异常，在开标时无法解密。</w:t>
      </w:r>
    </w:p>
    <w:p w14:paraId="60E84957">
      <w:pPr>
        <w:keepNext w:val="0"/>
        <w:keepLines w:val="0"/>
        <w:pageBreakBefore w:val="0"/>
        <w:widowControl w:val="0"/>
        <w:kinsoku/>
        <w:overflowPunct/>
        <w:topLinePunct w:val="0"/>
        <w:autoSpaceDE/>
        <w:autoSpaceDN/>
        <w:bidi w:val="0"/>
        <w:adjustRightInd/>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.3 投标人应保证加密投标文件的CA证书有效期在开标时间之前。若CA证书有效期临近开标时间，建议投标人提前办理CA证书续期，以免开标时无法进行解密。</w:t>
      </w:r>
    </w:p>
    <w:p w14:paraId="4D80B003">
      <w:pPr>
        <w:keepNext w:val="0"/>
        <w:keepLines w:val="0"/>
        <w:pageBreakBefore w:val="0"/>
        <w:widowControl w:val="0"/>
        <w:kinsoku/>
        <w:wordWrap w:val="0"/>
        <w:overflowPunct/>
        <w:topLinePunct w:val="0"/>
        <w:autoSpaceDE/>
        <w:autoSpaceDN/>
        <w:bidi w:val="0"/>
        <w:adjustRightInd/>
        <w:snapToGrid/>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在</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递交截</w:t>
      </w:r>
      <w:r>
        <w:rPr>
          <w:rFonts w:hint="eastAsia" w:ascii="宋体" w:hAnsi="宋体" w:eastAsia="宋体" w:cs="宋体"/>
          <w:color w:val="auto"/>
          <w:sz w:val="24"/>
          <w:szCs w:val="24"/>
          <w:highlight w:val="none"/>
          <w:lang w:val="en-US" w:eastAsia="zh-CN"/>
        </w:rPr>
        <w:t>止</w:t>
      </w:r>
      <w:r>
        <w:rPr>
          <w:rFonts w:hint="eastAsia" w:ascii="宋体" w:hAnsi="宋体" w:eastAsia="宋体" w:cs="宋体"/>
          <w:color w:val="auto"/>
          <w:sz w:val="24"/>
          <w:szCs w:val="24"/>
          <w:highlight w:val="none"/>
        </w:rPr>
        <w:t>时间前通过</w:t>
      </w:r>
      <w:r>
        <w:rPr>
          <w:rFonts w:hint="eastAsia" w:cs="宋体"/>
          <w:color w:val="auto"/>
          <w:sz w:val="24"/>
          <w:szCs w:val="24"/>
          <w:highlight w:val="none"/>
          <w:lang w:val="en-US" w:eastAsia="zh-CN"/>
        </w:rPr>
        <w:t>新疆政府采购网</w:t>
      </w:r>
      <w:r>
        <w:rPr>
          <w:rFonts w:hint="eastAsia" w:ascii="宋体" w:hAnsi="宋体" w:eastAsia="宋体" w:cs="宋体"/>
          <w:color w:val="auto"/>
          <w:sz w:val="24"/>
          <w:szCs w:val="24"/>
          <w:highlight w:val="none"/>
        </w:rPr>
        <w:t>（http://ccgp-bingtuan.gov.cn/）的”政采云登录入口”登录后，将加密电子</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（为.jmbs后缀格式）上传到对应项目的指定位置</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投标人认为有必要提交的其他资料请于投标截止时间前一并提交。</w:t>
      </w:r>
    </w:p>
    <w:p w14:paraId="7FD09881">
      <w:pPr>
        <w:keepNext w:val="0"/>
        <w:keepLines w:val="0"/>
        <w:pageBreakBefore w:val="0"/>
        <w:widowControl w:val="0"/>
        <w:kinsoku/>
        <w:overflowPunct/>
        <w:topLinePunct w:val="0"/>
        <w:autoSpaceDE/>
        <w:autoSpaceDN/>
        <w:bidi w:val="0"/>
        <w:adjustRightInd/>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如果投标人未按上述要求</w:t>
      </w:r>
      <w:r>
        <w:rPr>
          <w:rFonts w:hint="eastAsia" w:ascii="宋体" w:hAnsi="宋体" w:eastAsia="宋体" w:cs="宋体"/>
          <w:color w:val="auto"/>
          <w:sz w:val="24"/>
          <w:szCs w:val="24"/>
          <w:highlight w:val="none"/>
          <w:lang w:val="en-US" w:eastAsia="zh-CN"/>
        </w:rPr>
        <w:t>加密并上传</w:t>
      </w:r>
      <w:r>
        <w:rPr>
          <w:rFonts w:hint="eastAsia" w:ascii="宋体" w:hAnsi="宋体" w:eastAsia="宋体" w:cs="宋体"/>
          <w:color w:val="auto"/>
          <w:sz w:val="24"/>
          <w:szCs w:val="24"/>
          <w:highlight w:val="none"/>
        </w:rPr>
        <w:t>，采购代理机构对投标文件的误投</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无法解密、传输错误等问题</w:t>
      </w:r>
      <w:r>
        <w:rPr>
          <w:rFonts w:hint="eastAsia" w:ascii="宋体" w:hAnsi="宋体" w:eastAsia="宋体" w:cs="宋体"/>
          <w:color w:val="auto"/>
          <w:sz w:val="24"/>
          <w:szCs w:val="24"/>
          <w:highlight w:val="none"/>
        </w:rPr>
        <w:t>概不负责。对由此造成</w:t>
      </w:r>
      <w:r>
        <w:rPr>
          <w:rFonts w:hint="eastAsia" w:ascii="宋体" w:hAnsi="宋体" w:eastAsia="宋体" w:cs="宋体"/>
          <w:color w:val="auto"/>
          <w:sz w:val="24"/>
          <w:szCs w:val="24"/>
          <w:highlight w:val="none"/>
          <w:lang w:val="en-US" w:eastAsia="zh-CN"/>
        </w:rPr>
        <w:t>无法正常开启</w:t>
      </w:r>
      <w:r>
        <w:rPr>
          <w:rFonts w:hint="eastAsia" w:ascii="宋体" w:hAnsi="宋体" w:eastAsia="宋体" w:cs="宋体"/>
          <w:color w:val="auto"/>
          <w:sz w:val="24"/>
          <w:szCs w:val="24"/>
          <w:highlight w:val="none"/>
        </w:rPr>
        <w:t>的投标文件，采购代理机构有权予以拒绝，并退回投标人。</w:t>
      </w:r>
    </w:p>
    <w:p w14:paraId="23051441">
      <w:pPr>
        <w:keepNext w:val="0"/>
        <w:keepLines w:val="0"/>
        <w:pageBreakBefore w:val="0"/>
        <w:widowControl w:val="0"/>
        <w:kinsoku/>
        <w:overflowPunct/>
        <w:topLinePunct w:val="0"/>
        <w:autoSpaceDE/>
        <w:autoSpaceDN/>
        <w:bidi w:val="0"/>
        <w:adjustRightInd/>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本项目采用不见面开标，无需提供电子投标文件U盘。</w:t>
      </w:r>
    </w:p>
    <w:bookmarkEnd w:id="198"/>
    <w:p w14:paraId="31ED663E">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4"/>
          <w:highlight w:val="none"/>
          <w:lang w:val="en-US" w:eastAsia="zh-CN" w:bidi="ar-SA"/>
        </w:rPr>
      </w:pPr>
      <w:bookmarkStart w:id="199" w:name="_Toc140132777"/>
      <w:bookmarkStart w:id="200" w:name="_Toc163492844"/>
      <w:bookmarkStart w:id="201" w:name="_Toc7146"/>
      <w:r>
        <w:rPr>
          <w:rFonts w:hint="eastAsia" w:ascii="宋体" w:hAnsi="宋体" w:eastAsia="宋体" w:cs="宋体"/>
          <w:b/>
          <w:bCs/>
          <w:color w:val="auto"/>
          <w:kern w:val="2"/>
          <w:sz w:val="24"/>
          <w:szCs w:val="24"/>
          <w:highlight w:val="none"/>
          <w:lang w:val="en-US" w:eastAsia="zh-CN" w:bidi="ar-SA"/>
        </w:rPr>
        <w:t>19.投标文件的递交</w:t>
      </w:r>
      <w:bookmarkEnd w:id="199"/>
      <w:r>
        <w:rPr>
          <w:rFonts w:hint="eastAsia" w:ascii="宋体" w:hAnsi="宋体" w:eastAsia="宋体" w:cs="宋体"/>
          <w:b/>
          <w:bCs/>
          <w:color w:val="auto"/>
          <w:kern w:val="2"/>
          <w:sz w:val="24"/>
          <w:szCs w:val="24"/>
          <w:highlight w:val="none"/>
          <w:lang w:val="en-US" w:eastAsia="zh-CN" w:bidi="ar-SA"/>
        </w:rPr>
        <w:t>（上传）</w:t>
      </w:r>
      <w:bookmarkEnd w:id="200"/>
      <w:bookmarkEnd w:id="201"/>
    </w:p>
    <w:p w14:paraId="68ADD5DF">
      <w:pPr>
        <w:keepNext w:val="0"/>
        <w:keepLines w:val="0"/>
        <w:pageBreakBefore w:val="0"/>
        <w:widowControl w:val="0"/>
        <w:kinsoku/>
        <w:overflowPunct/>
        <w:topLinePunct w:val="0"/>
        <w:autoSpaceDE/>
        <w:autoSpaceDN/>
        <w:bidi w:val="0"/>
        <w:adjustRightInd/>
        <w:ind w:firstLine="480" w:firstLineChars="200"/>
        <w:jc w:val="both"/>
        <w:textAlignment w:val="auto"/>
        <w:rPr>
          <w:rFonts w:hint="eastAsia" w:ascii="宋体" w:hAnsi="宋体" w:eastAsia="宋体" w:cs="宋体"/>
          <w:color w:val="auto"/>
          <w:sz w:val="24"/>
          <w:szCs w:val="24"/>
          <w:highlight w:val="none"/>
        </w:rPr>
      </w:pPr>
      <w:bookmarkStart w:id="202" w:name="_Hlk143531977"/>
      <w:r>
        <w:rPr>
          <w:rFonts w:hint="eastAsia" w:ascii="宋体" w:hAnsi="宋体" w:eastAsia="宋体" w:cs="宋体"/>
          <w:color w:val="auto"/>
          <w:sz w:val="24"/>
          <w:szCs w:val="24"/>
          <w:highlight w:val="none"/>
          <w:lang w:val="en-US" w:eastAsia="zh-CN"/>
        </w:rPr>
        <w:t>19</w:t>
      </w:r>
      <w:r>
        <w:rPr>
          <w:rFonts w:hint="eastAsia" w:ascii="宋体" w:hAnsi="宋体" w:eastAsia="宋体" w:cs="宋体"/>
          <w:color w:val="auto"/>
          <w:sz w:val="24"/>
          <w:szCs w:val="24"/>
          <w:highlight w:val="none"/>
        </w:rPr>
        <w:t>.1 投标人应在“</w:t>
      </w:r>
      <w:r>
        <w:rPr>
          <w:rFonts w:hint="eastAsia" w:ascii="宋体" w:hAnsi="宋体" w:eastAsia="宋体" w:cs="宋体"/>
          <w:color w:val="auto"/>
          <w:sz w:val="24"/>
          <w:szCs w:val="24"/>
          <w:highlight w:val="none"/>
          <w:lang w:val="en-US" w:eastAsia="zh-CN"/>
        </w:rPr>
        <w:t>第一章 招标公告</w:t>
      </w:r>
      <w:r>
        <w:rPr>
          <w:rFonts w:hint="eastAsia" w:ascii="宋体" w:hAnsi="宋体" w:eastAsia="宋体" w:cs="宋体"/>
          <w:color w:val="auto"/>
          <w:sz w:val="24"/>
          <w:szCs w:val="24"/>
          <w:highlight w:val="none"/>
        </w:rPr>
        <w:t>”规定的投标截止时间前递交（上传）投标文件。</w:t>
      </w:r>
    </w:p>
    <w:p w14:paraId="0686D9A3">
      <w:pPr>
        <w:keepNext w:val="0"/>
        <w:keepLines w:val="0"/>
        <w:pageBreakBefore w:val="0"/>
        <w:widowControl w:val="0"/>
        <w:kinsoku/>
        <w:overflowPunct/>
        <w:topLinePunct w:val="0"/>
        <w:autoSpaceDE/>
        <w:autoSpaceDN/>
        <w:bidi w:val="0"/>
        <w:adjustRightInd/>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19</w:t>
      </w:r>
      <w:r>
        <w:rPr>
          <w:rFonts w:hint="eastAsia" w:ascii="宋体" w:hAnsi="宋体" w:eastAsia="宋体" w:cs="宋体"/>
          <w:color w:val="auto"/>
          <w:sz w:val="24"/>
          <w:szCs w:val="24"/>
          <w:highlight w:val="none"/>
        </w:rPr>
        <w:t>.2 投标人递交（上传）投标文件的地点见“</w:t>
      </w:r>
      <w:r>
        <w:rPr>
          <w:rFonts w:hint="eastAsia" w:ascii="宋体" w:hAnsi="宋体" w:eastAsia="宋体" w:cs="宋体"/>
          <w:color w:val="auto"/>
          <w:sz w:val="24"/>
          <w:szCs w:val="24"/>
          <w:highlight w:val="none"/>
          <w:lang w:val="en-US" w:eastAsia="zh-CN"/>
        </w:rPr>
        <w:t>第一章 招标公告</w:t>
      </w:r>
      <w:r>
        <w:rPr>
          <w:rFonts w:hint="eastAsia" w:ascii="宋体" w:hAnsi="宋体" w:eastAsia="宋体" w:cs="宋体"/>
          <w:color w:val="auto"/>
          <w:sz w:val="24"/>
          <w:szCs w:val="24"/>
          <w:highlight w:val="none"/>
        </w:rPr>
        <w:t>”。</w:t>
      </w:r>
    </w:p>
    <w:p w14:paraId="6AE6974A">
      <w:pPr>
        <w:keepNext w:val="0"/>
        <w:keepLines w:val="0"/>
        <w:pageBreakBefore w:val="0"/>
        <w:widowControl w:val="0"/>
        <w:kinsoku/>
        <w:overflowPunct/>
        <w:topLinePunct w:val="0"/>
        <w:autoSpaceDE/>
        <w:autoSpaceDN/>
        <w:bidi w:val="0"/>
        <w:adjustRightInd/>
        <w:ind w:firstLine="480" w:firstLineChars="200"/>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19</w:t>
      </w:r>
      <w:r>
        <w:rPr>
          <w:rFonts w:hint="eastAsia" w:ascii="宋体" w:hAnsi="宋体" w:eastAsia="宋体" w:cs="宋体"/>
          <w:color w:val="auto"/>
          <w:sz w:val="24"/>
          <w:szCs w:val="24"/>
          <w:highlight w:val="none"/>
        </w:rPr>
        <w:t>.3投标人应充分评估集中同时投标带来的网络影响，尽量避开投标高峰时间，错峰进行电子投标。投标人递交全部的投标文件后可在政采云平台（项目采购</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投标文件上传）中获取投标文件递交回执单。</w:t>
      </w:r>
    </w:p>
    <w:p w14:paraId="66FB688C">
      <w:pPr>
        <w:keepNext w:val="0"/>
        <w:keepLines w:val="0"/>
        <w:pageBreakBefore w:val="0"/>
        <w:widowControl w:val="0"/>
        <w:kinsoku/>
        <w:overflowPunct/>
        <w:topLinePunct w:val="0"/>
        <w:autoSpaceDE/>
        <w:autoSpaceDN/>
        <w:bidi w:val="0"/>
        <w:adjustRightInd/>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19</w:t>
      </w:r>
      <w:r>
        <w:rPr>
          <w:rFonts w:hint="eastAsia" w:ascii="宋体" w:hAnsi="宋体" w:eastAsia="宋体" w:cs="宋体"/>
          <w:color w:val="auto"/>
          <w:sz w:val="24"/>
          <w:szCs w:val="24"/>
          <w:highlight w:val="none"/>
        </w:rPr>
        <w:t>.4 投标人应在</w:t>
      </w:r>
      <w:r>
        <w:rPr>
          <w:rFonts w:hint="eastAsia" w:cs="宋体"/>
          <w:color w:val="auto"/>
          <w:sz w:val="24"/>
          <w:szCs w:val="24"/>
          <w:highlight w:val="none"/>
          <w:lang w:eastAsia="zh-CN"/>
        </w:rPr>
        <w:t>“</w:t>
      </w:r>
      <w:r>
        <w:rPr>
          <w:rFonts w:hint="eastAsia" w:cs="仿宋_GB2312"/>
          <w:color w:val="auto"/>
          <w:sz w:val="24"/>
          <w:szCs w:val="24"/>
          <w:highlight w:val="none"/>
          <w:lang w:val="en-US" w:eastAsia="zh-CN"/>
        </w:rPr>
        <w:t>投标</w:t>
      </w:r>
      <w:r>
        <w:rPr>
          <w:rFonts w:hint="eastAsia" w:eastAsia="宋体" w:cs="仿宋_GB2312"/>
          <w:color w:val="auto"/>
          <w:sz w:val="24"/>
          <w:szCs w:val="24"/>
          <w:highlight w:val="none"/>
        </w:rPr>
        <w:t>客户端</w:t>
      </w:r>
      <w:r>
        <w:rPr>
          <w:rFonts w:hint="eastAsia" w:cs="仿宋_GB2312"/>
          <w:color w:val="auto"/>
          <w:sz w:val="24"/>
          <w:szCs w:val="24"/>
          <w:highlight w:val="none"/>
          <w:lang w:eastAsia="zh-CN"/>
        </w:rPr>
        <w:t>”</w:t>
      </w:r>
      <w:r>
        <w:rPr>
          <w:rFonts w:hint="eastAsia" w:ascii="宋体" w:hAnsi="宋体" w:eastAsia="宋体" w:cs="宋体"/>
          <w:color w:val="auto"/>
          <w:sz w:val="24"/>
          <w:szCs w:val="24"/>
          <w:highlight w:val="none"/>
        </w:rPr>
        <w:t>中下载未加密且完成签章的投标文件妥善保存，以便启动应急开标程序时使用。</w:t>
      </w:r>
    </w:p>
    <w:p w14:paraId="4469D505">
      <w:pPr>
        <w:keepNext w:val="0"/>
        <w:keepLines w:val="0"/>
        <w:pageBreakBefore w:val="0"/>
        <w:widowControl w:val="0"/>
        <w:kinsoku/>
        <w:overflowPunct/>
        <w:topLinePunct w:val="0"/>
        <w:autoSpaceDE/>
        <w:autoSpaceDN/>
        <w:bidi w:val="0"/>
        <w:adjustRightInd/>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19</w:t>
      </w:r>
      <w:r>
        <w:rPr>
          <w:rFonts w:hint="eastAsia" w:ascii="宋体" w:hAnsi="宋体" w:eastAsia="宋体" w:cs="宋体"/>
          <w:color w:val="auto"/>
          <w:sz w:val="24"/>
          <w:szCs w:val="24"/>
          <w:highlight w:val="none"/>
        </w:rPr>
        <w:t>.5投标人所递交的投标文件不予退还。</w:t>
      </w:r>
    </w:p>
    <w:bookmarkEnd w:id="202"/>
    <w:p w14:paraId="6AD70963">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4"/>
          <w:highlight w:val="none"/>
          <w:lang w:val="en-US" w:eastAsia="zh-CN" w:bidi="ar-SA"/>
        </w:rPr>
      </w:pPr>
      <w:bookmarkStart w:id="203" w:name="_Toc163492845"/>
      <w:bookmarkStart w:id="204" w:name="_Toc788"/>
      <w:r>
        <w:rPr>
          <w:rFonts w:hint="eastAsia" w:ascii="宋体" w:hAnsi="宋体" w:eastAsia="宋体" w:cs="宋体"/>
          <w:b/>
          <w:bCs/>
          <w:color w:val="auto"/>
          <w:kern w:val="2"/>
          <w:sz w:val="24"/>
          <w:szCs w:val="24"/>
          <w:highlight w:val="none"/>
          <w:lang w:val="en-US" w:eastAsia="zh-CN" w:bidi="ar-SA"/>
        </w:rPr>
        <w:t>20.拒收</w:t>
      </w:r>
      <w:bookmarkEnd w:id="203"/>
      <w:bookmarkEnd w:id="204"/>
    </w:p>
    <w:p w14:paraId="163AD542">
      <w:pPr>
        <w:keepNext w:val="0"/>
        <w:keepLines w:val="0"/>
        <w:pageBreakBefore w:val="0"/>
        <w:widowControl w:val="0"/>
        <w:kinsoku/>
        <w:overflowPunct/>
        <w:topLinePunct w:val="0"/>
        <w:autoSpaceDE/>
        <w:autoSpaceDN/>
        <w:bidi w:val="0"/>
        <w:adjustRightInd/>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.1 超过投标文件提交截止时间</w:t>
      </w:r>
      <w:bookmarkStart w:id="205" w:name="_Hlk143532404"/>
      <w:r>
        <w:rPr>
          <w:rFonts w:hint="eastAsia" w:ascii="宋体" w:hAnsi="宋体" w:eastAsia="宋体" w:cs="宋体"/>
          <w:color w:val="auto"/>
          <w:sz w:val="24"/>
          <w:szCs w:val="24"/>
          <w:highlight w:val="none"/>
        </w:rPr>
        <w:t>或者不按照本章要求加密的投标文件，交易系统应当拒收</w:t>
      </w:r>
      <w:bookmarkEnd w:id="205"/>
      <w:r>
        <w:rPr>
          <w:rFonts w:hint="eastAsia" w:ascii="宋体" w:hAnsi="宋体" w:eastAsia="宋体" w:cs="宋体"/>
          <w:color w:val="auto"/>
          <w:sz w:val="24"/>
          <w:szCs w:val="24"/>
          <w:highlight w:val="none"/>
        </w:rPr>
        <w:t>。</w:t>
      </w:r>
    </w:p>
    <w:p w14:paraId="03561218">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4"/>
          <w:highlight w:val="none"/>
          <w:lang w:val="en-US" w:eastAsia="zh-CN" w:bidi="ar-SA"/>
        </w:rPr>
      </w:pPr>
      <w:bookmarkStart w:id="206" w:name="_Toc735"/>
      <w:bookmarkStart w:id="207" w:name="_Toc140132778"/>
      <w:bookmarkStart w:id="208" w:name="_Toc163492846"/>
      <w:r>
        <w:rPr>
          <w:rFonts w:hint="eastAsia" w:ascii="宋体" w:hAnsi="宋体" w:eastAsia="宋体" w:cs="宋体"/>
          <w:b/>
          <w:bCs/>
          <w:color w:val="auto"/>
          <w:kern w:val="2"/>
          <w:sz w:val="24"/>
          <w:szCs w:val="24"/>
          <w:highlight w:val="none"/>
          <w:lang w:val="en-US" w:eastAsia="zh-CN" w:bidi="ar-SA"/>
        </w:rPr>
        <w:t>21.投标文件的修改与撤回</w:t>
      </w:r>
      <w:bookmarkEnd w:id="206"/>
      <w:bookmarkEnd w:id="207"/>
      <w:bookmarkEnd w:id="208"/>
    </w:p>
    <w:p w14:paraId="7DBF29E0">
      <w:pPr>
        <w:keepNext w:val="0"/>
        <w:keepLines w:val="0"/>
        <w:pageBreakBefore w:val="0"/>
        <w:widowControl w:val="0"/>
        <w:kinsoku/>
        <w:overflowPunct/>
        <w:topLinePunct w:val="0"/>
        <w:autoSpaceDE/>
        <w:autoSpaceDN/>
        <w:bidi w:val="0"/>
        <w:adjustRightInd/>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.1</w:t>
      </w:r>
      <w:bookmarkStart w:id="209" w:name="_Hlk143532466"/>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在</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第一章 招标公告</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规定的</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递交截止时间之前，可在</w:t>
      </w:r>
      <w:r>
        <w:rPr>
          <w:rFonts w:hint="eastAsia" w:cs="宋体"/>
          <w:color w:val="auto"/>
          <w:sz w:val="24"/>
          <w:szCs w:val="24"/>
          <w:highlight w:val="none"/>
          <w:lang w:val="en-US" w:eastAsia="zh-CN"/>
        </w:rPr>
        <w:t>新疆</w:t>
      </w:r>
      <w:r>
        <w:rPr>
          <w:rFonts w:hint="eastAsia" w:ascii="宋体" w:hAnsi="宋体" w:eastAsia="宋体" w:cs="宋体"/>
          <w:color w:val="auto"/>
          <w:sz w:val="24"/>
          <w:szCs w:val="24"/>
          <w:highlight w:val="none"/>
        </w:rPr>
        <w:t>政府采购电子交易云平台上随时撤回已上传的电子</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，将修改好的电子</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在</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递交截止时间前重新上传到</w:t>
      </w:r>
      <w:r>
        <w:rPr>
          <w:rFonts w:hint="eastAsia" w:cs="宋体"/>
          <w:color w:val="auto"/>
          <w:sz w:val="24"/>
          <w:szCs w:val="24"/>
          <w:highlight w:val="none"/>
          <w:lang w:val="en-US" w:eastAsia="zh-CN"/>
        </w:rPr>
        <w:t>新疆</w:t>
      </w:r>
      <w:r>
        <w:rPr>
          <w:rFonts w:hint="eastAsia" w:ascii="宋体" w:hAnsi="宋体" w:eastAsia="宋体" w:cs="宋体"/>
          <w:color w:val="auto"/>
          <w:sz w:val="24"/>
          <w:szCs w:val="24"/>
          <w:highlight w:val="none"/>
        </w:rPr>
        <w:t>政府采购电子交易云平台的</w:t>
      </w:r>
      <w:r>
        <w:rPr>
          <w:rFonts w:hint="eastAsia" w:ascii="宋体" w:hAnsi="宋体" w:eastAsia="宋体" w:cs="宋体"/>
          <w:color w:val="auto"/>
          <w:sz w:val="24"/>
          <w:szCs w:val="24"/>
          <w:highlight w:val="none"/>
          <w:lang w:val="en-US" w:eastAsia="zh-CN"/>
        </w:rPr>
        <w:t>指</w:t>
      </w:r>
      <w:r>
        <w:rPr>
          <w:rFonts w:hint="eastAsia" w:ascii="宋体" w:hAnsi="宋体" w:eastAsia="宋体" w:cs="宋体"/>
          <w:color w:val="auto"/>
          <w:sz w:val="24"/>
          <w:szCs w:val="24"/>
          <w:highlight w:val="none"/>
        </w:rPr>
        <w:t>定位置。</w:t>
      </w:r>
    </w:p>
    <w:bookmarkEnd w:id="209"/>
    <w:p w14:paraId="20434D8C">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4"/>
          <w:highlight w:val="none"/>
          <w:lang w:val="en-US" w:eastAsia="zh-CN" w:bidi="ar-SA"/>
        </w:rPr>
      </w:pPr>
      <w:bookmarkStart w:id="210" w:name="_Toc18326"/>
      <w:bookmarkStart w:id="211" w:name="_Toc163492847"/>
      <w:bookmarkStart w:id="212" w:name="_Toc155185874"/>
      <w:r>
        <w:rPr>
          <w:rFonts w:hint="eastAsia" w:ascii="宋体" w:hAnsi="宋体" w:eastAsia="宋体" w:cs="宋体"/>
          <w:b/>
          <w:bCs/>
          <w:color w:val="auto"/>
          <w:kern w:val="2"/>
          <w:sz w:val="24"/>
          <w:szCs w:val="24"/>
          <w:highlight w:val="none"/>
          <w:lang w:val="en-US" w:eastAsia="zh-CN" w:bidi="ar-SA"/>
        </w:rPr>
        <w:t>22.实物样品</w:t>
      </w:r>
      <w:bookmarkEnd w:id="210"/>
      <w:bookmarkEnd w:id="211"/>
      <w:bookmarkEnd w:id="212"/>
    </w:p>
    <w:p w14:paraId="52D4EAF6">
      <w:pPr>
        <w:pStyle w:val="37"/>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.1“投标人须知前附表”要求提供样品的，样品的具体要求及评审详见“第三章 采购需求”和“第五章 评标</w:t>
      </w:r>
      <w:r>
        <w:rPr>
          <w:rFonts w:hint="eastAsia" w:ascii="宋体" w:hAnsi="宋体" w:eastAsia="宋体" w:cs="宋体"/>
          <w:snapToGrid w:val="0"/>
          <w:color w:val="auto"/>
          <w:sz w:val="24"/>
          <w:szCs w:val="24"/>
          <w:highlight w:val="none"/>
          <w:lang w:val="en-US" w:eastAsia="zh-CN"/>
        </w:rPr>
        <w:t>方</w:t>
      </w:r>
      <w:r>
        <w:rPr>
          <w:rFonts w:hint="eastAsia" w:ascii="宋体" w:hAnsi="宋体" w:eastAsia="宋体" w:cs="宋体"/>
          <w:color w:val="auto"/>
          <w:sz w:val="24"/>
          <w:szCs w:val="24"/>
          <w:highlight w:val="none"/>
        </w:rPr>
        <w:t>法及标准”。</w:t>
      </w:r>
    </w:p>
    <w:p w14:paraId="2D6ED3FC">
      <w:pPr>
        <w:pStyle w:val="37"/>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.2样品退还：未中标的投标人应</w:t>
      </w:r>
      <w:r>
        <w:rPr>
          <w:rFonts w:hint="eastAsia" w:ascii="宋体" w:hAnsi="宋体" w:eastAsia="宋体" w:cs="宋体"/>
          <w:color w:val="auto"/>
          <w:sz w:val="24"/>
          <w:szCs w:val="24"/>
          <w:highlight w:val="none"/>
          <w:lang w:val="en-US" w:eastAsia="zh-CN"/>
        </w:rPr>
        <w:t>按照</w:t>
      </w:r>
      <w:r>
        <w:rPr>
          <w:rFonts w:hint="eastAsia" w:ascii="宋体" w:hAnsi="宋体" w:eastAsia="宋体" w:cs="宋体"/>
          <w:color w:val="auto"/>
          <w:sz w:val="24"/>
          <w:szCs w:val="24"/>
          <w:highlight w:val="none"/>
        </w:rPr>
        <w:t>“投标人须知前附表”</w:t>
      </w:r>
      <w:r>
        <w:rPr>
          <w:rFonts w:hint="eastAsia" w:ascii="宋体" w:hAnsi="宋体" w:eastAsia="宋体" w:cs="宋体"/>
          <w:color w:val="auto"/>
          <w:sz w:val="24"/>
          <w:szCs w:val="24"/>
          <w:highlight w:val="none"/>
          <w:lang w:val="en-US" w:eastAsia="zh-CN"/>
        </w:rPr>
        <w:t>要求</w:t>
      </w:r>
      <w:r>
        <w:rPr>
          <w:rFonts w:hint="eastAsia" w:ascii="宋体" w:hAnsi="宋体" w:eastAsia="宋体" w:cs="宋体"/>
          <w:color w:val="auto"/>
          <w:sz w:val="24"/>
          <w:szCs w:val="24"/>
          <w:highlight w:val="none"/>
        </w:rPr>
        <w:t>自行联系采购人取回投标样品；中标人的样品由采购人进行保管、封存，并作为履约验收的参考（招标文件另有规定的从其规定）。</w:t>
      </w:r>
    </w:p>
    <w:p w14:paraId="7DD3C31F">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4"/>
          <w:highlight w:val="none"/>
          <w:lang w:val="en-US" w:eastAsia="zh-CN" w:bidi="ar-SA"/>
        </w:rPr>
      </w:pPr>
      <w:bookmarkStart w:id="213" w:name="_Toc16730"/>
      <w:bookmarkStart w:id="214" w:name="_Toc155185875"/>
      <w:bookmarkStart w:id="215" w:name="_Toc163492848"/>
      <w:r>
        <w:rPr>
          <w:rFonts w:hint="eastAsia" w:ascii="宋体" w:hAnsi="宋体" w:eastAsia="宋体" w:cs="宋体"/>
          <w:b/>
          <w:bCs/>
          <w:color w:val="auto"/>
          <w:kern w:val="2"/>
          <w:sz w:val="24"/>
          <w:szCs w:val="24"/>
          <w:highlight w:val="none"/>
          <w:lang w:val="en-US" w:eastAsia="zh-CN" w:bidi="ar-SA"/>
        </w:rPr>
        <w:t>23.演示</w:t>
      </w:r>
      <w:bookmarkEnd w:id="213"/>
      <w:bookmarkEnd w:id="214"/>
      <w:bookmarkEnd w:id="215"/>
    </w:p>
    <w:p w14:paraId="1A234B38">
      <w:pPr>
        <w:pStyle w:val="37"/>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.1要求投标人进行演示的，演示要求详见“投标人须知前附表”。</w:t>
      </w:r>
    </w:p>
    <w:p w14:paraId="527E9036">
      <w:pPr>
        <w:pStyle w:val="37"/>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.2演示的评审详见“第三章 采购需求”和“第五章 评标</w:t>
      </w:r>
      <w:r>
        <w:rPr>
          <w:rFonts w:hint="eastAsia" w:ascii="宋体" w:hAnsi="宋体" w:eastAsia="宋体" w:cs="宋体"/>
          <w:color w:val="auto"/>
          <w:sz w:val="24"/>
          <w:szCs w:val="24"/>
          <w:highlight w:val="none"/>
          <w:lang w:val="en-US" w:eastAsia="zh-CN"/>
        </w:rPr>
        <w:t>方</w:t>
      </w:r>
      <w:r>
        <w:rPr>
          <w:rFonts w:hint="eastAsia" w:ascii="宋体" w:hAnsi="宋体" w:eastAsia="宋体" w:cs="宋体"/>
          <w:color w:val="auto"/>
          <w:sz w:val="24"/>
          <w:szCs w:val="24"/>
          <w:highlight w:val="none"/>
        </w:rPr>
        <w:t>法及标准”。</w:t>
      </w:r>
    </w:p>
    <w:p w14:paraId="44828689">
      <w:pPr>
        <w:pStyle w:val="4"/>
        <w:keepNext w:val="0"/>
        <w:keepLines w:val="0"/>
        <w:pageBreakBefore w:val="0"/>
        <w:widowControl w:val="0"/>
        <w:numPr>
          <w:ilvl w:val="0"/>
          <w:numId w:val="0"/>
        </w:numPr>
        <w:kinsoku/>
        <w:wordWrap/>
        <w:overflowPunct/>
        <w:topLinePunct w:val="0"/>
        <w:autoSpaceDE/>
        <w:autoSpaceDN/>
        <w:bidi w:val="0"/>
        <w:adjustRightInd/>
        <w:snapToGrid/>
        <w:spacing w:before="120" w:after="120" w:line="240" w:lineRule="auto"/>
        <w:ind w:left="420" w:leftChars="0" w:hanging="420" w:firstLineChars="0"/>
        <w:jc w:val="both"/>
        <w:textAlignment w:val="auto"/>
        <w:rPr>
          <w:rFonts w:hint="eastAsia" w:ascii="宋体" w:hAnsi="宋体" w:eastAsia="宋体" w:cs="宋体"/>
          <w:b/>
          <w:bCs/>
          <w:color w:val="auto"/>
          <w:kern w:val="2"/>
          <w:sz w:val="24"/>
          <w:szCs w:val="24"/>
          <w:highlight w:val="none"/>
          <w:lang w:val="en-US" w:eastAsia="zh-CN" w:bidi="ar-SA"/>
        </w:rPr>
      </w:pPr>
      <w:bookmarkStart w:id="216" w:name="_Toc140132779"/>
      <w:bookmarkStart w:id="217" w:name="_Toc163492849"/>
      <w:bookmarkStart w:id="218" w:name="_Toc155185876"/>
      <w:bookmarkStart w:id="219" w:name="_Toc32704"/>
      <w:r>
        <w:rPr>
          <w:rFonts w:hint="eastAsia" w:ascii="宋体" w:hAnsi="宋体" w:eastAsia="宋体" w:cs="宋体"/>
          <w:b/>
          <w:bCs/>
          <w:color w:val="auto"/>
          <w:kern w:val="2"/>
          <w:sz w:val="24"/>
          <w:szCs w:val="24"/>
          <w:highlight w:val="none"/>
          <w:lang w:val="en-US" w:eastAsia="zh-CN" w:bidi="ar-SA"/>
        </w:rPr>
        <w:t>（五）开标</w:t>
      </w:r>
      <w:bookmarkEnd w:id="216"/>
      <w:bookmarkEnd w:id="217"/>
      <w:bookmarkEnd w:id="218"/>
      <w:bookmarkEnd w:id="219"/>
    </w:p>
    <w:p w14:paraId="1705A8FF">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4"/>
          <w:highlight w:val="none"/>
          <w:lang w:val="en-US" w:eastAsia="zh-CN" w:bidi="ar-SA"/>
        </w:rPr>
      </w:pPr>
      <w:bookmarkStart w:id="220" w:name="_Toc140132780"/>
      <w:bookmarkStart w:id="221" w:name="_Toc30506"/>
      <w:bookmarkStart w:id="222" w:name="_Toc163492850"/>
      <w:r>
        <w:rPr>
          <w:rFonts w:hint="eastAsia" w:ascii="宋体" w:hAnsi="宋体" w:eastAsia="宋体" w:cs="宋体"/>
          <w:b/>
          <w:bCs/>
          <w:color w:val="auto"/>
          <w:kern w:val="2"/>
          <w:sz w:val="24"/>
          <w:szCs w:val="24"/>
          <w:highlight w:val="none"/>
          <w:lang w:val="en-US" w:eastAsia="zh-CN" w:bidi="ar-SA"/>
        </w:rPr>
        <w:t>24.开标会议</w:t>
      </w:r>
      <w:bookmarkEnd w:id="220"/>
      <w:bookmarkEnd w:id="221"/>
      <w:bookmarkEnd w:id="222"/>
    </w:p>
    <w:p w14:paraId="43376441">
      <w:pPr>
        <w:keepNext w:val="0"/>
        <w:keepLines w:val="0"/>
        <w:pageBreakBefore w:val="0"/>
        <w:widowControl w:val="0"/>
        <w:kinsoku/>
        <w:overflowPunct/>
        <w:topLinePunct w:val="0"/>
        <w:autoSpaceDE/>
        <w:autoSpaceDN/>
        <w:bidi w:val="0"/>
        <w:adjustRightInd/>
        <w:snapToGrid/>
        <w:ind w:firstLine="480" w:firstLineChars="200"/>
        <w:jc w:val="both"/>
        <w:textAlignment w:val="auto"/>
        <w:rPr>
          <w:rFonts w:hint="eastAsia" w:ascii="宋体" w:hAnsi="宋体" w:eastAsia="宋体" w:cs="宋体"/>
          <w:color w:val="auto"/>
          <w:sz w:val="24"/>
          <w:szCs w:val="24"/>
          <w:highlight w:val="none"/>
          <w:lang w:eastAsia="zh-CN"/>
        </w:rPr>
      </w:pPr>
      <w:bookmarkStart w:id="223" w:name="_Toc140132781"/>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开标会按“</w:t>
      </w:r>
      <w:r>
        <w:rPr>
          <w:rFonts w:hint="eastAsia" w:ascii="宋体" w:hAnsi="宋体" w:eastAsia="宋体" w:cs="宋体"/>
          <w:color w:val="auto"/>
          <w:sz w:val="24"/>
          <w:szCs w:val="24"/>
          <w:highlight w:val="none"/>
          <w:lang w:val="en-US" w:eastAsia="zh-CN"/>
        </w:rPr>
        <w:t>第一章 招标公告</w:t>
      </w:r>
      <w:r>
        <w:rPr>
          <w:rFonts w:hint="eastAsia" w:ascii="宋体" w:hAnsi="宋体" w:eastAsia="宋体" w:cs="宋体"/>
          <w:color w:val="auto"/>
          <w:sz w:val="24"/>
          <w:szCs w:val="24"/>
          <w:highlight w:val="none"/>
        </w:rPr>
        <w:t>”规定的开标时间和地点准时举行，采购人、采购代理机构邀请所有投标人准时参加开标会。投标人应按照</w:t>
      </w:r>
      <w:r>
        <w:rPr>
          <w:rFonts w:hint="eastAsia" w:ascii="宋体" w:hAnsi="宋体" w:eastAsia="宋体" w:cs="宋体"/>
          <w:color w:val="auto"/>
          <w:sz w:val="24"/>
          <w:szCs w:val="24"/>
          <w:highlight w:val="none"/>
          <w:lang w:val="en-US" w:eastAsia="zh-CN"/>
        </w:rPr>
        <w:t>招标文件</w:t>
      </w:r>
      <w:r>
        <w:rPr>
          <w:rFonts w:hint="eastAsia" w:ascii="宋体" w:hAnsi="宋体" w:eastAsia="宋体" w:cs="宋体"/>
          <w:color w:val="auto"/>
          <w:sz w:val="24"/>
          <w:szCs w:val="24"/>
          <w:highlight w:val="none"/>
        </w:rPr>
        <w:t>的要求参与</w:t>
      </w:r>
      <w:r>
        <w:rPr>
          <w:rFonts w:hint="eastAsia" w:ascii="宋体" w:hAnsi="宋体" w:eastAsia="宋体" w:cs="宋体"/>
          <w:color w:val="auto"/>
          <w:sz w:val="24"/>
          <w:szCs w:val="24"/>
          <w:highlight w:val="none"/>
          <w:lang w:val="en-US" w:eastAsia="zh-CN"/>
        </w:rPr>
        <w:t>不见面开标</w:t>
      </w:r>
      <w:r>
        <w:rPr>
          <w:rFonts w:hint="eastAsia" w:ascii="宋体" w:hAnsi="宋体" w:eastAsia="宋体" w:cs="宋体"/>
          <w:color w:val="auto"/>
          <w:sz w:val="24"/>
          <w:szCs w:val="24"/>
          <w:highlight w:val="none"/>
        </w:rPr>
        <w:t>。</w:t>
      </w:r>
    </w:p>
    <w:p w14:paraId="60A061F0">
      <w:pPr>
        <w:keepNext w:val="0"/>
        <w:keepLines w:val="0"/>
        <w:pageBreakBefore w:val="0"/>
        <w:widowControl w:val="0"/>
        <w:kinsoku/>
        <w:wordWrap w:val="0"/>
        <w:overflowPunct/>
        <w:topLinePunct w:val="0"/>
        <w:autoSpaceDE/>
        <w:autoSpaceDN/>
        <w:bidi w:val="0"/>
        <w:adjustRightInd/>
        <w:snapToGrid/>
        <w:ind w:firstLine="480" w:firstLineChars="200"/>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 xml:space="preserve"> </w:t>
      </w:r>
      <w:bookmarkEnd w:id="223"/>
      <w:r>
        <w:rPr>
          <w:rFonts w:hint="eastAsia" w:ascii="宋体" w:hAnsi="宋体" w:eastAsia="宋体" w:cs="宋体"/>
          <w:color w:val="auto"/>
          <w:kern w:val="2"/>
          <w:sz w:val="24"/>
          <w:szCs w:val="24"/>
          <w:highlight w:val="none"/>
        </w:rPr>
        <w:t>采购代理机构按照招标文件规定的时间、地点主持开标。采购人在规定的</w:t>
      </w:r>
      <w:r>
        <w:rPr>
          <w:rFonts w:hint="eastAsia" w:ascii="宋体" w:hAnsi="宋体" w:eastAsia="宋体" w:cs="宋体"/>
          <w:color w:val="auto"/>
          <w:kern w:val="2"/>
          <w:sz w:val="24"/>
          <w:szCs w:val="24"/>
          <w:highlight w:val="none"/>
          <w:lang w:eastAsia="zh-CN"/>
        </w:rPr>
        <w:t>投标文件</w:t>
      </w:r>
      <w:r>
        <w:rPr>
          <w:rFonts w:hint="eastAsia" w:ascii="宋体" w:hAnsi="宋体" w:eastAsia="宋体" w:cs="宋体"/>
          <w:color w:val="auto"/>
          <w:kern w:val="2"/>
          <w:sz w:val="24"/>
          <w:szCs w:val="24"/>
          <w:highlight w:val="none"/>
        </w:rPr>
        <w:t>递交截止时间（开标时间）和地点进行不见面远程开标。</w:t>
      </w:r>
      <w:r>
        <w:rPr>
          <w:rFonts w:hint="eastAsia" w:ascii="宋体" w:hAnsi="宋体" w:eastAsia="宋体" w:cs="宋体"/>
          <w:color w:val="auto"/>
          <w:kern w:val="2"/>
          <w:sz w:val="24"/>
          <w:szCs w:val="24"/>
          <w:highlight w:val="none"/>
          <w:lang w:eastAsia="zh-CN"/>
        </w:rPr>
        <w:t>投标人</w:t>
      </w:r>
      <w:r>
        <w:rPr>
          <w:rFonts w:hint="eastAsia" w:ascii="宋体" w:hAnsi="宋体" w:eastAsia="宋体" w:cs="宋体"/>
          <w:color w:val="auto"/>
          <w:kern w:val="2"/>
          <w:sz w:val="24"/>
          <w:szCs w:val="24"/>
          <w:highlight w:val="none"/>
        </w:rPr>
        <w:t>的法定代表人或其委托代理人无需到达开标现场，仅需在任意地点通过</w:t>
      </w:r>
      <w:r>
        <w:rPr>
          <w:rFonts w:hint="eastAsia" w:cs="宋体"/>
          <w:color w:val="auto"/>
          <w:sz w:val="24"/>
          <w:szCs w:val="24"/>
          <w:highlight w:val="none"/>
          <w:lang w:val="en-US" w:eastAsia="zh-CN"/>
        </w:rPr>
        <w:t>新疆</w:t>
      </w:r>
      <w:r>
        <w:rPr>
          <w:rFonts w:hint="eastAsia" w:ascii="宋体" w:hAnsi="宋体" w:eastAsia="宋体" w:cs="宋体"/>
          <w:color w:val="auto"/>
          <w:kern w:val="2"/>
          <w:sz w:val="24"/>
          <w:szCs w:val="24"/>
          <w:highlight w:val="none"/>
          <w:lang w:val="en-US" w:eastAsia="zh-CN"/>
        </w:rPr>
        <w:t>政府采购电子交易云平台</w:t>
      </w:r>
      <w:r>
        <w:rPr>
          <w:rFonts w:hint="eastAsia" w:ascii="宋体" w:hAnsi="宋体" w:eastAsia="宋体" w:cs="宋体"/>
          <w:color w:val="auto"/>
          <w:kern w:val="2"/>
          <w:sz w:val="24"/>
          <w:szCs w:val="24"/>
          <w:highlight w:val="none"/>
        </w:rPr>
        <w:t>的</w:t>
      </w:r>
      <w:r>
        <w:rPr>
          <w:rFonts w:hint="eastAsia" w:ascii="宋体" w:hAnsi="宋体" w:eastAsia="宋体" w:cs="宋体"/>
          <w:color w:val="auto"/>
          <w:kern w:val="2"/>
          <w:sz w:val="24"/>
          <w:szCs w:val="24"/>
          <w:highlight w:val="none"/>
          <w:lang w:eastAsia="zh-CN"/>
        </w:rPr>
        <w:t>“</w:t>
      </w:r>
      <w:r>
        <w:rPr>
          <w:rFonts w:hint="eastAsia" w:ascii="宋体" w:hAnsi="宋体" w:eastAsia="宋体" w:cs="宋体"/>
          <w:color w:val="auto"/>
          <w:kern w:val="2"/>
          <w:sz w:val="24"/>
          <w:szCs w:val="24"/>
          <w:highlight w:val="none"/>
        </w:rPr>
        <w:t>政采云登录入口”登录后，进入“政采云远程开标大厅”参加开标会议，并使用CA密钥完成远程解密、提疑澄清、开标唱标、结果公布等交互环节。</w:t>
      </w:r>
    </w:p>
    <w:p w14:paraId="4F83B05F">
      <w:pPr>
        <w:keepNext w:val="0"/>
        <w:keepLines w:val="0"/>
        <w:pageBreakBefore w:val="0"/>
        <w:widowControl w:val="0"/>
        <w:kinsoku/>
        <w:overflowPunct/>
        <w:topLinePunct w:val="0"/>
        <w:autoSpaceDE/>
        <w:autoSpaceDN/>
        <w:bidi w:val="0"/>
        <w:adjustRightInd/>
        <w:ind w:firstLine="480" w:firstLineChars="200"/>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rPr>
        <w:t xml:space="preserve">24.3开标过程将宣布投标人名称、投标价格和招标文件规定的需要宣布的其他内容并进行记录，并由参加开标的各投标人确认。投标人未在规定时间内提 出疑义或确认一览表的，视同认可开标结果。 </w:t>
      </w:r>
    </w:p>
    <w:p w14:paraId="63FB5E60">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4"/>
          <w:highlight w:val="none"/>
          <w:lang w:val="en-US" w:eastAsia="zh-CN" w:bidi="ar-SA"/>
        </w:rPr>
      </w:pPr>
      <w:bookmarkStart w:id="224" w:name="_Toc163492852"/>
      <w:bookmarkStart w:id="225" w:name="_Toc6154"/>
      <w:bookmarkStart w:id="226" w:name="_Toc140132783"/>
      <w:r>
        <w:rPr>
          <w:rFonts w:hint="eastAsia" w:ascii="宋体" w:hAnsi="宋体" w:eastAsia="宋体" w:cs="宋体"/>
          <w:b/>
          <w:bCs/>
          <w:color w:val="auto"/>
          <w:kern w:val="2"/>
          <w:sz w:val="24"/>
          <w:szCs w:val="24"/>
          <w:highlight w:val="none"/>
          <w:lang w:val="en-US" w:eastAsia="zh-CN" w:bidi="ar-SA"/>
        </w:rPr>
        <w:t>25.开标程序</w:t>
      </w:r>
      <w:bookmarkEnd w:id="224"/>
      <w:bookmarkEnd w:id="225"/>
      <w:bookmarkEnd w:id="226"/>
    </w:p>
    <w:p w14:paraId="60F7948B">
      <w:pPr>
        <w:keepNext w:val="0"/>
        <w:keepLines w:val="0"/>
        <w:pageBreakBefore w:val="0"/>
        <w:widowControl w:val="0"/>
        <w:kinsoku/>
        <w:overflowPunct/>
        <w:topLinePunct w:val="0"/>
        <w:autoSpaceDE/>
        <w:autoSpaceDN/>
        <w:bidi w:val="0"/>
        <w:adjustRightInd/>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.1 投标人不足3家的，不得开标。</w:t>
      </w:r>
    </w:p>
    <w:p w14:paraId="5B4EFA66">
      <w:pPr>
        <w:keepNext w:val="0"/>
        <w:keepLines w:val="0"/>
        <w:pageBreakBefore w:val="0"/>
        <w:widowControl w:val="0"/>
        <w:kinsoku/>
        <w:overflowPunct/>
        <w:topLinePunct w:val="0"/>
        <w:autoSpaceDE/>
        <w:autoSpaceDN/>
        <w:bidi w:val="0"/>
        <w:adjustRightInd/>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.2 评标委员会成员不得参加开标活动。</w:t>
      </w:r>
    </w:p>
    <w:p w14:paraId="6EDD80B3">
      <w:pPr>
        <w:keepNext w:val="0"/>
        <w:keepLines w:val="0"/>
        <w:pageBreakBefore w:val="0"/>
        <w:widowControl w:val="0"/>
        <w:kinsoku/>
        <w:overflowPunct/>
        <w:topLinePunct w:val="0"/>
        <w:autoSpaceDE/>
        <w:autoSpaceDN/>
        <w:bidi w:val="0"/>
        <w:adjustRightInd/>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.3主持人按下列程序进行开标：</w:t>
      </w:r>
    </w:p>
    <w:p w14:paraId="02BF7803">
      <w:pPr>
        <w:keepNext w:val="0"/>
        <w:keepLines w:val="0"/>
        <w:pageBreakBefore w:val="0"/>
        <w:widowControl w:val="0"/>
        <w:kinsoku/>
        <w:overflowPunct/>
        <w:topLinePunct w:val="0"/>
        <w:autoSpaceDE/>
        <w:autoSpaceDN/>
        <w:bidi w:val="0"/>
        <w:adjustRightInd/>
        <w:ind w:firstLine="398" w:firstLineChars="166"/>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（1）宣布开标会纪律；</w:t>
      </w:r>
    </w:p>
    <w:p w14:paraId="06FE8596">
      <w:pPr>
        <w:keepNext w:val="0"/>
        <w:keepLines w:val="0"/>
        <w:pageBreakBefore w:val="0"/>
        <w:widowControl w:val="0"/>
        <w:kinsoku/>
        <w:overflowPunct/>
        <w:topLinePunct w:val="0"/>
        <w:autoSpaceDE/>
        <w:autoSpaceDN/>
        <w:bidi w:val="0"/>
        <w:adjustRightInd/>
        <w:ind w:firstLine="398" w:firstLineChars="166"/>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（2）介绍参加开标会的单位和人员；</w:t>
      </w:r>
    </w:p>
    <w:p w14:paraId="69CFC68B">
      <w:pPr>
        <w:keepNext w:val="0"/>
        <w:keepLines w:val="0"/>
        <w:pageBreakBefore w:val="0"/>
        <w:widowControl w:val="0"/>
        <w:kinsoku/>
        <w:overflowPunct/>
        <w:topLinePunct w:val="0"/>
        <w:autoSpaceDE/>
        <w:autoSpaceDN/>
        <w:bidi w:val="0"/>
        <w:adjustRightInd/>
        <w:ind w:firstLine="398" w:firstLineChars="166"/>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（3）发起投标文件解密。投标人应在“投标人须知前附表”规定的时间内使用加密投标文件的CA证书在系统中完成投标文件的解密；</w:t>
      </w:r>
      <w:r>
        <w:rPr>
          <w:rFonts w:hint="eastAsia" w:ascii="宋体" w:hAnsi="宋体" w:eastAsia="宋体" w:cs="宋体"/>
          <w:color w:val="auto"/>
          <w:sz w:val="24"/>
          <w:szCs w:val="24"/>
          <w:highlight w:val="none"/>
          <w:lang w:val="en-US" w:eastAsia="zh-CN"/>
        </w:rPr>
        <w:t>投标人不足3家的，不予解密；</w:t>
      </w:r>
    </w:p>
    <w:p w14:paraId="30C058B0">
      <w:pPr>
        <w:keepNext w:val="0"/>
        <w:keepLines w:val="0"/>
        <w:pageBreakBefore w:val="0"/>
        <w:widowControl w:val="0"/>
        <w:kinsoku/>
        <w:overflowPunct/>
        <w:topLinePunct w:val="0"/>
        <w:autoSpaceDE/>
        <w:autoSpaceDN/>
        <w:bidi w:val="0"/>
        <w:adjustRightInd/>
        <w:ind w:firstLine="398" w:firstLineChars="166"/>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（4）解密完成后，系统自动显示投标人名称、投标价格和招标文件规定的需要宣布的其他内容；</w:t>
      </w:r>
    </w:p>
    <w:p w14:paraId="102D4E44">
      <w:pPr>
        <w:keepNext w:val="0"/>
        <w:keepLines w:val="0"/>
        <w:pageBreakBefore w:val="0"/>
        <w:widowControl w:val="0"/>
        <w:kinsoku/>
        <w:overflowPunct/>
        <w:topLinePunct w:val="0"/>
        <w:autoSpaceDE/>
        <w:autoSpaceDN/>
        <w:bidi w:val="0"/>
        <w:adjustRightInd/>
        <w:ind w:left="564" w:leftChars="200" w:hanging="84" w:hangingChars="35"/>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（5）系统自动生成开标记录表，供应商应在线对开标记录进行签署确认</w:t>
      </w:r>
      <w:r>
        <w:rPr>
          <w:rFonts w:hint="eastAsia" w:ascii="宋体" w:hAnsi="宋体" w:eastAsia="宋体" w:cs="宋体"/>
          <w:color w:val="auto"/>
          <w:sz w:val="24"/>
          <w:szCs w:val="24"/>
          <w:highlight w:val="none"/>
          <w:lang w:val="en-US" w:eastAsia="zh-CN"/>
        </w:rPr>
        <w:t>；</w:t>
      </w:r>
    </w:p>
    <w:p w14:paraId="1E68785D">
      <w:pPr>
        <w:keepNext w:val="0"/>
        <w:keepLines w:val="0"/>
        <w:pageBreakBefore w:val="0"/>
        <w:widowControl w:val="0"/>
        <w:kinsoku/>
        <w:overflowPunct/>
        <w:topLinePunct w:val="0"/>
        <w:autoSpaceDE/>
        <w:autoSpaceDN/>
        <w:bidi w:val="0"/>
        <w:adjustRightInd/>
        <w:ind w:left="564" w:leftChars="200" w:hanging="84" w:hangingChars="35"/>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（6）开标会结束。</w:t>
      </w:r>
      <w:bookmarkStart w:id="227" w:name="_Toc163492853"/>
      <w:bookmarkStart w:id="228" w:name="_Toc140132784"/>
    </w:p>
    <w:p w14:paraId="459D358F">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4"/>
          <w:highlight w:val="none"/>
          <w:lang w:val="en-US" w:eastAsia="zh-CN" w:bidi="ar-SA"/>
        </w:rPr>
      </w:pPr>
      <w:bookmarkStart w:id="229" w:name="_Toc829"/>
      <w:r>
        <w:rPr>
          <w:rFonts w:hint="eastAsia" w:ascii="宋体" w:hAnsi="宋体" w:eastAsia="宋体" w:cs="宋体"/>
          <w:b/>
          <w:bCs/>
          <w:color w:val="auto"/>
          <w:kern w:val="2"/>
          <w:sz w:val="24"/>
          <w:szCs w:val="24"/>
          <w:highlight w:val="none"/>
          <w:lang w:val="en-US" w:eastAsia="zh-CN" w:bidi="ar-SA"/>
        </w:rPr>
        <w:t>26.开标疑义及回避情形</w:t>
      </w:r>
      <w:bookmarkEnd w:id="227"/>
      <w:bookmarkEnd w:id="228"/>
      <w:bookmarkEnd w:id="229"/>
    </w:p>
    <w:p w14:paraId="04573EB2">
      <w:pPr>
        <w:pStyle w:val="37"/>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1投标人代表对开标过程和开标记录有疑义，以及认为采购人、采购代理机构相关工作人员有需要回避的情形的，应在开标会议中提出询问或者回避申请。采购人、采购代理机构对投标人授权代表提出的询问或者回避申请应当及时处理。</w:t>
      </w:r>
    </w:p>
    <w:p w14:paraId="4E69EE01">
      <w:pPr>
        <w:pStyle w:val="37"/>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.2投标人未参加开标的，视同认可开标结果。</w:t>
      </w:r>
    </w:p>
    <w:p w14:paraId="55D243EF">
      <w:pPr>
        <w:pStyle w:val="4"/>
        <w:keepNext w:val="0"/>
        <w:keepLines w:val="0"/>
        <w:pageBreakBefore w:val="0"/>
        <w:widowControl w:val="0"/>
        <w:numPr>
          <w:ilvl w:val="0"/>
          <w:numId w:val="0"/>
        </w:numPr>
        <w:kinsoku/>
        <w:wordWrap/>
        <w:overflowPunct/>
        <w:topLinePunct w:val="0"/>
        <w:autoSpaceDE/>
        <w:autoSpaceDN/>
        <w:bidi w:val="0"/>
        <w:adjustRightInd/>
        <w:snapToGrid/>
        <w:spacing w:before="120" w:after="120" w:line="240" w:lineRule="auto"/>
        <w:ind w:left="420" w:leftChars="0" w:hanging="420" w:firstLineChars="0"/>
        <w:jc w:val="both"/>
        <w:textAlignment w:val="auto"/>
        <w:rPr>
          <w:rFonts w:hint="eastAsia" w:ascii="宋体" w:hAnsi="宋体" w:eastAsia="宋体" w:cs="宋体"/>
          <w:b/>
          <w:bCs/>
          <w:color w:val="auto"/>
          <w:kern w:val="2"/>
          <w:sz w:val="24"/>
          <w:szCs w:val="24"/>
          <w:highlight w:val="none"/>
          <w:lang w:val="en-US" w:eastAsia="zh-CN" w:bidi="ar-SA"/>
        </w:rPr>
      </w:pPr>
      <w:bookmarkStart w:id="230" w:name="_Toc155185877"/>
      <w:bookmarkStart w:id="231" w:name="_Toc163492854"/>
      <w:bookmarkStart w:id="232" w:name="_Toc28318"/>
      <w:bookmarkStart w:id="233" w:name="_Toc140132785"/>
      <w:r>
        <w:rPr>
          <w:rFonts w:hint="eastAsia" w:ascii="宋体" w:hAnsi="宋体" w:eastAsia="宋体" w:cs="宋体"/>
          <w:b/>
          <w:bCs/>
          <w:color w:val="auto"/>
          <w:kern w:val="2"/>
          <w:sz w:val="24"/>
          <w:szCs w:val="24"/>
          <w:highlight w:val="none"/>
          <w:lang w:val="en-US" w:eastAsia="zh-CN" w:bidi="ar-SA"/>
        </w:rPr>
        <w:t>（六）资格审查</w:t>
      </w:r>
      <w:bookmarkEnd w:id="230"/>
      <w:bookmarkEnd w:id="231"/>
      <w:bookmarkEnd w:id="232"/>
      <w:bookmarkEnd w:id="233"/>
    </w:p>
    <w:p w14:paraId="2C1B5FD6">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4"/>
          <w:highlight w:val="none"/>
          <w:lang w:val="en-US" w:eastAsia="zh-CN" w:bidi="ar-SA"/>
        </w:rPr>
      </w:pPr>
      <w:bookmarkStart w:id="234" w:name="_Toc163492855"/>
      <w:bookmarkStart w:id="235" w:name="_Toc8772"/>
      <w:r>
        <w:rPr>
          <w:rFonts w:hint="eastAsia" w:ascii="宋体" w:hAnsi="宋体" w:eastAsia="宋体" w:cs="宋体"/>
          <w:b/>
          <w:bCs/>
          <w:color w:val="auto"/>
          <w:kern w:val="2"/>
          <w:sz w:val="24"/>
          <w:szCs w:val="24"/>
          <w:highlight w:val="none"/>
          <w:lang w:val="en-US" w:eastAsia="zh-CN" w:bidi="ar-SA"/>
        </w:rPr>
        <w:t>27.资格审查及审查主体</w:t>
      </w:r>
      <w:bookmarkEnd w:id="234"/>
      <w:bookmarkEnd w:id="235"/>
    </w:p>
    <w:p w14:paraId="3F6E8AD4">
      <w:pPr>
        <w:pStyle w:val="37"/>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rPr>
      </w:pPr>
      <w:bookmarkStart w:id="236" w:name="_Toc140132786"/>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.1</w:t>
      </w:r>
      <w:bookmarkEnd w:id="236"/>
      <w:r>
        <w:rPr>
          <w:rFonts w:hint="eastAsia" w:ascii="宋体" w:hAnsi="宋体" w:eastAsia="宋体" w:cs="宋体"/>
          <w:color w:val="auto"/>
          <w:sz w:val="24"/>
          <w:szCs w:val="24"/>
          <w:highlight w:val="none"/>
        </w:rPr>
        <w:t>开标结束后，采购人或者采购代理机构应当依法对投标人的资格进行审查。</w:t>
      </w:r>
    </w:p>
    <w:p w14:paraId="6F7626D3">
      <w:pPr>
        <w:pStyle w:val="37"/>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rPr>
      </w:pPr>
      <w:bookmarkStart w:id="237" w:name="_Toc140132787"/>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.2资格审查按“第四章</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资格审查”的规定进行。</w:t>
      </w:r>
      <w:bookmarkEnd w:id="237"/>
    </w:p>
    <w:p w14:paraId="44D43B82">
      <w:pPr>
        <w:pStyle w:val="37"/>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rPr>
      </w:pPr>
      <w:bookmarkStart w:id="238" w:name="_Toc140132788"/>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.3资格审查结束后，应及时对资格审查结果进行复核，对资格审查错误进行及时纠正并记录。</w:t>
      </w:r>
      <w:bookmarkEnd w:id="238"/>
    </w:p>
    <w:p w14:paraId="272F167A">
      <w:pPr>
        <w:pStyle w:val="37"/>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27.4</w:t>
      </w:r>
      <w:r>
        <w:rPr>
          <w:rFonts w:hint="eastAsia" w:ascii="宋体" w:hAnsi="宋体" w:eastAsia="宋体" w:cs="宋体"/>
          <w:color w:val="auto"/>
          <w:sz w:val="24"/>
          <w:szCs w:val="24"/>
          <w:highlight w:val="none"/>
        </w:rPr>
        <w:t>资格审查合格投标人不足3家的，不得评标。</w:t>
      </w:r>
    </w:p>
    <w:p w14:paraId="7A1F7D21">
      <w:pPr>
        <w:pStyle w:val="4"/>
        <w:keepNext w:val="0"/>
        <w:keepLines w:val="0"/>
        <w:pageBreakBefore w:val="0"/>
        <w:widowControl w:val="0"/>
        <w:numPr>
          <w:ilvl w:val="0"/>
          <w:numId w:val="0"/>
        </w:numPr>
        <w:kinsoku/>
        <w:wordWrap/>
        <w:overflowPunct/>
        <w:topLinePunct w:val="0"/>
        <w:autoSpaceDE/>
        <w:autoSpaceDN/>
        <w:bidi w:val="0"/>
        <w:adjustRightInd/>
        <w:snapToGrid/>
        <w:spacing w:before="120" w:after="120" w:line="240" w:lineRule="auto"/>
        <w:ind w:left="420" w:leftChars="0" w:hanging="420" w:firstLineChars="0"/>
        <w:jc w:val="both"/>
        <w:textAlignment w:val="auto"/>
        <w:rPr>
          <w:rFonts w:hint="eastAsia" w:ascii="宋体" w:hAnsi="宋体" w:eastAsia="宋体" w:cs="宋体"/>
          <w:b/>
          <w:bCs/>
          <w:color w:val="auto"/>
          <w:kern w:val="2"/>
          <w:sz w:val="24"/>
          <w:szCs w:val="24"/>
          <w:highlight w:val="none"/>
          <w:lang w:val="en-US" w:eastAsia="zh-CN" w:bidi="ar-SA"/>
        </w:rPr>
      </w:pPr>
      <w:bookmarkStart w:id="239" w:name="_Toc155185878"/>
      <w:bookmarkStart w:id="240" w:name="_Toc140132789"/>
      <w:bookmarkStart w:id="241" w:name="_Toc28643"/>
      <w:bookmarkStart w:id="242" w:name="_Toc163492856"/>
      <w:r>
        <w:rPr>
          <w:rFonts w:hint="eastAsia" w:ascii="宋体" w:hAnsi="宋体" w:eastAsia="宋体" w:cs="宋体"/>
          <w:b/>
          <w:bCs/>
          <w:color w:val="auto"/>
          <w:kern w:val="2"/>
          <w:sz w:val="24"/>
          <w:szCs w:val="24"/>
          <w:highlight w:val="none"/>
          <w:lang w:val="en-US" w:eastAsia="zh-CN" w:bidi="ar-SA"/>
        </w:rPr>
        <w:t>（七）评标</w:t>
      </w:r>
      <w:bookmarkEnd w:id="239"/>
      <w:bookmarkEnd w:id="240"/>
      <w:bookmarkEnd w:id="241"/>
      <w:bookmarkEnd w:id="242"/>
    </w:p>
    <w:p w14:paraId="7EBE7ABE">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4"/>
          <w:highlight w:val="none"/>
          <w:lang w:val="en-US" w:eastAsia="zh-CN" w:bidi="ar-SA"/>
        </w:rPr>
      </w:pPr>
      <w:bookmarkStart w:id="243" w:name="_Toc12158"/>
      <w:bookmarkStart w:id="244" w:name="_Toc140132790"/>
      <w:bookmarkStart w:id="245" w:name="_Toc163492857"/>
      <w:r>
        <w:rPr>
          <w:rFonts w:hint="eastAsia" w:ascii="宋体" w:hAnsi="宋体" w:eastAsia="宋体" w:cs="宋体"/>
          <w:b/>
          <w:bCs/>
          <w:color w:val="auto"/>
          <w:kern w:val="2"/>
          <w:sz w:val="24"/>
          <w:szCs w:val="24"/>
          <w:highlight w:val="none"/>
          <w:lang w:val="en-US" w:eastAsia="zh-CN" w:bidi="ar-SA"/>
        </w:rPr>
        <w:t>28.评标委员会</w:t>
      </w:r>
      <w:bookmarkEnd w:id="243"/>
      <w:bookmarkEnd w:id="244"/>
      <w:bookmarkEnd w:id="245"/>
    </w:p>
    <w:p w14:paraId="1EA2B13D">
      <w:pPr>
        <w:pStyle w:val="37"/>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.1 评标由采购人依法组建的评标委员会负责。评标委员会由采购人代表和评审专家组成</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成员人数应当为5</w:t>
      </w:r>
      <w:r>
        <w:rPr>
          <w:rFonts w:hint="eastAsia" w:ascii="宋体" w:hAnsi="宋体" w:eastAsia="宋体" w:cs="宋体"/>
          <w:color w:val="auto"/>
          <w:sz w:val="24"/>
          <w:szCs w:val="24"/>
          <w:highlight w:val="none"/>
        </w:rPr>
        <w:t>人以上单数，其中</w:t>
      </w:r>
      <w:r>
        <w:rPr>
          <w:rFonts w:hint="eastAsia" w:ascii="宋体" w:hAnsi="宋体" w:eastAsia="宋体" w:cs="宋体"/>
          <w:color w:val="auto"/>
          <w:sz w:val="24"/>
          <w:szCs w:val="24"/>
          <w:highlight w:val="none"/>
          <w:lang w:val="en-US" w:eastAsia="zh-CN"/>
        </w:rPr>
        <w:t>评审</w:t>
      </w:r>
      <w:r>
        <w:rPr>
          <w:rFonts w:hint="eastAsia" w:ascii="宋体" w:hAnsi="宋体" w:eastAsia="宋体" w:cs="宋体"/>
          <w:color w:val="auto"/>
          <w:sz w:val="24"/>
          <w:szCs w:val="24"/>
          <w:highlight w:val="none"/>
        </w:rPr>
        <w:t>专家不</w:t>
      </w:r>
      <w:r>
        <w:rPr>
          <w:rFonts w:hint="eastAsia" w:ascii="宋体" w:hAnsi="宋体" w:eastAsia="宋体" w:cs="宋体"/>
          <w:color w:val="auto"/>
          <w:sz w:val="24"/>
          <w:szCs w:val="24"/>
          <w:highlight w:val="none"/>
          <w:lang w:val="en-US" w:eastAsia="zh-CN"/>
        </w:rPr>
        <w:t>得</w:t>
      </w:r>
      <w:r>
        <w:rPr>
          <w:rFonts w:hint="eastAsia" w:ascii="宋体" w:hAnsi="宋体" w:eastAsia="宋体" w:cs="宋体"/>
          <w:color w:val="auto"/>
          <w:sz w:val="24"/>
          <w:szCs w:val="24"/>
          <w:highlight w:val="none"/>
        </w:rPr>
        <w:t>少于</w:t>
      </w:r>
      <w:r>
        <w:rPr>
          <w:rFonts w:hint="eastAsia" w:ascii="宋体" w:hAnsi="宋体" w:eastAsia="宋体" w:cs="宋体"/>
          <w:color w:val="auto"/>
          <w:sz w:val="24"/>
          <w:szCs w:val="24"/>
          <w:highlight w:val="none"/>
          <w:lang w:val="en-US" w:eastAsia="zh-CN"/>
        </w:rPr>
        <w:t>成员总数的</w:t>
      </w:r>
      <w:r>
        <w:rPr>
          <w:rFonts w:hint="eastAsia" w:ascii="宋体" w:hAnsi="宋体" w:eastAsia="宋体" w:cs="宋体"/>
          <w:color w:val="auto"/>
          <w:sz w:val="24"/>
          <w:szCs w:val="24"/>
          <w:highlight w:val="none"/>
        </w:rPr>
        <w:t>三分之二。</w:t>
      </w:r>
      <w:r>
        <w:rPr>
          <w:rFonts w:hint="eastAsia" w:ascii="宋体" w:hAnsi="宋体" w:eastAsia="宋体" w:cs="宋体"/>
          <w:color w:val="auto"/>
          <w:sz w:val="24"/>
          <w:szCs w:val="24"/>
          <w:highlight w:val="none"/>
          <w:lang w:val="en-US" w:eastAsia="zh-CN"/>
        </w:rPr>
        <w:t>采购人或者采购代理机构应当从省级以上财政部门设立的政府采购评审专家库中，通过随机方式抽取评审专家。</w:t>
      </w:r>
    </w:p>
    <w:p w14:paraId="32DE7801">
      <w:pPr>
        <w:pStyle w:val="37"/>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28.2 采购项目符合下列情形之一的，评标委员会成员人数应当为7人以上单数：</w:t>
      </w:r>
    </w:p>
    <w:p w14:paraId="05C639B0">
      <w:pPr>
        <w:pStyle w:val="37"/>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（1）采购预算金额在1000万元以上；</w:t>
      </w:r>
    </w:p>
    <w:p w14:paraId="67DFE620">
      <w:pPr>
        <w:pStyle w:val="37"/>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（2）技术复杂；</w:t>
      </w:r>
    </w:p>
    <w:p w14:paraId="6B9FB10B">
      <w:pPr>
        <w:pStyle w:val="37"/>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（3）社会影响较大。</w:t>
      </w:r>
    </w:p>
    <w:p w14:paraId="4590A674">
      <w:pPr>
        <w:pStyle w:val="37"/>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28.3评审专家对本单位的采购项目只能作为采购人代表参与评标，对技术复杂、专业性强的采购项目，通过随机方式难以确定合适评审专家的，经主管预算单位同意，采购人可以自行选定相应专业领域的评审专家。采购代理机构工作人员不得参加由本机构代理的政府采购项目的评标。</w:t>
      </w:r>
    </w:p>
    <w:p w14:paraId="16E92807">
      <w:pPr>
        <w:pStyle w:val="37"/>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28.4评标委员会成员名单在评标结果公告前应当保密。</w:t>
      </w:r>
    </w:p>
    <w:p w14:paraId="2F8842E2">
      <w:pPr>
        <w:pStyle w:val="37"/>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28.5评标中因评标委员会成员缺席、回避或者健康等特殊原因导致评标委员会组成不符合本办法规定的，采购人或者采购代理机构应当依法补足后继续评标。被更换的评标委员会成员所作出的评标意见无效。</w:t>
      </w:r>
    </w:p>
    <w:p w14:paraId="28948BF7">
      <w:pPr>
        <w:pStyle w:val="37"/>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28.6无法及时补足评标委员会成员的，采购人或者采购代理机构应当停止评标活动，封存所有投标文件和开标、评标资料，依法重新组建评标委员会进行评标。原评标委员会所作出的评标意见无效。</w:t>
      </w:r>
    </w:p>
    <w:p w14:paraId="320EF104">
      <w:pPr>
        <w:pStyle w:val="37"/>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 xml:space="preserve"> 评标委员会成员有下列情形之一的，应当回避：</w:t>
      </w:r>
    </w:p>
    <w:p w14:paraId="53666710">
      <w:pPr>
        <w:pStyle w:val="37"/>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（1）参加采购活动前3年内与投标人存在劳动关系；</w:t>
      </w:r>
    </w:p>
    <w:p w14:paraId="4B33BA4E">
      <w:pPr>
        <w:pStyle w:val="37"/>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（2）参加采购活动前3年内担任投标人的董事、监事；</w:t>
      </w:r>
    </w:p>
    <w:p w14:paraId="271CA224">
      <w:pPr>
        <w:pStyle w:val="37"/>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（3）参加采购活动前3年内是投标人的控股股东或实际控制人；</w:t>
      </w:r>
    </w:p>
    <w:p w14:paraId="0F31540C">
      <w:pPr>
        <w:pStyle w:val="37"/>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（4）与投标人的法定代表人或者负责人有夫妻、直系血亲、三代以内旁系血亲或者近姻亲关系；</w:t>
      </w:r>
    </w:p>
    <w:p w14:paraId="20FB9B78">
      <w:pPr>
        <w:pStyle w:val="37"/>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（5）与投标人有其他可能影响采购活动公平、公正进行的关系。</w:t>
      </w:r>
    </w:p>
    <w:p w14:paraId="25BEA5A7">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4"/>
          <w:highlight w:val="none"/>
          <w:lang w:val="en-US" w:eastAsia="zh-CN" w:bidi="ar-SA"/>
        </w:rPr>
      </w:pPr>
      <w:bookmarkStart w:id="246" w:name="_Toc163492858"/>
      <w:bookmarkStart w:id="247" w:name="_Toc4280"/>
      <w:bookmarkStart w:id="248" w:name="_Toc140132791"/>
      <w:r>
        <w:rPr>
          <w:rFonts w:hint="eastAsia" w:ascii="宋体" w:hAnsi="宋体" w:eastAsia="宋体" w:cs="宋体"/>
          <w:b/>
          <w:bCs/>
          <w:color w:val="auto"/>
          <w:kern w:val="2"/>
          <w:sz w:val="24"/>
          <w:szCs w:val="24"/>
          <w:highlight w:val="none"/>
          <w:lang w:val="en-US" w:eastAsia="zh-CN" w:bidi="ar-SA"/>
        </w:rPr>
        <w:t>29.评标</w:t>
      </w:r>
      <w:bookmarkEnd w:id="246"/>
      <w:bookmarkEnd w:id="247"/>
      <w:bookmarkEnd w:id="248"/>
    </w:p>
    <w:p w14:paraId="6D0B095D">
      <w:pPr>
        <w:pStyle w:val="37"/>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29</w:t>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 xml:space="preserve"> 评标方法分为综合评分法和</w:t>
      </w:r>
      <w:r>
        <w:rPr>
          <w:rFonts w:hint="eastAsia" w:ascii="宋体" w:hAnsi="宋体" w:eastAsia="宋体" w:cs="宋体"/>
          <w:color w:val="auto"/>
          <w:sz w:val="24"/>
          <w:szCs w:val="24"/>
          <w:highlight w:val="none"/>
        </w:rPr>
        <w:t>最低评标价法</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本项目评标</w:t>
      </w:r>
      <w:r>
        <w:rPr>
          <w:rFonts w:hint="eastAsia" w:ascii="宋体" w:hAnsi="宋体" w:eastAsia="宋体" w:cs="宋体"/>
          <w:color w:val="auto"/>
          <w:sz w:val="24"/>
          <w:szCs w:val="24"/>
          <w:highlight w:val="none"/>
          <w:lang w:val="en-US" w:eastAsia="zh-CN"/>
        </w:rPr>
        <w:t>方法详见</w:t>
      </w:r>
      <w:r>
        <w:rPr>
          <w:rFonts w:hint="eastAsia" w:ascii="宋体" w:hAnsi="宋体" w:eastAsia="宋体" w:cs="宋体"/>
          <w:color w:val="auto"/>
          <w:sz w:val="24"/>
          <w:szCs w:val="24"/>
          <w:highlight w:val="none"/>
        </w:rPr>
        <w:t>“投标人须知前附表”</w:t>
      </w:r>
      <w:r>
        <w:rPr>
          <w:rFonts w:hint="eastAsia" w:ascii="宋体" w:hAnsi="宋体" w:eastAsia="宋体" w:cs="宋体"/>
          <w:color w:val="auto"/>
          <w:sz w:val="24"/>
          <w:szCs w:val="24"/>
          <w:highlight w:val="none"/>
          <w:lang w:eastAsia="zh-CN"/>
        </w:rPr>
        <w:t>。</w:t>
      </w:r>
    </w:p>
    <w:p w14:paraId="2BC22B3E">
      <w:pPr>
        <w:pStyle w:val="37"/>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9.1.1</w:t>
      </w:r>
      <w:r>
        <w:rPr>
          <w:rFonts w:hint="eastAsia" w:ascii="宋体" w:hAnsi="宋体" w:eastAsia="宋体" w:cs="宋体"/>
          <w:color w:val="auto"/>
          <w:sz w:val="24"/>
          <w:szCs w:val="24"/>
          <w:highlight w:val="none"/>
        </w:rPr>
        <w:t>综合评分法，是指投标文件满足招标文件全部实质性要求</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且按照评审因素的量化指标评审得分最高的投标人为中标候选人的评标方法。</w:t>
      </w:r>
    </w:p>
    <w:p w14:paraId="0E3867EE">
      <w:pPr>
        <w:pStyle w:val="37"/>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29.1.2.</w:t>
      </w:r>
      <w:r>
        <w:rPr>
          <w:rFonts w:hint="eastAsia" w:ascii="宋体" w:hAnsi="宋体" w:eastAsia="宋体" w:cs="宋体"/>
          <w:color w:val="auto"/>
          <w:sz w:val="24"/>
          <w:szCs w:val="24"/>
          <w:highlight w:val="none"/>
        </w:rPr>
        <w:t>最低评标价法，是指投标文件满足招标文件全部实质性要求</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且投标报价最低的投标人为中标候选人的评标方法。</w:t>
      </w:r>
    </w:p>
    <w:p w14:paraId="418DE4CD">
      <w:pPr>
        <w:pStyle w:val="37"/>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29</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 xml:space="preserve">2 </w:t>
      </w:r>
      <w:r>
        <w:rPr>
          <w:rFonts w:hint="eastAsia" w:ascii="宋体" w:hAnsi="宋体" w:eastAsia="宋体" w:cs="宋体"/>
          <w:color w:val="auto"/>
          <w:sz w:val="24"/>
          <w:szCs w:val="24"/>
          <w:highlight w:val="none"/>
        </w:rPr>
        <w:t>评标委员会按照“第五章</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评标</w:t>
      </w:r>
      <w:r>
        <w:rPr>
          <w:rFonts w:hint="eastAsia" w:ascii="宋体" w:hAnsi="宋体" w:eastAsia="宋体" w:cs="宋体"/>
          <w:color w:val="auto"/>
          <w:sz w:val="24"/>
          <w:szCs w:val="24"/>
          <w:highlight w:val="none"/>
          <w:lang w:val="en-US" w:eastAsia="zh-CN"/>
        </w:rPr>
        <w:t>方</w:t>
      </w:r>
      <w:r>
        <w:rPr>
          <w:rFonts w:hint="eastAsia" w:ascii="宋体" w:hAnsi="宋体" w:eastAsia="宋体" w:cs="宋体"/>
          <w:color w:val="auto"/>
          <w:sz w:val="24"/>
          <w:szCs w:val="24"/>
          <w:highlight w:val="none"/>
        </w:rPr>
        <w:t>法及标准”</w:t>
      </w:r>
      <w:r>
        <w:rPr>
          <w:rFonts w:hint="eastAsia" w:ascii="宋体" w:hAnsi="宋体" w:eastAsia="宋体" w:cs="宋体"/>
          <w:color w:val="auto"/>
          <w:sz w:val="24"/>
          <w:szCs w:val="24"/>
          <w:highlight w:val="none"/>
          <w:lang w:val="en-US" w:eastAsia="zh-CN"/>
        </w:rPr>
        <w:t>的</w:t>
      </w:r>
      <w:r>
        <w:rPr>
          <w:rFonts w:hint="eastAsia" w:ascii="宋体" w:hAnsi="宋体" w:eastAsia="宋体" w:cs="宋体"/>
          <w:color w:val="auto"/>
          <w:sz w:val="24"/>
          <w:szCs w:val="24"/>
          <w:highlight w:val="none"/>
        </w:rPr>
        <w:t>规定对投标文件进行评审。“第五章</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评标</w:t>
      </w:r>
      <w:r>
        <w:rPr>
          <w:rFonts w:hint="eastAsia" w:ascii="宋体" w:hAnsi="宋体" w:eastAsia="宋体" w:cs="宋体"/>
          <w:color w:val="auto"/>
          <w:sz w:val="24"/>
          <w:szCs w:val="24"/>
          <w:highlight w:val="none"/>
          <w:lang w:val="en-US" w:eastAsia="zh-CN"/>
        </w:rPr>
        <w:t>方</w:t>
      </w:r>
      <w:r>
        <w:rPr>
          <w:rFonts w:hint="eastAsia" w:ascii="宋体" w:hAnsi="宋体" w:eastAsia="宋体" w:cs="宋体"/>
          <w:color w:val="auto"/>
          <w:sz w:val="24"/>
          <w:szCs w:val="24"/>
          <w:highlight w:val="none"/>
        </w:rPr>
        <w:t>法及标准”没有规定的方法、评审因素和标准，不作为评标依据。</w:t>
      </w:r>
    </w:p>
    <w:p w14:paraId="1A9007D8">
      <w:pPr>
        <w:pStyle w:val="37"/>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29</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 xml:space="preserve">3 </w:t>
      </w:r>
      <w:r>
        <w:rPr>
          <w:rFonts w:hint="eastAsia" w:ascii="宋体" w:hAnsi="宋体" w:eastAsia="宋体" w:cs="宋体"/>
          <w:color w:val="auto"/>
          <w:sz w:val="24"/>
          <w:szCs w:val="24"/>
          <w:highlight w:val="none"/>
        </w:rPr>
        <w:t>评标委员会按“投标人须知前附表”规定的中标候选人数量在评标报告中向采购人推荐中标候选人。</w:t>
      </w:r>
    </w:p>
    <w:p w14:paraId="1E63454C">
      <w:pPr>
        <w:pStyle w:val="37"/>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29.4 开标之后，直到签订合同止，凡是属于审查、澄清、评价和比较投标的有关资料以及定标意向等，均不得向投标人或者其他与评标无关的人员透露。</w:t>
      </w:r>
    </w:p>
    <w:p w14:paraId="57927CBE">
      <w:pPr>
        <w:pStyle w:val="37"/>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29.5 在确定中标人之前，投标人试图在投标文件审查、澄清、比较和评标时对评标委员会、采购人和采购代理机构施加任何影响都可能导致其</w:t>
      </w:r>
      <w:r>
        <w:rPr>
          <w:rFonts w:hint="eastAsia" w:ascii="宋体" w:hAnsi="宋体" w:eastAsia="宋体" w:cs="宋体"/>
          <w:b/>
          <w:bCs/>
          <w:color w:val="auto"/>
          <w:sz w:val="24"/>
          <w:szCs w:val="24"/>
          <w:highlight w:val="none"/>
          <w:lang w:val="en-US" w:eastAsia="zh-CN"/>
        </w:rPr>
        <w:t>投标无效</w:t>
      </w:r>
      <w:r>
        <w:rPr>
          <w:rFonts w:hint="eastAsia" w:ascii="宋体" w:hAnsi="宋体" w:eastAsia="宋体" w:cs="宋体"/>
          <w:color w:val="auto"/>
          <w:sz w:val="24"/>
          <w:szCs w:val="24"/>
          <w:highlight w:val="none"/>
          <w:lang w:val="en-US" w:eastAsia="zh-CN"/>
        </w:rPr>
        <w:t>。</w:t>
      </w:r>
    </w:p>
    <w:p w14:paraId="32A32003">
      <w:pPr>
        <w:pStyle w:val="37"/>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29.6 电子招投标的应急措施</w:t>
      </w:r>
    </w:p>
    <w:p w14:paraId="52525CD6">
      <w:pPr>
        <w:pStyle w:val="37"/>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29.6.1电子开标、评标如出现下列原因，导致系统无法正常运行或无法正常评标时，应采取应急措施。</w:t>
      </w:r>
    </w:p>
    <w:p w14:paraId="3D99F562">
      <w:pPr>
        <w:pStyle w:val="37"/>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（1）系统服务器发生故障，无法访问或无法使用系统；</w:t>
      </w:r>
    </w:p>
    <w:p w14:paraId="518B308A">
      <w:pPr>
        <w:pStyle w:val="37"/>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（2）系统的软件或数据库出现错误，不能进行正常操作；</w:t>
      </w:r>
    </w:p>
    <w:p w14:paraId="657BA7B3">
      <w:pPr>
        <w:pStyle w:val="37"/>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（3）系统发现有安全漏洞，有潜在的泄密危险；</w:t>
      </w:r>
    </w:p>
    <w:p w14:paraId="26B15397">
      <w:pPr>
        <w:pStyle w:val="37"/>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（4）病毒发作或受到外来病毒的攻击；</w:t>
      </w:r>
    </w:p>
    <w:p w14:paraId="6BCA43D9">
      <w:pPr>
        <w:pStyle w:val="37"/>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（5）出现其他不可抗拒的客观原因造成开评标系统无法正常使用。</w:t>
      </w:r>
    </w:p>
    <w:p w14:paraId="2BA3CE00">
      <w:pPr>
        <w:pStyle w:val="37"/>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出现上述情况时，应对未开标的暂停开标。已在系统内开标、评标的立即停止。采取应急措施时，必须对原有资料及信息作出妥善保密处理。</w:t>
      </w:r>
    </w:p>
    <w:p w14:paraId="791CC4F0">
      <w:pPr>
        <w:pStyle w:val="37"/>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29.6.2因系统原因导致投标人均无法解密电子投标文件时，采购代理机构可在开标现场直接导入投标人在投标截止时间前递交的未加密的电子投标文件进行开标、评标。</w:t>
      </w:r>
    </w:p>
    <w:p w14:paraId="28CD45E0">
      <w:pPr>
        <w:pStyle w:val="37"/>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29.7 投标人瑕疵滞后发现的处理规则</w:t>
      </w:r>
    </w:p>
    <w:p w14:paraId="11E85EAD">
      <w:pPr>
        <w:pStyle w:val="37"/>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29.7.1无论基于何种原因，各项本应作</w:t>
      </w:r>
      <w:r>
        <w:rPr>
          <w:rFonts w:hint="eastAsia" w:ascii="宋体" w:hAnsi="宋体" w:eastAsia="宋体" w:cs="宋体"/>
          <w:b/>
          <w:bCs/>
          <w:color w:val="auto"/>
          <w:sz w:val="24"/>
          <w:szCs w:val="24"/>
          <w:highlight w:val="none"/>
          <w:lang w:val="en-US" w:eastAsia="zh-CN"/>
        </w:rPr>
        <w:t>无效投标</w:t>
      </w:r>
      <w:r>
        <w:rPr>
          <w:rFonts w:hint="eastAsia" w:ascii="宋体" w:hAnsi="宋体" w:eastAsia="宋体" w:cs="宋体"/>
          <w:color w:val="auto"/>
          <w:sz w:val="24"/>
          <w:szCs w:val="24"/>
          <w:highlight w:val="none"/>
          <w:lang w:val="en-US" w:eastAsia="zh-CN"/>
        </w:rPr>
        <w:t>处理的情形即便未被及时发现而使该投标人进入初审、综合评审或其他后续程序，包括已经签订合同的情形，一旦该投标人的投标作无效投标处理或该投标人的此前评议结果被取消，其现有的位置将被其他投标人依序替代，相关的一切损失均由该投标人承担。</w:t>
      </w:r>
    </w:p>
    <w:p w14:paraId="34027149">
      <w:pPr>
        <w:pStyle w:val="4"/>
        <w:keepNext w:val="0"/>
        <w:keepLines w:val="0"/>
        <w:pageBreakBefore w:val="0"/>
        <w:widowControl w:val="0"/>
        <w:numPr>
          <w:ilvl w:val="0"/>
          <w:numId w:val="0"/>
        </w:numPr>
        <w:kinsoku/>
        <w:wordWrap/>
        <w:overflowPunct/>
        <w:topLinePunct w:val="0"/>
        <w:autoSpaceDE/>
        <w:autoSpaceDN/>
        <w:bidi w:val="0"/>
        <w:adjustRightInd/>
        <w:snapToGrid/>
        <w:spacing w:before="120" w:after="120" w:line="240" w:lineRule="auto"/>
        <w:ind w:left="420" w:leftChars="0" w:hanging="420" w:firstLineChars="0"/>
        <w:jc w:val="both"/>
        <w:textAlignment w:val="auto"/>
        <w:rPr>
          <w:rFonts w:hint="eastAsia" w:ascii="宋体" w:hAnsi="宋体" w:eastAsia="宋体" w:cs="宋体"/>
          <w:b/>
          <w:bCs/>
          <w:color w:val="auto"/>
          <w:kern w:val="2"/>
          <w:sz w:val="24"/>
          <w:szCs w:val="24"/>
          <w:highlight w:val="none"/>
          <w:lang w:val="en-US" w:eastAsia="zh-CN" w:bidi="ar-SA"/>
        </w:rPr>
      </w:pPr>
      <w:bookmarkStart w:id="249" w:name="_Toc157"/>
      <w:bookmarkStart w:id="250" w:name="_Toc155185879"/>
      <w:bookmarkStart w:id="251" w:name="_Toc163492859"/>
      <w:bookmarkStart w:id="252" w:name="_Toc140132792"/>
      <w:r>
        <w:rPr>
          <w:rFonts w:hint="eastAsia" w:ascii="宋体" w:hAnsi="宋体" w:eastAsia="宋体" w:cs="宋体"/>
          <w:b/>
          <w:bCs/>
          <w:color w:val="auto"/>
          <w:kern w:val="2"/>
          <w:sz w:val="24"/>
          <w:szCs w:val="24"/>
          <w:highlight w:val="none"/>
          <w:lang w:val="en-US" w:eastAsia="zh-CN" w:bidi="ar-SA"/>
        </w:rPr>
        <w:t>（八）中标</w:t>
      </w:r>
      <w:bookmarkEnd w:id="249"/>
      <w:bookmarkEnd w:id="250"/>
      <w:bookmarkEnd w:id="251"/>
      <w:bookmarkEnd w:id="252"/>
    </w:p>
    <w:p w14:paraId="37B6B950">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4"/>
          <w:highlight w:val="none"/>
          <w:lang w:val="en-US" w:eastAsia="zh-CN" w:bidi="ar-SA"/>
        </w:rPr>
      </w:pPr>
      <w:bookmarkStart w:id="253" w:name="_Toc140132793"/>
      <w:bookmarkStart w:id="254" w:name="_Toc163492860"/>
      <w:bookmarkStart w:id="255" w:name="_Toc23329"/>
      <w:r>
        <w:rPr>
          <w:rFonts w:hint="eastAsia" w:ascii="宋体" w:hAnsi="宋体" w:eastAsia="宋体" w:cs="宋体"/>
          <w:b/>
          <w:bCs/>
          <w:color w:val="auto"/>
          <w:kern w:val="2"/>
          <w:sz w:val="24"/>
          <w:szCs w:val="24"/>
          <w:highlight w:val="none"/>
          <w:lang w:val="en-US" w:eastAsia="zh-CN" w:bidi="ar-SA"/>
        </w:rPr>
        <w:t>30.确定中标人</w:t>
      </w:r>
      <w:bookmarkEnd w:id="253"/>
      <w:bookmarkEnd w:id="254"/>
      <w:bookmarkEnd w:id="255"/>
    </w:p>
    <w:p w14:paraId="23CC2B81">
      <w:pPr>
        <w:keepNext w:val="0"/>
        <w:keepLines w:val="0"/>
        <w:pageBreakBefore w:val="0"/>
        <w:widowControl w:val="0"/>
        <w:suppressLineNumbers w:val="0"/>
        <w:kinsoku/>
        <w:overflowPunct/>
        <w:topLinePunct w:val="0"/>
        <w:autoSpaceDE/>
        <w:autoSpaceDN/>
        <w:bidi w:val="0"/>
        <w:adjustRightInd/>
        <w:ind w:firstLine="480" w:firstLineChars="200"/>
        <w:jc w:val="both"/>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sz w:val="24"/>
          <w:szCs w:val="24"/>
          <w:highlight w:val="none"/>
          <w:lang w:val="en-US" w:eastAsia="zh-CN"/>
        </w:rPr>
        <w:t>30.1</w:t>
      </w:r>
      <w:r>
        <w:rPr>
          <w:rFonts w:hint="eastAsia" w:ascii="宋体" w:hAnsi="宋体" w:eastAsia="宋体" w:cs="宋体"/>
          <w:color w:val="auto"/>
          <w:kern w:val="0"/>
          <w:sz w:val="24"/>
          <w:szCs w:val="24"/>
          <w:highlight w:val="none"/>
          <w:lang w:val="en-US" w:eastAsia="zh-CN" w:bidi="ar"/>
        </w:rPr>
        <w:t>采购人将在评标报告确定的中标候选人名单中按顺序确定中标人，中标候选人并列的，按照</w:t>
      </w:r>
      <w:r>
        <w:rPr>
          <w:rFonts w:hint="eastAsia" w:ascii="宋体" w:hAnsi="宋体" w:eastAsia="宋体" w:cs="宋体"/>
          <w:color w:val="auto"/>
          <w:sz w:val="24"/>
          <w:szCs w:val="24"/>
          <w:highlight w:val="none"/>
        </w:rPr>
        <w:t>“投标人须知前附表”</w:t>
      </w:r>
      <w:r>
        <w:rPr>
          <w:rFonts w:hint="eastAsia" w:ascii="宋体" w:hAnsi="宋体" w:eastAsia="宋体" w:cs="宋体"/>
          <w:color w:val="auto"/>
          <w:kern w:val="0"/>
          <w:sz w:val="24"/>
          <w:szCs w:val="24"/>
          <w:highlight w:val="none"/>
          <w:lang w:val="en-US" w:eastAsia="zh-CN" w:bidi="ar"/>
        </w:rPr>
        <w:t>确定中标人；招标文件未规定的，采取随机抽取的方式确定。采购人是否委托评标委员会直接确定中标人，见</w:t>
      </w:r>
      <w:r>
        <w:rPr>
          <w:rFonts w:hint="eastAsia" w:ascii="宋体" w:hAnsi="宋体" w:eastAsia="宋体" w:cs="宋体"/>
          <w:color w:val="auto"/>
          <w:sz w:val="24"/>
          <w:szCs w:val="24"/>
          <w:highlight w:val="none"/>
        </w:rPr>
        <w:t>“投标人须知前附表”</w:t>
      </w:r>
      <w:r>
        <w:rPr>
          <w:rFonts w:hint="eastAsia" w:ascii="宋体" w:hAnsi="宋体" w:eastAsia="宋体" w:cs="宋体"/>
          <w:color w:val="auto"/>
          <w:kern w:val="0"/>
          <w:sz w:val="24"/>
          <w:szCs w:val="24"/>
          <w:highlight w:val="none"/>
          <w:lang w:val="en-US" w:eastAsia="zh-CN" w:bidi="ar"/>
        </w:rPr>
        <w:t>。</w:t>
      </w:r>
    </w:p>
    <w:p w14:paraId="18971451">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4"/>
          <w:highlight w:val="none"/>
          <w:lang w:val="en-US" w:eastAsia="zh-CN" w:bidi="ar-SA"/>
        </w:rPr>
      </w:pPr>
      <w:bookmarkStart w:id="256" w:name="_Toc24110"/>
      <w:bookmarkStart w:id="257" w:name="_Toc140132794"/>
      <w:bookmarkStart w:id="258" w:name="_Toc163492861"/>
      <w:r>
        <w:rPr>
          <w:rFonts w:hint="eastAsia" w:ascii="宋体" w:hAnsi="宋体" w:eastAsia="宋体" w:cs="宋体"/>
          <w:b/>
          <w:bCs/>
          <w:color w:val="auto"/>
          <w:kern w:val="2"/>
          <w:sz w:val="24"/>
          <w:szCs w:val="24"/>
          <w:highlight w:val="none"/>
          <w:lang w:val="en-US" w:eastAsia="zh-CN" w:bidi="ar-SA"/>
        </w:rPr>
        <w:t>31.中标结果公告</w:t>
      </w:r>
      <w:bookmarkEnd w:id="256"/>
      <w:bookmarkEnd w:id="257"/>
      <w:bookmarkEnd w:id="258"/>
    </w:p>
    <w:p w14:paraId="5975ECA2">
      <w:pPr>
        <w:pStyle w:val="37"/>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3</w:t>
      </w:r>
      <w:r>
        <w:rPr>
          <w:rFonts w:hint="eastAsia" w:ascii="宋体" w:hAnsi="宋体" w:eastAsia="宋体" w:cs="宋体"/>
          <w:bCs/>
          <w:color w:val="auto"/>
          <w:sz w:val="24"/>
          <w:szCs w:val="24"/>
          <w:highlight w:val="none"/>
          <w:lang w:val="en-US" w:eastAsia="zh-CN"/>
        </w:rPr>
        <w:t>1</w:t>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采购人或</w:t>
      </w:r>
      <w:r>
        <w:rPr>
          <w:rFonts w:hint="eastAsia" w:ascii="宋体" w:hAnsi="宋体" w:eastAsia="宋体" w:cs="宋体"/>
          <w:color w:val="auto"/>
          <w:sz w:val="24"/>
          <w:szCs w:val="24"/>
          <w:highlight w:val="none"/>
        </w:rPr>
        <w:t>采购代理机构应当自中标人确定之日起2个工作日内，在</w:t>
      </w:r>
      <w:r>
        <w:rPr>
          <w:rFonts w:hint="eastAsia" w:ascii="宋体" w:hAnsi="宋体" w:eastAsia="宋体" w:cs="宋体"/>
          <w:color w:val="auto"/>
          <w:sz w:val="24"/>
          <w:szCs w:val="24"/>
          <w:highlight w:val="none"/>
          <w:lang w:val="en-US" w:eastAsia="zh-CN"/>
        </w:rPr>
        <w:t>发布招标公告的同一</w:t>
      </w:r>
      <w:r>
        <w:rPr>
          <w:rFonts w:hint="eastAsia" w:ascii="宋体" w:hAnsi="宋体" w:eastAsia="宋体" w:cs="宋体"/>
          <w:color w:val="auto"/>
          <w:sz w:val="24"/>
          <w:szCs w:val="24"/>
          <w:highlight w:val="none"/>
        </w:rPr>
        <w:t>媒体上发布中标结果公告，</w:t>
      </w:r>
      <w:r>
        <w:rPr>
          <w:rFonts w:hint="eastAsia" w:ascii="宋体" w:hAnsi="宋体" w:eastAsia="宋体" w:cs="宋体"/>
          <w:color w:val="auto"/>
          <w:sz w:val="24"/>
          <w:szCs w:val="24"/>
          <w:highlight w:val="none"/>
          <w:lang w:val="en-US" w:eastAsia="zh-CN"/>
        </w:rPr>
        <w:t>同时向中标人</w:t>
      </w:r>
      <w:r>
        <w:rPr>
          <w:rFonts w:hint="eastAsia" w:ascii="宋体" w:hAnsi="宋体" w:eastAsia="宋体" w:cs="宋体"/>
          <w:color w:val="auto"/>
          <w:sz w:val="24"/>
          <w:szCs w:val="24"/>
          <w:highlight w:val="none"/>
        </w:rPr>
        <w:t>发出中标通知书</w:t>
      </w:r>
      <w:r>
        <w:rPr>
          <w:rFonts w:hint="eastAsia" w:ascii="宋体" w:hAnsi="宋体" w:eastAsia="宋体" w:cs="宋体"/>
          <w:color w:val="auto"/>
          <w:sz w:val="24"/>
          <w:szCs w:val="24"/>
          <w:highlight w:val="none"/>
          <w:lang w:eastAsia="zh-CN"/>
        </w:rPr>
        <w:t>。招标文件随中标结果同时公告，</w:t>
      </w:r>
      <w:r>
        <w:rPr>
          <w:rFonts w:hint="eastAsia" w:ascii="宋体" w:hAnsi="宋体" w:eastAsia="宋体" w:cs="宋体"/>
          <w:color w:val="auto"/>
          <w:sz w:val="24"/>
          <w:szCs w:val="24"/>
          <w:highlight w:val="none"/>
        </w:rPr>
        <w:t>中标结果公告期限为1个工作日。</w:t>
      </w:r>
    </w:p>
    <w:p w14:paraId="5352A1FC">
      <w:pPr>
        <w:pStyle w:val="37"/>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rPr>
        <w:t>3</w:t>
      </w:r>
      <w:r>
        <w:rPr>
          <w:rFonts w:hint="eastAsia" w:ascii="宋体" w:hAnsi="宋体" w:eastAsia="宋体" w:cs="宋体"/>
          <w:bCs/>
          <w:color w:val="auto"/>
          <w:sz w:val="24"/>
          <w:szCs w:val="24"/>
          <w:highlight w:val="none"/>
          <w:lang w:val="en-US" w:eastAsia="zh-CN"/>
        </w:rPr>
        <w:t>1</w:t>
      </w:r>
      <w:r>
        <w:rPr>
          <w:rFonts w:hint="eastAsia" w:ascii="宋体" w:hAnsi="宋体" w:eastAsia="宋体" w:cs="宋体"/>
          <w:bCs/>
          <w:color w:val="auto"/>
          <w:sz w:val="24"/>
          <w:szCs w:val="24"/>
          <w:highlight w:val="none"/>
        </w:rPr>
        <w:t>.2</w:t>
      </w:r>
      <w:r>
        <w:rPr>
          <w:rFonts w:hint="eastAsia" w:ascii="宋体" w:hAnsi="宋体" w:eastAsia="宋体" w:cs="宋体"/>
          <w:bCs/>
          <w:color w:val="auto"/>
          <w:sz w:val="24"/>
          <w:szCs w:val="24"/>
          <w:highlight w:val="none"/>
          <w:lang w:eastAsia="zh-CN"/>
        </w:rPr>
        <w:t>中标供应商为中小企业</w:t>
      </w:r>
      <w:r>
        <w:rPr>
          <w:rFonts w:hint="eastAsia" w:ascii="宋体" w:hAnsi="宋体" w:eastAsia="宋体" w:cs="宋体"/>
          <w:bCs/>
          <w:color w:val="auto"/>
          <w:sz w:val="24"/>
          <w:szCs w:val="24"/>
          <w:highlight w:val="none"/>
          <w:lang w:val="en-US" w:eastAsia="zh-CN"/>
        </w:rPr>
        <w:t>享受中小企业扶持政策的</w:t>
      </w:r>
      <w:r>
        <w:rPr>
          <w:rFonts w:hint="eastAsia" w:ascii="宋体" w:hAnsi="宋体" w:eastAsia="宋体" w:cs="宋体"/>
          <w:bCs/>
          <w:color w:val="auto"/>
          <w:sz w:val="24"/>
          <w:szCs w:val="24"/>
          <w:highlight w:val="none"/>
          <w:lang w:eastAsia="zh-CN"/>
        </w:rPr>
        <w:t>，其“中小企业声明函”随中标结果同时公告。中标供应商为残疾人福利性单位的，其“残疾人福利性单位声明函”随中标结果同时公告。</w:t>
      </w:r>
    </w:p>
    <w:p w14:paraId="3302A7DA">
      <w:pPr>
        <w:pStyle w:val="37"/>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31.3</w:t>
      </w:r>
      <w:r>
        <w:rPr>
          <w:rFonts w:hint="eastAsia" w:ascii="宋体" w:hAnsi="宋体" w:eastAsia="宋体" w:cs="宋体"/>
          <w:color w:val="auto"/>
          <w:sz w:val="24"/>
          <w:szCs w:val="24"/>
          <w:highlight w:val="none"/>
        </w:rPr>
        <w:t>项目采购采用最低评标价法的，公告中标结果时同时公告因落实政府采购政策等原因进行价格扣除后中标供应商的评审报价；项目采购采用综合评分法的，公告中标结果时同时公告中标供应商的评审总得分。</w:t>
      </w:r>
    </w:p>
    <w:p w14:paraId="24E8EB4D">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4"/>
          <w:highlight w:val="none"/>
          <w:lang w:val="en-US" w:eastAsia="zh-CN" w:bidi="ar-SA"/>
        </w:rPr>
      </w:pPr>
      <w:bookmarkStart w:id="259" w:name="_Toc140132795"/>
      <w:bookmarkStart w:id="260" w:name="_Toc10669"/>
      <w:bookmarkStart w:id="261" w:name="_Toc163492862"/>
      <w:r>
        <w:rPr>
          <w:rFonts w:hint="eastAsia" w:ascii="宋体" w:hAnsi="宋体" w:eastAsia="宋体" w:cs="宋体"/>
          <w:b/>
          <w:bCs/>
          <w:color w:val="auto"/>
          <w:kern w:val="2"/>
          <w:sz w:val="24"/>
          <w:szCs w:val="24"/>
          <w:highlight w:val="none"/>
          <w:lang w:val="en-US" w:eastAsia="zh-CN" w:bidi="ar-SA"/>
        </w:rPr>
        <w:t>32.中标通知</w:t>
      </w:r>
      <w:bookmarkEnd w:id="259"/>
      <w:bookmarkEnd w:id="260"/>
      <w:bookmarkEnd w:id="261"/>
    </w:p>
    <w:p w14:paraId="41D33E18">
      <w:pPr>
        <w:pStyle w:val="37"/>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3</w:t>
      </w:r>
      <w:r>
        <w:rPr>
          <w:rFonts w:hint="eastAsia" w:ascii="宋体" w:hAnsi="宋体" w:eastAsia="宋体" w:cs="宋体"/>
          <w:bCs/>
          <w:color w:val="auto"/>
          <w:sz w:val="24"/>
          <w:szCs w:val="24"/>
          <w:highlight w:val="none"/>
          <w:lang w:val="en-US" w:eastAsia="zh-CN"/>
        </w:rPr>
        <w:t>2</w:t>
      </w:r>
      <w:r>
        <w:rPr>
          <w:rFonts w:hint="eastAsia" w:ascii="宋体" w:hAnsi="宋体" w:eastAsia="宋体" w:cs="宋体"/>
          <w:color w:val="auto"/>
          <w:sz w:val="24"/>
          <w:szCs w:val="24"/>
          <w:highlight w:val="none"/>
        </w:rPr>
        <w:t>.1采购人和采购代理机构以书面形式向中标人发出中标通知书，同时将招标结果通知未中标的投标人。对未通过资格审查的投标人，应当告知其未通过的原因；采用综合评分法评审的，还应当告知未中标人本人的评审得分与排序。</w:t>
      </w:r>
    </w:p>
    <w:p w14:paraId="67E9F9A5">
      <w:pPr>
        <w:pStyle w:val="37"/>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32.2中标通知书对采购人和中标供应商均具有法律效力。中标通知书发出后，采购人改变中标结果的，或者中标供应商放弃中标项目的，应当依法承担法律责任。</w:t>
      </w:r>
    </w:p>
    <w:p w14:paraId="004C264E">
      <w:pPr>
        <w:pStyle w:val="4"/>
        <w:keepNext w:val="0"/>
        <w:keepLines w:val="0"/>
        <w:pageBreakBefore w:val="0"/>
        <w:widowControl w:val="0"/>
        <w:numPr>
          <w:ilvl w:val="0"/>
          <w:numId w:val="0"/>
        </w:numPr>
        <w:kinsoku/>
        <w:wordWrap/>
        <w:overflowPunct/>
        <w:topLinePunct w:val="0"/>
        <w:autoSpaceDE/>
        <w:autoSpaceDN/>
        <w:bidi w:val="0"/>
        <w:adjustRightInd/>
        <w:snapToGrid/>
        <w:spacing w:before="120" w:after="120" w:line="240" w:lineRule="auto"/>
        <w:ind w:left="420" w:leftChars="0" w:hanging="420" w:firstLineChars="0"/>
        <w:jc w:val="both"/>
        <w:textAlignment w:val="auto"/>
        <w:rPr>
          <w:rFonts w:hint="eastAsia" w:ascii="宋体" w:hAnsi="宋体" w:eastAsia="宋体" w:cs="宋体"/>
          <w:b/>
          <w:bCs/>
          <w:color w:val="auto"/>
          <w:kern w:val="2"/>
          <w:sz w:val="24"/>
          <w:szCs w:val="24"/>
          <w:highlight w:val="none"/>
          <w:lang w:val="en-US" w:eastAsia="zh-CN" w:bidi="ar-SA"/>
        </w:rPr>
      </w:pPr>
      <w:bookmarkStart w:id="262" w:name="_Toc163492863"/>
      <w:bookmarkStart w:id="263" w:name="_Toc25579"/>
      <w:r>
        <w:rPr>
          <w:rFonts w:hint="eastAsia" w:ascii="宋体" w:hAnsi="宋体" w:eastAsia="宋体" w:cs="宋体"/>
          <w:b/>
          <w:bCs/>
          <w:color w:val="auto"/>
          <w:kern w:val="2"/>
          <w:sz w:val="24"/>
          <w:szCs w:val="24"/>
          <w:highlight w:val="none"/>
          <w:lang w:val="en-US" w:eastAsia="zh-CN" w:bidi="ar-SA"/>
        </w:rPr>
        <w:t>（九）签订</w:t>
      </w:r>
      <w:bookmarkStart w:id="264" w:name="_Toc155185880"/>
      <w:bookmarkStart w:id="265" w:name="_Toc140132796"/>
      <w:r>
        <w:rPr>
          <w:rFonts w:hint="eastAsia" w:ascii="宋体" w:hAnsi="宋体" w:eastAsia="宋体" w:cs="宋体"/>
          <w:b/>
          <w:bCs/>
          <w:color w:val="auto"/>
          <w:kern w:val="2"/>
          <w:sz w:val="24"/>
          <w:szCs w:val="24"/>
          <w:highlight w:val="none"/>
          <w:lang w:val="en-US" w:eastAsia="zh-CN" w:bidi="ar-SA"/>
        </w:rPr>
        <w:t>合同</w:t>
      </w:r>
      <w:bookmarkEnd w:id="262"/>
      <w:bookmarkEnd w:id="263"/>
      <w:bookmarkEnd w:id="264"/>
      <w:bookmarkEnd w:id="265"/>
    </w:p>
    <w:p w14:paraId="547E6B99">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4"/>
          <w:highlight w:val="none"/>
          <w:lang w:val="en-US" w:eastAsia="zh-CN" w:bidi="ar-SA"/>
        </w:rPr>
      </w:pPr>
      <w:bookmarkStart w:id="266" w:name="_Toc163492864"/>
      <w:bookmarkStart w:id="267" w:name="_Toc140132797"/>
      <w:bookmarkStart w:id="268" w:name="_Toc20208"/>
      <w:r>
        <w:rPr>
          <w:rFonts w:hint="eastAsia" w:ascii="宋体" w:hAnsi="宋体" w:eastAsia="宋体" w:cs="宋体"/>
          <w:b/>
          <w:bCs/>
          <w:color w:val="auto"/>
          <w:kern w:val="2"/>
          <w:sz w:val="24"/>
          <w:szCs w:val="24"/>
          <w:highlight w:val="none"/>
          <w:lang w:val="en-US" w:eastAsia="zh-CN" w:bidi="ar-SA"/>
        </w:rPr>
        <w:t>33.履约保证金</w:t>
      </w:r>
      <w:bookmarkEnd w:id="266"/>
      <w:bookmarkEnd w:id="267"/>
      <w:bookmarkEnd w:id="268"/>
    </w:p>
    <w:p w14:paraId="77717F01">
      <w:pPr>
        <w:pStyle w:val="37"/>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3</w:t>
      </w:r>
      <w:r>
        <w:rPr>
          <w:rFonts w:hint="eastAsia" w:ascii="宋体" w:hAnsi="宋体" w:eastAsia="宋体" w:cs="宋体"/>
          <w:bCs/>
          <w:color w:val="auto"/>
          <w:sz w:val="24"/>
          <w:szCs w:val="24"/>
          <w:highlight w:val="none"/>
          <w:lang w:val="en-US" w:eastAsia="zh-CN"/>
        </w:rPr>
        <w:t>3</w:t>
      </w:r>
      <w:r>
        <w:rPr>
          <w:rFonts w:hint="eastAsia" w:ascii="宋体" w:hAnsi="宋体" w:eastAsia="宋体" w:cs="宋体"/>
          <w:color w:val="auto"/>
          <w:sz w:val="24"/>
          <w:szCs w:val="24"/>
          <w:highlight w:val="none"/>
        </w:rPr>
        <w:t>.1在签订合同前，中标人应按“投标人须知前附表”规定的金额、担保形式和采购人认可的履约担保格式向采购人提交履约保证金。</w:t>
      </w:r>
    </w:p>
    <w:p w14:paraId="73BC7DAF">
      <w:pPr>
        <w:pStyle w:val="37"/>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3</w:t>
      </w:r>
      <w:r>
        <w:rPr>
          <w:rFonts w:hint="eastAsia" w:ascii="宋体" w:hAnsi="宋体" w:eastAsia="宋体" w:cs="宋体"/>
          <w:bCs/>
          <w:color w:val="auto"/>
          <w:sz w:val="24"/>
          <w:szCs w:val="24"/>
          <w:highlight w:val="none"/>
          <w:lang w:val="en-US" w:eastAsia="zh-CN"/>
        </w:rPr>
        <w:t>3</w:t>
      </w:r>
      <w:r>
        <w:rPr>
          <w:rFonts w:hint="eastAsia" w:ascii="宋体" w:hAnsi="宋体" w:eastAsia="宋体" w:cs="宋体"/>
          <w:color w:val="auto"/>
          <w:sz w:val="24"/>
          <w:szCs w:val="24"/>
          <w:highlight w:val="none"/>
        </w:rPr>
        <w:t>.2中标人不能按本章第3</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.1项要求提交履约担保的，视为放弃中标，给采购人造成损失的，中标人还应当承担民事责任。</w:t>
      </w:r>
    </w:p>
    <w:p w14:paraId="4B3DD6F8">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4"/>
          <w:highlight w:val="none"/>
          <w:lang w:val="en-US" w:eastAsia="zh-CN" w:bidi="ar-SA"/>
        </w:rPr>
      </w:pPr>
      <w:bookmarkStart w:id="269" w:name="_Toc140132798"/>
      <w:bookmarkStart w:id="270" w:name="_Toc163492865"/>
      <w:bookmarkStart w:id="271" w:name="_Toc12503"/>
      <w:r>
        <w:rPr>
          <w:rFonts w:hint="eastAsia" w:ascii="宋体" w:hAnsi="宋体" w:eastAsia="宋体" w:cs="宋体"/>
          <w:b/>
          <w:bCs/>
          <w:color w:val="auto"/>
          <w:kern w:val="2"/>
          <w:sz w:val="24"/>
          <w:szCs w:val="24"/>
          <w:highlight w:val="none"/>
          <w:lang w:val="en-US" w:eastAsia="zh-CN" w:bidi="ar-SA"/>
        </w:rPr>
        <w:t>34.签订合同</w:t>
      </w:r>
      <w:bookmarkEnd w:id="269"/>
      <w:bookmarkEnd w:id="270"/>
      <w:bookmarkEnd w:id="271"/>
    </w:p>
    <w:p w14:paraId="77507EBB">
      <w:pPr>
        <w:pStyle w:val="37"/>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3</w:t>
      </w:r>
      <w:r>
        <w:rPr>
          <w:rFonts w:hint="eastAsia" w:ascii="宋体" w:hAnsi="宋体" w:eastAsia="宋体" w:cs="宋体"/>
          <w:bCs/>
          <w:color w:val="auto"/>
          <w:sz w:val="24"/>
          <w:szCs w:val="24"/>
          <w:highlight w:val="none"/>
          <w:lang w:val="en-US" w:eastAsia="zh-CN"/>
        </w:rPr>
        <w:t>4</w:t>
      </w:r>
      <w:r>
        <w:rPr>
          <w:rFonts w:hint="eastAsia" w:ascii="宋体" w:hAnsi="宋体" w:eastAsia="宋体" w:cs="宋体"/>
          <w:color w:val="auto"/>
          <w:sz w:val="24"/>
          <w:szCs w:val="24"/>
          <w:highlight w:val="none"/>
        </w:rPr>
        <w:t>.1 采购人和中标人应当自中标通知书发出之日起</w:t>
      </w:r>
      <w:r>
        <w:rPr>
          <w:rFonts w:hint="eastAsia" w:ascii="宋体" w:hAnsi="宋体" w:eastAsia="宋体" w:cs="宋体"/>
          <w:color w:val="auto"/>
          <w:sz w:val="24"/>
          <w:szCs w:val="24"/>
          <w:highlight w:val="none"/>
          <w:lang w:val="en-US" w:eastAsia="zh-CN"/>
        </w:rPr>
        <w:t>25</w:t>
      </w:r>
      <w:r>
        <w:rPr>
          <w:rFonts w:hint="eastAsia" w:ascii="宋体" w:hAnsi="宋体" w:eastAsia="宋体" w:cs="宋体"/>
          <w:color w:val="auto"/>
          <w:sz w:val="24"/>
          <w:szCs w:val="24"/>
          <w:highlight w:val="none"/>
        </w:rPr>
        <w:t>天内，根据招标文件和中标人的投标文件订立书面合同。采购人因不可抗力原因迟延签订合同的，应当自不可抗力事由消除之日起7日内完成合同签订事宜。所签订的合同不得对招标文件和中标人投标文件作实质性修改。中标人无正当理由拒签合同，给采购人造成损失的，中标人还应当承担民事责任。</w:t>
      </w:r>
    </w:p>
    <w:p w14:paraId="72CF4FDD">
      <w:pPr>
        <w:pStyle w:val="37"/>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34.2 中标人拒绝与采购人签订合同的，采购人可以按照评标报告推荐的中标候选人名单排序，确定下一候选人为中标人，也可以重新开展政府采购活动。</w:t>
      </w:r>
    </w:p>
    <w:p w14:paraId="0D3421B6">
      <w:pPr>
        <w:pStyle w:val="37"/>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3</w:t>
      </w:r>
      <w:r>
        <w:rPr>
          <w:rFonts w:hint="eastAsia" w:ascii="宋体" w:hAnsi="宋体" w:eastAsia="宋体" w:cs="宋体"/>
          <w:bCs/>
          <w:color w:val="auto"/>
          <w:sz w:val="24"/>
          <w:szCs w:val="24"/>
          <w:highlight w:val="none"/>
          <w:lang w:val="en-US" w:eastAsia="zh-CN"/>
        </w:rPr>
        <w:t>4</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 xml:space="preserve"> 采购人和中标人不得向对方提出任何不合理的要求，作为签订合同的条件，双方不得私下订立背离合同实质性内容的协议。</w:t>
      </w:r>
    </w:p>
    <w:p w14:paraId="5551DDAE">
      <w:pPr>
        <w:pStyle w:val="37"/>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34.4 联合体中标的，联合体各方应当共同与采购人签订合同，就采购合同约定的事项向采购人承担连带责任。</w:t>
      </w:r>
    </w:p>
    <w:p w14:paraId="2BA187E8">
      <w:pPr>
        <w:pStyle w:val="37"/>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color w:val="auto"/>
          <w:sz w:val="24"/>
          <w:szCs w:val="24"/>
          <w:highlight w:val="none"/>
          <w:lang w:val="en-US" w:eastAsia="zh-CN"/>
        </w:rPr>
        <w:t>34.5 本项目的非主体、非关键性工作是否允许分包，见“投标人须知前附表”。采购人允许采用分包方式履行合同的，中标人可以依法在中标后将中标项目的非主体、非关键性工作采取分包方式履行合同。政府采购合同分包履行的，应当在投标文件中载明分包承担主体，分包承担主体应当具备相应资质条件且不得再次分包，否则</w:t>
      </w:r>
      <w:r>
        <w:rPr>
          <w:rFonts w:hint="eastAsia" w:ascii="宋体" w:hAnsi="宋体" w:eastAsia="宋体" w:cs="宋体"/>
          <w:b/>
          <w:bCs/>
          <w:color w:val="auto"/>
          <w:sz w:val="24"/>
          <w:szCs w:val="24"/>
          <w:highlight w:val="none"/>
          <w:lang w:val="en-US" w:eastAsia="zh-CN"/>
        </w:rPr>
        <w:t>投标无效</w:t>
      </w:r>
      <w:r>
        <w:rPr>
          <w:rFonts w:hint="eastAsia" w:ascii="宋体" w:hAnsi="宋体" w:eastAsia="宋体" w:cs="宋体"/>
          <w:color w:val="auto"/>
          <w:sz w:val="24"/>
          <w:szCs w:val="24"/>
          <w:highlight w:val="none"/>
          <w:lang w:val="en-US" w:eastAsia="zh-CN"/>
        </w:rPr>
        <w:t>。中标人就采购项目和分包项目向采购人负责，分包供应商就分包项目承担责任。</w:t>
      </w:r>
      <w:r>
        <w:rPr>
          <w:rFonts w:hint="eastAsia" w:ascii="宋体" w:hAnsi="宋体" w:eastAsia="宋体" w:cs="宋体"/>
          <w:b/>
          <w:bCs/>
          <w:color w:val="auto"/>
          <w:sz w:val="24"/>
          <w:szCs w:val="24"/>
          <w:highlight w:val="none"/>
          <w:lang w:val="en-US" w:eastAsia="zh-CN"/>
        </w:rPr>
        <w:t>政府采购合同不能转包。</w:t>
      </w:r>
    </w:p>
    <w:p w14:paraId="13D12B87">
      <w:pPr>
        <w:pStyle w:val="37"/>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3</w:t>
      </w:r>
      <w:r>
        <w:rPr>
          <w:rFonts w:hint="eastAsia" w:ascii="宋体" w:hAnsi="宋体" w:eastAsia="宋体" w:cs="宋体"/>
          <w:bCs/>
          <w:color w:val="auto"/>
          <w:sz w:val="24"/>
          <w:szCs w:val="24"/>
          <w:highlight w:val="none"/>
          <w:lang w:val="en-US" w:eastAsia="zh-CN"/>
        </w:rPr>
        <w:t>4</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采购合同履行中，采购人需追加与合同标的相同的</w:t>
      </w:r>
      <w:r>
        <w:rPr>
          <w:rFonts w:hint="eastAsia" w:ascii="宋体" w:hAnsi="宋体" w:eastAsia="宋体" w:cs="宋体"/>
          <w:color w:val="auto"/>
          <w:sz w:val="24"/>
          <w:szCs w:val="24"/>
          <w:highlight w:val="none"/>
          <w:lang w:val="en-US" w:eastAsia="zh-CN"/>
        </w:rPr>
        <w:t>货物、工程或者服务</w:t>
      </w:r>
      <w:r>
        <w:rPr>
          <w:rFonts w:hint="eastAsia" w:ascii="宋体" w:hAnsi="宋体" w:eastAsia="宋体" w:cs="宋体"/>
          <w:color w:val="auto"/>
          <w:sz w:val="24"/>
          <w:szCs w:val="24"/>
          <w:highlight w:val="none"/>
        </w:rPr>
        <w:t>的，在不改变合同其他条款的前提下，可以与中标人协商签订补充合同，但所有补充合同的采购金额不得超过原合同采购金额的百分之十。</w:t>
      </w:r>
    </w:p>
    <w:p w14:paraId="259D0E8B">
      <w:pPr>
        <w:pStyle w:val="37"/>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34.7 采购人应于签订合同之日起2个工作日内在政采云平台备案公示。</w:t>
      </w:r>
    </w:p>
    <w:p w14:paraId="12490EB6">
      <w:pPr>
        <w:pStyle w:val="4"/>
        <w:keepNext w:val="0"/>
        <w:keepLines w:val="0"/>
        <w:pageBreakBefore w:val="0"/>
        <w:widowControl w:val="0"/>
        <w:numPr>
          <w:ilvl w:val="0"/>
          <w:numId w:val="0"/>
        </w:numPr>
        <w:kinsoku/>
        <w:wordWrap/>
        <w:overflowPunct/>
        <w:topLinePunct w:val="0"/>
        <w:autoSpaceDE/>
        <w:autoSpaceDN/>
        <w:bidi w:val="0"/>
        <w:adjustRightInd/>
        <w:snapToGrid/>
        <w:spacing w:before="120" w:after="120" w:line="240" w:lineRule="auto"/>
        <w:ind w:left="420" w:leftChars="0" w:hanging="420" w:firstLineChars="0"/>
        <w:jc w:val="both"/>
        <w:textAlignment w:val="auto"/>
        <w:rPr>
          <w:rFonts w:hint="eastAsia" w:ascii="宋体" w:hAnsi="宋体" w:eastAsia="宋体" w:cs="宋体"/>
          <w:b/>
          <w:bCs/>
          <w:color w:val="auto"/>
          <w:kern w:val="2"/>
          <w:sz w:val="24"/>
          <w:szCs w:val="24"/>
          <w:highlight w:val="none"/>
          <w:lang w:val="en-US" w:eastAsia="zh-CN" w:bidi="ar-SA"/>
        </w:rPr>
      </w:pPr>
      <w:bookmarkStart w:id="272" w:name="_Toc4530"/>
      <w:bookmarkStart w:id="273" w:name="_Toc163492866"/>
      <w:bookmarkStart w:id="274" w:name="_Toc140132799"/>
      <w:bookmarkStart w:id="275" w:name="_Toc155185881"/>
      <w:r>
        <w:rPr>
          <w:rFonts w:hint="eastAsia" w:ascii="宋体" w:hAnsi="宋体" w:eastAsia="宋体" w:cs="宋体"/>
          <w:b/>
          <w:bCs/>
          <w:color w:val="auto"/>
          <w:kern w:val="2"/>
          <w:sz w:val="24"/>
          <w:szCs w:val="24"/>
          <w:highlight w:val="none"/>
          <w:lang w:val="en-US" w:eastAsia="zh-CN" w:bidi="ar-SA"/>
        </w:rPr>
        <w:t>（十）质疑和投诉</w:t>
      </w:r>
      <w:bookmarkEnd w:id="272"/>
      <w:bookmarkEnd w:id="273"/>
      <w:bookmarkEnd w:id="274"/>
      <w:bookmarkEnd w:id="275"/>
    </w:p>
    <w:p w14:paraId="23BE6A9F">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4"/>
          <w:highlight w:val="none"/>
          <w:lang w:val="en-US" w:eastAsia="zh-CN" w:bidi="ar-SA"/>
        </w:rPr>
      </w:pPr>
      <w:bookmarkStart w:id="276" w:name="_Toc140132800"/>
      <w:bookmarkStart w:id="277" w:name="_Toc163492867"/>
      <w:bookmarkStart w:id="278" w:name="_Toc19743"/>
      <w:r>
        <w:rPr>
          <w:rFonts w:hint="eastAsia" w:ascii="宋体" w:hAnsi="宋体" w:eastAsia="宋体" w:cs="宋体"/>
          <w:b/>
          <w:bCs/>
          <w:color w:val="auto"/>
          <w:kern w:val="2"/>
          <w:sz w:val="24"/>
          <w:szCs w:val="24"/>
          <w:highlight w:val="none"/>
          <w:lang w:val="en-US" w:eastAsia="zh-CN" w:bidi="ar-SA"/>
        </w:rPr>
        <w:t>35.质疑</w:t>
      </w:r>
      <w:bookmarkEnd w:id="276"/>
      <w:bookmarkEnd w:id="277"/>
      <w:bookmarkEnd w:id="278"/>
    </w:p>
    <w:p w14:paraId="097AA162">
      <w:pPr>
        <w:pStyle w:val="37"/>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.1供应商认为采购文件、采购过程、中标结果使自己的权益受到损害的，可以在知道或者应知其权益受到损害之日起7个工作日内，以书面形式向采购人、采购代理机构提出质疑</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详见“投标人须知前附表”</w:t>
      </w:r>
      <w:r>
        <w:rPr>
          <w:rFonts w:hint="eastAsia" w:ascii="宋体" w:hAnsi="宋体" w:eastAsia="宋体" w:cs="宋体"/>
          <w:color w:val="auto"/>
          <w:sz w:val="24"/>
          <w:szCs w:val="24"/>
          <w:highlight w:val="none"/>
        </w:rPr>
        <w:t>。供应商在法定质疑期内一次性提出针对同一采购程序环节的质疑。</w:t>
      </w:r>
    </w:p>
    <w:p w14:paraId="492A54F6">
      <w:pPr>
        <w:pStyle w:val="37"/>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.2提出质疑的供应商（以下简称质疑供应商）应当是参与所质疑项目采购活动的供应商。</w:t>
      </w:r>
    </w:p>
    <w:p w14:paraId="6503DC74">
      <w:pPr>
        <w:pStyle w:val="37"/>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35.3</w:t>
      </w:r>
      <w:r>
        <w:rPr>
          <w:rFonts w:hint="eastAsia" w:ascii="宋体" w:hAnsi="宋体" w:eastAsia="宋体" w:cs="宋体"/>
          <w:color w:val="auto"/>
          <w:sz w:val="24"/>
          <w:szCs w:val="24"/>
          <w:highlight w:val="none"/>
        </w:rPr>
        <w:t>潜在供应商已依法获取其可质疑的采购文件的，可以对该文件提出质疑。对采购文件提出质疑的，应当在获取采购文件或者采购文件公告期限届满之日起7个工作日内提出。</w:t>
      </w:r>
    </w:p>
    <w:p w14:paraId="58321ED8">
      <w:pPr>
        <w:pStyle w:val="37"/>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35.4</w:t>
      </w:r>
      <w:r>
        <w:rPr>
          <w:rFonts w:hint="eastAsia" w:ascii="宋体" w:hAnsi="宋体" w:eastAsia="宋体" w:cs="宋体"/>
          <w:color w:val="auto"/>
          <w:sz w:val="24"/>
          <w:szCs w:val="24"/>
          <w:highlight w:val="none"/>
        </w:rPr>
        <w:t>供应商提出质疑应当提交质疑函和必要的证明材料。质疑函应当包括下列内容：</w:t>
      </w:r>
    </w:p>
    <w:p w14:paraId="682A84DB">
      <w:pPr>
        <w:pStyle w:val="37"/>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）供应商的姓名或者名称、地址、邮编、联系人及联系电话；</w:t>
      </w:r>
    </w:p>
    <w:p w14:paraId="388DB77B">
      <w:pPr>
        <w:pStyle w:val="37"/>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）质疑项目的名称、</w:t>
      </w:r>
      <w:r>
        <w:rPr>
          <w:rFonts w:hint="eastAsia" w:ascii="宋体" w:hAnsi="宋体" w:eastAsia="宋体" w:cs="宋体"/>
          <w:color w:val="auto"/>
          <w:sz w:val="24"/>
          <w:szCs w:val="24"/>
          <w:highlight w:val="none"/>
          <w:lang w:val="en-US" w:eastAsia="zh-CN"/>
        </w:rPr>
        <w:t>项目</w:t>
      </w:r>
      <w:r>
        <w:rPr>
          <w:rFonts w:hint="eastAsia" w:ascii="宋体" w:hAnsi="宋体" w:eastAsia="宋体" w:cs="宋体"/>
          <w:color w:val="auto"/>
          <w:sz w:val="24"/>
          <w:szCs w:val="24"/>
          <w:highlight w:val="none"/>
        </w:rPr>
        <w:t>编号</w:t>
      </w:r>
      <w:r>
        <w:rPr>
          <w:rFonts w:hint="eastAsia"/>
          <w:color w:val="auto"/>
          <w:sz w:val="24"/>
          <w:highlight w:val="none"/>
          <w:lang w:val="en-US" w:eastAsia="zh-CN"/>
        </w:rPr>
        <w:t>/包号</w:t>
      </w:r>
      <w:r>
        <w:rPr>
          <w:rFonts w:hint="eastAsia" w:ascii="宋体" w:hAnsi="宋体" w:eastAsia="宋体" w:cs="宋体"/>
          <w:color w:val="auto"/>
          <w:sz w:val="24"/>
          <w:szCs w:val="24"/>
          <w:highlight w:val="none"/>
        </w:rPr>
        <w:t>；</w:t>
      </w:r>
    </w:p>
    <w:p w14:paraId="7C9D4714">
      <w:pPr>
        <w:pStyle w:val="37"/>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）具体、明确的质疑事项和与质疑事项相关的请求；</w:t>
      </w:r>
    </w:p>
    <w:p w14:paraId="3C52874F">
      <w:pPr>
        <w:pStyle w:val="37"/>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）事实依据；</w:t>
      </w:r>
    </w:p>
    <w:p w14:paraId="3EEC5BF9">
      <w:pPr>
        <w:pStyle w:val="37"/>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）必要的法律依据；</w:t>
      </w:r>
    </w:p>
    <w:p w14:paraId="2E14DE4D">
      <w:pPr>
        <w:pStyle w:val="37"/>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）提出质疑的日期。</w:t>
      </w:r>
    </w:p>
    <w:p w14:paraId="553B627B">
      <w:pPr>
        <w:pStyle w:val="37"/>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供应商为自然人的，应当由本人签字；供应商为法人或者其他组织的，应当由法定代表人、主要负责人，或者其授权代表签字或者盖章，并加盖公章。</w:t>
      </w:r>
    </w:p>
    <w:p w14:paraId="5BBD16A6">
      <w:pPr>
        <w:pStyle w:val="37"/>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.5质疑函不符合上述要求的，采购人或代理机构应书面告知具体事项，质疑人应当按要求进行修改或补充，并在质疑有效期限内提交。</w:t>
      </w:r>
    </w:p>
    <w:p w14:paraId="4A4B9243">
      <w:pPr>
        <w:pStyle w:val="37"/>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rPr>
        <w:t>3</w:t>
      </w:r>
      <w:r>
        <w:rPr>
          <w:rFonts w:hint="eastAsia" w:ascii="宋体" w:hAnsi="宋体" w:eastAsia="宋体" w:cs="宋体"/>
          <w:snapToGrid w:val="0"/>
          <w:color w:val="auto"/>
          <w:sz w:val="24"/>
          <w:szCs w:val="24"/>
          <w:highlight w:val="none"/>
          <w:lang w:val="en-US" w:eastAsia="zh-CN"/>
        </w:rPr>
        <w:t>5</w:t>
      </w:r>
      <w:r>
        <w:rPr>
          <w:rFonts w:hint="eastAsia" w:ascii="宋体" w:hAnsi="宋体" w:eastAsia="宋体" w:cs="宋体"/>
          <w:snapToGrid w:val="0"/>
          <w:color w:val="auto"/>
          <w:sz w:val="24"/>
          <w:szCs w:val="24"/>
          <w:highlight w:val="none"/>
        </w:rPr>
        <w:t>.</w:t>
      </w:r>
      <w:r>
        <w:rPr>
          <w:rFonts w:hint="eastAsia" w:ascii="宋体" w:hAnsi="宋体" w:eastAsia="宋体" w:cs="宋体"/>
          <w:snapToGrid w:val="0"/>
          <w:color w:val="auto"/>
          <w:sz w:val="24"/>
          <w:szCs w:val="24"/>
          <w:highlight w:val="none"/>
          <w:lang w:val="en-US" w:eastAsia="zh-CN"/>
        </w:rPr>
        <w:t>6</w:t>
      </w:r>
      <w:r>
        <w:rPr>
          <w:rFonts w:hint="eastAsia" w:ascii="宋体" w:hAnsi="宋体" w:eastAsia="宋体" w:cs="宋体"/>
          <w:snapToGrid w:val="0"/>
          <w:color w:val="auto"/>
          <w:sz w:val="24"/>
          <w:szCs w:val="24"/>
          <w:highlight w:val="none"/>
        </w:rPr>
        <w:t>投标人进行虚假和恶意</w:t>
      </w:r>
      <w:r>
        <w:rPr>
          <w:rFonts w:hint="eastAsia" w:ascii="宋体" w:hAnsi="宋体" w:eastAsia="宋体" w:cs="宋体"/>
          <w:snapToGrid w:val="0"/>
          <w:color w:val="auto"/>
          <w:sz w:val="24"/>
          <w:szCs w:val="24"/>
          <w:highlight w:val="none"/>
          <w:lang w:val="en-US" w:eastAsia="zh-CN"/>
        </w:rPr>
        <w:t>质疑投诉</w:t>
      </w:r>
      <w:r>
        <w:rPr>
          <w:rFonts w:hint="eastAsia" w:ascii="宋体" w:hAnsi="宋体" w:eastAsia="宋体" w:cs="宋体"/>
          <w:snapToGrid w:val="0"/>
          <w:color w:val="auto"/>
          <w:sz w:val="24"/>
          <w:szCs w:val="24"/>
          <w:highlight w:val="none"/>
        </w:rPr>
        <w:t>的，采购代理机构将提请有关部门将其列入不良记录名单，在一至三年内禁止参加政府采购活动，并将处理决定在相关政府采购媒体上公布。</w:t>
      </w:r>
    </w:p>
    <w:p w14:paraId="184C71DC">
      <w:pPr>
        <w:pStyle w:val="37"/>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lang w:val="en-US" w:eastAsia="zh-CN"/>
        </w:rPr>
        <w:t>35.7</w:t>
      </w:r>
      <w:r>
        <w:rPr>
          <w:rFonts w:hint="eastAsia" w:ascii="宋体" w:hAnsi="宋体" w:eastAsia="宋体" w:cs="宋体"/>
          <w:color w:val="auto"/>
          <w:sz w:val="24"/>
          <w:szCs w:val="24"/>
          <w:highlight w:val="none"/>
        </w:rPr>
        <w:t>质疑函</w:t>
      </w:r>
      <w:r>
        <w:rPr>
          <w:rFonts w:hint="eastAsia" w:ascii="宋体" w:hAnsi="宋体" w:eastAsia="宋体" w:cs="宋体"/>
          <w:color w:val="auto"/>
          <w:sz w:val="24"/>
          <w:szCs w:val="24"/>
          <w:highlight w:val="none"/>
          <w:lang w:val="en-US" w:eastAsia="zh-CN"/>
        </w:rPr>
        <w:t>应当使用中文，并采用财政部门制定的范本。</w:t>
      </w:r>
    </w:p>
    <w:p w14:paraId="6E7964C0">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4"/>
          <w:highlight w:val="none"/>
          <w:lang w:val="en-US" w:eastAsia="zh-CN" w:bidi="ar-SA"/>
        </w:rPr>
      </w:pPr>
      <w:bookmarkStart w:id="279" w:name="_Toc27598"/>
      <w:bookmarkStart w:id="280" w:name="_Toc140132801"/>
      <w:bookmarkStart w:id="281" w:name="_Toc163492868"/>
      <w:r>
        <w:rPr>
          <w:rFonts w:hint="eastAsia" w:ascii="宋体" w:hAnsi="宋体" w:eastAsia="宋体" w:cs="宋体"/>
          <w:b/>
          <w:bCs/>
          <w:color w:val="auto"/>
          <w:kern w:val="2"/>
          <w:sz w:val="24"/>
          <w:szCs w:val="24"/>
          <w:highlight w:val="none"/>
          <w:lang w:val="en-US" w:eastAsia="zh-CN" w:bidi="ar-SA"/>
        </w:rPr>
        <w:t>36.质疑答复</w:t>
      </w:r>
      <w:bookmarkEnd w:id="279"/>
      <w:bookmarkEnd w:id="280"/>
      <w:bookmarkEnd w:id="281"/>
    </w:p>
    <w:p w14:paraId="43D7F91D">
      <w:pPr>
        <w:pStyle w:val="37"/>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rPr>
      </w:pPr>
      <w:bookmarkStart w:id="282" w:name="_Toc140132802"/>
      <w:bookmarkStart w:id="283" w:name="_Toc163492869"/>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.1采购人、采购代理机构不得拒收质疑供应商在法定质疑期内发出的质疑函，应当在收到质疑函后7个工作日内作出答复，并以书面形式通知质疑供应商和其他有关供应商。</w:t>
      </w:r>
    </w:p>
    <w:p w14:paraId="4E9D6E2D">
      <w:pPr>
        <w:pStyle w:val="37"/>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36.2供应商对评审过程、中标结果提出质疑的，采购人、采购代理机构可以组织原评标委员会协助答复质疑。</w:t>
      </w:r>
    </w:p>
    <w:p w14:paraId="0056DA51">
      <w:pPr>
        <w:pStyle w:val="37"/>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质疑答复应当包括下列内容：</w:t>
      </w:r>
    </w:p>
    <w:p w14:paraId="34339C8A">
      <w:pPr>
        <w:pStyle w:val="37"/>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val="zh-CN" w:eastAsia="zh-CN"/>
        </w:rPr>
        <w:t>）质疑供应商的姓名或者名称；</w:t>
      </w:r>
    </w:p>
    <w:p w14:paraId="2F251724">
      <w:pPr>
        <w:pStyle w:val="37"/>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val="zh-CN" w:eastAsia="zh-CN"/>
        </w:rPr>
        <w:t>）收到质疑函的日期、质疑项目名称及</w:t>
      </w:r>
      <w:r>
        <w:rPr>
          <w:rFonts w:hint="eastAsia" w:ascii="宋体" w:hAnsi="宋体" w:eastAsia="宋体" w:cs="宋体"/>
          <w:color w:val="auto"/>
          <w:sz w:val="24"/>
          <w:szCs w:val="24"/>
          <w:highlight w:val="none"/>
          <w:lang w:val="en-US" w:eastAsia="zh-CN"/>
        </w:rPr>
        <w:t>项目</w:t>
      </w:r>
      <w:r>
        <w:rPr>
          <w:rFonts w:hint="eastAsia" w:ascii="宋体" w:hAnsi="宋体" w:eastAsia="宋体" w:cs="宋体"/>
          <w:color w:val="auto"/>
          <w:sz w:val="24"/>
          <w:szCs w:val="24"/>
          <w:highlight w:val="none"/>
          <w:lang w:val="zh-CN" w:eastAsia="zh-CN"/>
        </w:rPr>
        <w:t>编号</w:t>
      </w:r>
      <w:r>
        <w:rPr>
          <w:rFonts w:hint="eastAsia"/>
          <w:color w:val="auto"/>
          <w:sz w:val="24"/>
          <w:highlight w:val="none"/>
          <w:lang w:val="en-US" w:eastAsia="zh-CN"/>
        </w:rPr>
        <w:t>/包号</w:t>
      </w:r>
      <w:r>
        <w:rPr>
          <w:rFonts w:hint="eastAsia" w:ascii="宋体" w:hAnsi="宋体" w:eastAsia="宋体" w:cs="宋体"/>
          <w:color w:val="auto"/>
          <w:sz w:val="24"/>
          <w:szCs w:val="24"/>
          <w:highlight w:val="none"/>
          <w:lang w:val="zh-CN" w:eastAsia="zh-CN"/>
        </w:rPr>
        <w:t>；</w:t>
      </w:r>
    </w:p>
    <w:p w14:paraId="1365ED73">
      <w:pPr>
        <w:pStyle w:val="37"/>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val="zh-CN" w:eastAsia="zh-CN"/>
        </w:rPr>
        <w:t>）质疑事项、质疑答复的具体内容、事实依据和法律依据；</w:t>
      </w:r>
    </w:p>
    <w:p w14:paraId="3C71AFF8">
      <w:pPr>
        <w:pStyle w:val="37"/>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val="zh-CN" w:eastAsia="zh-CN"/>
        </w:rPr>
        <w:t>）告知质疑供应商依法投诉的权利；</w:t>
      </w:r>
    </w:p>
    <w:p w14:paraId="77F64A38">
      <w:pPr>
        <w:pStyle w:val="37"/>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val="zh-CN" w:eastAsia="zh-CN"/>
        </w:rPr>
        <w:t>）质疑答复人名称；</w:t>
      </w:r>
    </w:p>
    <w:p w14:paraId="52743A2B">
      <w:pPr>
        <w:pStyle w:val="37"/>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lang w:val="zh-CN" w:eastAsia="zh-CN"/>
        </w:rPr>
        <w:t>）答复质疑的日期。</w:t>
      </w:r>
    </w:p>
    <w:p w14:paraId="56A5E1E9">
      <w:pPr>
        <w:pStyle w:val="37"/>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质疑答复的内容不得涉及商业秘密。</w:t>
      </w:r>
    </w:p>
    <w:p w14:paraId="631FD1E7">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4"/>
          <w:highlight w:val="none"/>
          <w:lang w:val="en-US" w:eastAsia="zh-CN" w:bidi="ar-SA"/>
        </w:rPr>
      </w:pPr>
      <w:bookmarkStart w:id="284" w:name="_Toc7181"/>
      <w:r>
        <w:rPr>
          <w:rFonts w:hint="eastAsia" w:ascii="宋体" w:hAnsi="宋体" w:eastAsia="宋体" w:cs="宋体"/>
          <w:b/>
          <w:bCs/>
          <w:color w:val="auto"/>
          <w:kern w:val="2"/>
          <w:sz w:val="24"/>
          <w:szCs w:val="24"/>
          <w:highlight w:val="none"/>
          <w:lang w:val="en-US" w:eastAsia="zh-CN" w:bidi="ar-SA"/>
        </w:rPr>
        <w:t>37.投诉</w:t>
      </w:r>
      <w:bookmarkEnd w:id="282"/>
      <w:bookmarkEnd w:id="283"/>
      <w:bookmarkEnd w:id="284"/>
    </w:p>
    <w:p w14:paraId="34C5EAA0">
      <w:pPr>
        <w:pStyle w:val="37"/>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37.1</w:t>
      </w:r>
      <w:r>
        <w:rPr>
          <w:rFonts w:hint="eastAsia" w:ascii="宋体" w:hAnsi="宋体" w:eastAsia="宋体" w:cs="宋体"/>
          <w:color w:val="auto"/>
          <w:sz w:val="24"/>
          <w:szCs w:val="24"/>
          <w:highlight w:val="none"/>
        </w:rPr>
        <w:t>质疑供应商对采购人、采购代理机构的答复不满意，或者采购人、采购代理机构未在规定时间内作出答复的，可以在答复期满后15个工作日内向</w:t>
      </w:r>
      <w:r>
        <w:rPr>
          <w:rFonts w:hint="eastAsia" w:ascii="宋体" w:hAnsi="宋体" w:eastAsia="宋体" w:cs="宋体"/>
          <w:color w:val="auto"/>
          <w:sz w:val="24"/>
          <w:szCs w:val="24"/>
          <w:highlight w:val="none"/>
          <w:lang w:val="en-US" w:eastAsia="zh-CN"/>
        </w:rPr>
        <w:t>同级政府采购监督管理部门</w:t>
      </w:r>
      <w:r>
        <w:rPr>
          <w:rFonts w:hint="eastAsia" w:ascii="宋体" w:hAnsi="宋体" w:eastAsia="宋体" w:cs="宋体"/>
          <w:color w:val="auto"/>
          <w:sz w:val="24"/>
          <w:szCs w:val="24"/>
          <w:highlight w:val="none"/>
        </w:rPr>
        <w:t>提起投诉。</w:t>
      </w:r>
    </w:p>
    <w:p w14:paraId="7AE3C0F6">
      <w:pPr>
        <w:pStyle w:val="37"/>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37.2</w:t>
      </w:r>
      <w:r>
        <w:rPr>
          <w:rFonts w:hint="eastAsia" w:ascii="宋体" w:hAnsi="宋体" w:eastAsia="宋体" w:cs="宋体"/>
          <w:color w:val="auto"/>
          <w:sz w:val="24"/>
          <w:szCs w:val="24"/>
          <w:highlight w:val="none"/>
        </w:rPr>
        <w:t>投诉人投诉时,应当提交投诉书和必要的证明材料，并按照被投诉采购人、采购代理机构（以下简称被投诉人）和与投诉事项有关的供应商数量提供投诉书的副本。投诉书应当包括下列内容：</w:t>
      </w:r>
    </w:p>
    <w:p w14:paraId="49546547">
      <w:pPr>
        <w:pStyle w:val="37"/>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）投诉人和被投诉人的姓名或者名称、通讯地址、邮编、联系人及联系电话；</w:t>
      </w:r>
    </w:p>
    <w:p w14:paraId="1A65A103">
      <w:pPr>
        <w:pStyle w:val="37"/>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）质疑和质疑答复情况说明及相关证明材料；</w:t>
      </w:r>
    </w:p>
    <w:p w14:paraId="675A6D97">
      <w:pPr>
        <w:pStyle w:val="37"/>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）具体、明确的投诉事项和与投诉事项相关的投诉请求；</w:t>
      </w:r>
    </w:p>
    <w:p w14:paraId="4A0C1598">
      <w:pPr>
        <w:pStyle w:val="37"/>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）事实依据；</w:t>
      </w:r>
    </w:p>
    <w:p w14:paraId="4CFD3E01">
      <w:pPr>
        <w:pStyle w:val="37"/>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）法律依据；</w:t>
      </w:r>
    </w:p>
    <w:p w14:paraId="35FA6A4A">
      <w:pPr>
        <w:pStyle w:val="37"/>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）提起投诉的日期。</w:t>
      </w:r>
    </w:p>
    <w:p w14:paraId="4FC7C3AB">
      <w:pPr>
        <w:pStyle w:val="37"/>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投诉人为自然人的，应当由本人签字；投诉人为法人或者其他组织的，应当由法定代表人、主要负责人，或者其授权代表签字或者盖章，并加盖公章。</w:t>
      </w:r>
    </w:p>
    <w:p w14:paraId="4DF335BD">
      <w:pPr>
        <w:pStyle w:val="37"/>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lang w:val="en-US" w:eastAsia="zh-CN"/>
        </w:rPr>
        <w:t>37.3</w:t>
      </w:r>
      <w:r>
        <w:rPr>
          <w:rFonts w:hint="eastAsia" w:ascii="宋体" w:hAnsi="宋体" w:eastAsia="宋体" w:cs="宋体"/>
          <w:color w:val="auto"/>
          <w:sz w:val="24"/>
          <w:szCs w:val="24"/>
          <w:highlight w:val="none"/>
        </w:rPr>
        <w:t>供应商</w:t>
      </w:r>
      <w:r>
        <w:rPr>
          <w:rFonts w:hint="eastAsia" w:ascii="宋体" w:hAnsi="宋体" w:eastAsia="宋体" w:cs="宋体"/>
          <w:color w:val="auto"/>
          <w:sz w:val="24"/>
          <w:szCs w:val="24"/>
          <w:highlight w:val="none"/>
          <w:lang w:val="en-US" w:eastAsia="zh-CN"/>
        </w:rPr>
        <w:t>质疑、</w:t>
      </w:r>
      <w:r>
        <w:rPr>
          <w:rFonts w:hint="eastAsia" w:ascii="宋体" w:hAnsi="宋体" w:eastAsia="宋体" w:cs="宋体"/>
          <w:color w:val="auto"/>
          <w:sz w:val="24"/>
          <w:szCs w:val="24"/>
          <w:highlight w:val="none"/>
        </w:rPr>
        <w:t>投诉</w:t>
      </w:r>
      <w:r>
        <w:rPr>
          <w:rFonts w:hint="eastAsia" w:ascii="宋体" w:hAnsi="宋体" w:eastAsia="宋体" w:cs="宋体"/>
          <w:color w:val="auto"/>
          <w:sz w:val="24"/>
          <w:szCs w:val="24"/>
          <w:highlight w:val="none"/>
          <w:lang w:val="en-US" w:eastAsia="zh-CN"/>
        </w:rPr>
        <w:t>应当有明确的请求和必要的证明材料</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供应商投诉的事项不得超出</w:t>
      </w:r>
      <w:r>
        <w:rPr>
          <w:rFonts w:hint="eastAsia" w:ascii="宋体" w:hAnsi="宋体" w:eastAsia="宋体" w:cs="宋体"/>
          <w:color w:val="auto"/>
          <w:sz w:val="24"/>
          <w:szCs w:val="24"/>
          <w:highlight w:val="none"/>
          <w:lang w:val="en-US" w:eastAsia="zh-CN"/>
        </w:rPr>
        <w:t>已</w:t>
      </w:r>
      <w:r>
        <w:rPr>
          <w:rFonts w:hint="eastAsia" w:ascii="宋体" w:hAnsi="宋体" w:eastAsia="宋体" w:cs="宋体"/>
          <w:color w:val="auto"/>
          <w:sz w:val="24"/>
          <w:szCs w:val="24"/>
          <w:highlight w:val="none"/>
        </w:rPr>
        <w:t>质疑事项的范围，但基于质疑答复内容提出的投诉事项除外</w:t>
      </w:r>
      <w:r>
        <w:rPr>
          <w:rFonts w:hint="eastAsia" w:ascii="宋体" w:hAnsi="宋体" w:eastAsia="宋体" w:cs="宋体"/>
          <w:bCs/>
          <w:color w:val="auto"/>
          <w:sz w:val="24"/>
          <w:szCs w:val="24"/>
          <w:highlight w:val="none"/>
        </w:rPr>
        <w:t>。</w:t>
      </w:r>
    </w:p>
    <w:p w14:paraId="0C7738C6">
      <w:pPr>
        <w:pStyle w:val="37"/>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bCs/>
          <w:color w:val="auto"/>
          <w:sz w:val="24"/>
          <w:szCs w:val="24"/>
          <w:highlight w:val="none"/>
        </w:rPr>
      </w:pPr>
      <w:r>
        <w:rPr>
          <w:rFonts w:hint="eastAsia" w:ascii="宋体" w:hAnsi="宋体" w:eastAsia="宋体" w:cs="宋体"/>
          <w:snapToGrid w:val="0"/>
          <w:color w:val="auto"/>
          <w:sz w:val="24"/>
          <w:szCs w:val="24"/>
          <w:highlight w:val="none"/>
          <w:lang w:val="en-US" w:eastAsia="zh-CN"/>
        </w:rPr>
        <w:t>37.4</w:t>
      </w:r>
      <w:r>
        <w:rPr>
          <w:rFonts w:hint="eastAsia" w:ascii="宋体" w:hAnsi="宋体" w:eastAsia="宋体" w:cs="宋体"/>
          <w:color w:val="auto"/>
          <w:sz w:val="24"/>
          <w:szCs w:val="24"/>
          <w:highlight w:val="none"/>
          <w:lang w:val="en-US" w:eastAsia="zh-CN"/>
        </w:rPr>
        <w:t>投诉书应当使用中文，并采用财政部门制定的范本。</w:t>
      </w:r>
    </w:p>
    <w:p w14:paraId="076E00EB">
      <w:pPr>
        <w:pStyle w:val="4"/>
        <w:keepNext w:val="0"/>
        <w:keepLines w:val="0"/>
        <w:pageBreakBefore w:val="0"/>
        <w:widowControl w:val="0"/>
        <w:numPr>
          <w:ilvl w:val="0"/>
          <w:numId w:val="0"/>
        </w:numPr>
        <w:kinsoku/>
        <w:wordWrap/>
        <w:overflowPunct/>
        <w:topLinePunct w:val="0"/>
        <w:autoSpaceDE/>
        <w:autoSpaceDN/>
        <w:bidi w:val="0"/>
        <w:adjustRightInd/>
        <w:snapToGrid/>
        <w:spacing w:before="120" w:after="120" w:line="240" w:lineRule="auto"/>
        <w:ind w:left="420" w:leftChars="0" w:hanging="420" w:firstLineChars="0"/>
        <w:jc w:val="both"/>
        <w:textAlignment w:val="auto"/>
        <w:rPr>
          <w:rFonts w:hint="eastAsia" w:ascii="宋体" w:hAnsi="宋体" w:eastAsia="宋体" w:cs="宋体"/>
          <w:b/>
          <w:bCs/>
          <w:color w:val="auto"/>
          <w:kern w:val="2"/>
          <w:sz w:val="24"/>
          <w:szCs w:val="24"/>
          <w:highlight w:val="none"/>
          <w:lang w:val="en-US" w:eastAsia="zh-CN" w:bidi="ar-SA"/>
        </w:rPr>
      </w:pPr>
      <w:bookmarkStart w:id="285" w:name="_Toc10455"/>
      <w:bookmarkStart w:id="286" w:name="_Toc155185882"/>
      <w:bookmarkStart w:id="287" w:name="_Toc140132803"/>
      <w:bookmarkStart w:id="288" w:name="_Toc163492870"/>
      <w:r>
        <w:rPr>
          <w:rFonts w:hint="eastAsia" w:ascii="宋体" w:hAnsi="宋体" w:eastAsia="宋体" w:cs="宋体"/>
          <w:b/>
          <w:bCs/>
          <w:color w:val="auto"/>
          <w:kern w:val="2"/>
          <w:sz w:val="24"/>
          <w:szCs w:val="24"/>
          <w:highlight w:val="none"/>
          <w:lang w:val="en-US" w:eastAsia="zh-CN" w:bidi="ar-SA"/>
        </w:rPr>
        <w:t>（十一）采购代理服务费</w:t>
      </w:r>
      <w:bookmarkEnd w:id="285"/>
      <w:bookmarkEnd w:id="286"/>
      <w:bookmarkEnd w:id="287"/>
      <w:bookmarkEnd w:id="288"/>
    </w:p>
    <w:p w14:paraId="3EF5B76A">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4"/>
          <w:highlight w:val="none"/>
          <w:lang w:val="en-US" w:eastAsia="zh-CN" w:bidi="ar-SA"/>
        </w:rPr>
      </w:pPr>
      <w:bookmarkStart w:id="289" w:name="_Toc140132804"/>
      <w:bookmarkStart w:id="290" w:name="_Toc8855"/>
      <w:bookmarkStart w:id="291" w:name="_Toc163492871"/>
      <w:r>
        <w:rPr>
          <w:rFonts w:hint="eastAsia" w:ascii="宋体" w:hAnsi="宋体" w:eastAsia="宋体" w:cs="宋体"/>
          <w:b/>
          <w:bCs/>
          <w:color w:val="auto"/>
          <w:kern w:val="2"/>
          <w:sz w:val="24"/>
          <w:szCs w:val="24"/>
          <w:highlight w:val="none"/>
          <w:lang w:val="en-US" w:eastAsia="zh-CN" w:bidi="ar-SA"/>
        </w:rPr>
        <w:t>38.收取方式和标准</w:t>
      </w:r>
      <w:bookmarkEnd w:id="289"/>
      <w:bookmarkEnd w:id="290"/>
      <w:bookmarkEnd w:id="291"/>
    </w:p>
    <w:p w14:paraId="0FDD9E25">
      <w:pPr>
        <w:pStyle w:val="37"/>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3</w:t>
      </w:r>
      <w:r>
        <w:rPr>
          <w:rFonts w:hint="eastAsia" w:ascii="宋体" w:hAnsi="宋体" w:eastAsia="宋体" w:cs="宋体"/>
          <w:bCs/>
          <w:color w:val="auto"/>
          <w:sz w:val="24"/>
          <w:szCs w:val="24"/>
          <w:highlight w:val="none"/>
          <w:lang w:val="en-US" w:eastAsia="zh-CN"/>
        </w:rPr>
        <w:t>8</w:t>
      </w:r>
      <w:r>
        <w:rPr>
          <w:rFonts w:hint="eastAsia" w:ascii="宋体" w:hAnsi="宋体" w:eastAsia="宋体" w:cs="宋体"/>
          <w:color w:val="auto"/>
          <w:sz w:val="24"/>
          <w:szCs w:val="24"/>
          <w:highlight w:val="none"/>
        </w:rPr>
        <w:t>.1采购代理机构按“投标人须知前附表”规定的方式和标准收取采购代理服务费。</w:t>
      </w:r>
    </w:p>
    <w:p w14:paraId="3ED844E1">
      <w:pPr>
        <w:pStyle w:val="4"/>
        <w:keepNext w:val="0"/>
        <w:keepLines w:val="0"/>
        <w:pageBreakBefore w:val="0"/>
        <w:widowControl w:val="0"/>
        <w:numPr>
          <w:ilvl w:val="0"/>
          <w:numId w:val="0"/>
        </w:numPr>
        <w:kinsoku/>
        <w:wordWrap/>
        <w:overflowPunct/>
        <w:topLinePunct w:val="0"/>
        <w:autoSpaceDE/>
        <w:autoSpaceDN/>
        <w:bidi w:val="0"/>
        <w:adjustRightInd/>
        <w:snapToGrid/>
        <w:spacing w:before="120" w:after="120" w:line="240" w:lineRule="auto"/>
        <w:ind w:left="420" w:leftChars="0" w:hanging="420" w:firstLineChars="0"/>
        <w:jc w:val="both"/>
        <w:textAlignment w:val="auto"/>
        <w:rPr>
          <w:rFonts w:hint="eastAsia" w:ascii="宋体" w:hAnsi="宋体" w:eastAsia="宋体" w:cs="宋体"/>
          <w:b/>
          <w:bCs/>
          <w:color w:val="auto"/>
          <w:kern w:val="2"/>
          <w:sz w:val="24"/>
          <w:szCs w:val="24"/>
          <w:highlight w:val="none"/>
          <w:lang w:val="en-US" w:eastAsia="zh-CN" w:bidi="ar-SA"/>
        </w:rPr>
      </w:pPr>
      <w:bookmarkStart w:id="292" w:name="_Toc155185883"/>
      <w:bookmarkStart w:id="293" w:name="_Toc10992"/>
      <w:bookmarkStart w:id="294" w:name="_Toc140132805"/>
      <w:bookmarkStart w:id="295" w:name="_Toc163492872"/>
      <w:r>
        <w:rPr>
          <w:rFonts w:hint="eastAsia" w:ascii="宋体" w:hAnsi="宋体" w:eastAsia="宋体" w:cs="宋体"/>
          <w:b/>
          <w:bCs/>
          <w:color w:val="auto"/>
          <w:kern w:val="2"/>
          <w:sz w:val="24"/>
          <w:szCs w:val="24"/>
          <w:highlight w:val="none"/>
          <w:lang w:val="en-US" w:eastAsia="zh-CN" w:bidi="ar-SA"/>
        </w:rPr>
        <w:t>（十二）无效投标和废标</w:t>
      </w:r>
      <w:bookmarkEnd w:id="292"/>
      <w:bookmarkEnd w:id="293"/>
      <w:bookmarkEnd w:id="294"/>
      <w:bookmarkEnd w:id="295"/>
    </w:p>
    <w:p w14:paraId="25869235">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4"/>
          <w:highlight w:val="none"/>
          <w:lang w:val="en-US" w:eastAsia="zh-CN" w:bidi="ar-SA"/>
        </w:rPr>
      </w:pPr>
      <w:bookmarkStart w:id="296" w:name="_Toc140132806"/>
      <w:bookmarkStart w:id="297" w:name="_Toc28487"/>
      <w:bookmarkStart w:id="298" w:name="_Toc163492873"/>
      <w:r>
        <w:rPr>
          <w:rFonts w:hint="eastAsia" w:ascii="宋体" w:hAnsi="宋体" w:eastAsia="宋体" w:cs="宋体"/>
          <w:b/>
          <w:bCs/>
          <w:color w:val="auto"/>
          <w:kern w:val="2"/>
          <w:sz w:val="24"/>
          <w:szCs w:val="24"/>
          <w:highlight w:val="none"/>
          <w:lang w:val="en-US" w:eastAsia="zh-CN" w:bidi="ar-SA"/>
        </w:rPr>
        <w:t>39.无效投标</w:t>
      </w:r>
      <w:bookmarkEnd w:id="296"/>
      <w:bookmarkEnd w:id="297"/>
      <w:bookmarkEnd w:id="298"/>
    </w:p>
    <w:p w14:paraId="0EBD1306">
      <w:pPr>
        <w:pStyle w:val="37"/>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39</w:t>
      </w:r>
      <w:r>
        <w:rPr>
          <w:rFonts w:hint="eastAsia" w:ascii="宋体" w:hAnsi="宋体" w:eastAsia="宋体" w:cs="宋体"/>
          <w:color w:val="auto"/>
          <w:sz w:val="24"/>
          <w:szCs w:val="24"/>
          <w:highlight w:val="none"/>
        </w:rPr>
        <w:t>.1投标文件存在“第四章</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资格审查”、“第五章</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评标</w:t>
      </w:r>
      <w:r>
        <w:rPr>
          <w:rFonts w:hint="eastAsia" w:ascii="宋体" w:hAnsi="宋体" w:eastAsia="宋体" w:cs="宋体"/>
          <w:color w:val="auto"/>
          <w:sz w:val="24"/>
          <w:szCs w:val="24"/>
          <w:highlight w:val="none"/>
          <w:lang w:val="en-US" w:eastAsia="zh-CN"/>
        </w:rPr>
        <w:t>方</w:t>
      </w:r>
      <w:r>
        <w:rPr>
          <w:rFonts w:hint="eastAsia" w:ascii="宋体" w:hAnsi="宋体" w:eastAsia="宋体" w:cs="宋体"/>
          <w:color w:val="auto"/>
          <w:sz w:val="24"/>
          <w:szCs w:val="24"/>
          <w:highlight w:val="none"/>
        </w:rPr>
        <w:t>法及标准”</w:t>
      </w:r>
      <w:r>
        <w:rPr>
          <w:rFonts w:hint="eastAsia" w:ascii="宋体" w:hAnsi="宋体" w:eastAsia="宋体" w:cs="宋体"/>
          <w:color w:val="auto"/>
          <w:sz w:val="24"/>
          <w:szCs w:val="24"/>
          <w:highlight w:val="none"/>
          <w:lang w:val="en-US" w:eastAsia="zh-CN"/>
        </w:rPr>
        <w:t>及本招标文件</w:t>
      </w:r>
      <w:r>
        <w:rPr>
          <w:rFonts w:hint="eastAsia" w:ascii="宋体" w:hAnsi="宋体" w:eastAsia="宋体" w:cs="宋体"/>
          <w:color w:val="auto"/>
          <w:sz w:val="24"/>
          <w:szCs w:val="24"/>
          <w:highlight w:val="none"/>
        </w:rPr>
        <w:t>规定的投标无效情形的，其</w:t>
      </w:r>
      <w:r>
        <w:rPr>
          <w:rFonts w:hint="eastAsia" w:ascii="宋体" w:hAnsi="宋体" w:eastAsia="宋体" w:cs="宋体"/>
          <w:b/>
          <w:bCs/>
          <w:color w:val="auto"/>
          <w:sz w:val="24"/>
          <w:szCs w:val="24"/>
          <w:highlight w:val="none"/>
        </w:rPr>
        <w:t>投标无效</w:t>
      </w:r>
      <w:r>
        <w:rPr>
          <w:rFonts w:hint="eastAsia" w:ascii="宋体" w:hAnsi="宋体" w:eastAsia="宋体" w:cs="宋体"/>
          <w:color w:val="auto"/>
          <w:sz w:val="24"/>
          <w:szCs w:val="24"/>
          <w:highlight w:val="none"/>
        </w:rPr>
        <w:t>。</w:t>
      </w:r>
    </w:p>
    <w:p w14:paraId="7306E47B">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4"/>
          <w:highlight w:val="none"/>
          <w:lang w:val="en-US" w:eastAsia="zh-CN" w:bidi="ar-SA"/>
        </w:rPr>
      </w:pPr>
      <w:bookmarkStart w:id="299" w:name="_Toc163492874"/>
      <w:bookmarkStart w:id="300" w:name="_Toc3980"/>
      <w:bookmarkStart w:id="301" w:name="_Toc140132807"/>
      <w:r>
        <w:rPr>
          <w:rFonts w:hint="eastAsia" w:ascii="宋体" w:hAnsi="宋体" w:eastAsia="宋体" w:cs="宋体"/>
          <w:b/>
          <w:bCs/>
          <w:color w:val="auto"/>
          <w:kern w:val="2"/>
          <w:sz w:val="24"/>
          <w:szCs w:val="24"/>
          <w:highlight w:val="none"/>
          <w:lang w:val="en-US" w:eastAsia="zh-CN" w:bidi="ar-SA"/>
        </w:rPr>
        <w:t>40.废标</w:t>
      </w:r>
      <w:bookmarkEnd w:id="299"/>
      <w:bookmarkEnd w:id="300"/>
      <w:bookmarkEnd w:id="301"/>
    </w:p>
    <w:p w14:paraId="7B569749">
      <w:pPr>
        <w:pStyle w:val="37"/>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.1在招标采购中出现有“第五章</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评标</w:t>
      </w:r>
      <w:r>
        <w:rPr>
          <w:rFonts w:hint="eastAsia" w:ascii="宋体" w:hAnsi="宋体" w:eastAsia="宋体" w:cs="宋体"/>
          <w:color w:val="auto"/>
          <w:sz w:val="24"/>
          <w:szCs w:val="24"/>
          <w:highlight w:val="none"/>
          <w:lang w:val="en-US" w:eastAsia="zh-CN"/>
        </w:rPr>
        <w:t>方</w:t>
      </w:r>
      <w:r>
        <w:rPr>
          <w:rFonts w:hint="eastAsia" w:ascii="宋体" w:hAnsi="宋体" w:eastAsia="宋体" w:cs="宋体"/>
          <w:color w:val="auto"/>
          <w:sz w:val="24"/>
          <w:szCs w:val="24"/>
          <w:highlight w:val="none"/>
        </w:rPr>
        <w:t>法及标准”</w:t>
      </w:r>
      <w:r>
        <w:rPr>
          <w:rFonts w:hint="eastAsia" w:ascii="宋体" w:hAnsi="宋体" w:eastAsia="宋体" w:cs="宋体"/>
          <w:color w:val="auto"/>
          <w:sz w:val="24"/>
          <w:szCs w:val="24"/>
          <w:highlight w:val="none"/>
          <w:lang w:val="en-US" w:eastAsia="zh-CN"/>
        </w:rPr>
        <w:t>及本招标文件</w:t>
      </w:r>
      <w:r>
        <w:rPr>
          <w:rFonts w:hint="eastAsia" w:ascii="宋体" w:hAnsi="宋体" w:eastAsia="宋体" w:cs="宋体"/>
          <w:color w:val="auto"/>
          <w:sz w:val="24"/>
          <w:szCs w:val="24"/>
          <w:highlight w:val="none"/>
        </w:rPr>
        <w:t>规定的废标情形的，应予以</w:t>
      </w:r>
      <w:r>
        <w:rPr>
          <w:rFonts w:hint="eastAsia" w:ascii="宋体" w:hAnsi="宋体" w:eastAsia="宋体" w:cs="宋体"/>
          <w:b/>
          <w:bCs/>
          <w:color w:val="auto"/>
          <w:sz w:val="24"/>
          <w:szCs w:val="24"/>
          <w:highlight w:val="none"/>
        </w:rPr>
        <w:t>废标</w:t>
      </w:r>
      <w:r>
        <w:rPr>
          <w:rFonts w:hint="eastAsia" w:ascii="宋体" w:hAnsi="宋体" w:eastAsia="宋体" w:cs="宋体"/>
          <w:color w:val="auto"/>
          <w:sz w:val="24"/>
          <w:szCs w:val="24"/>
          <w:highlight w:val="none"/>
          <w:lang w:eastAsia="zh-CN"/>
        </w:rPr>
        <w:t>。</w:t>
      </w:r>
    </w:p>
    <w:p w14:paraId="0C4DEC92">
      <w:pPr>
        <w:pStyle w:val="4"/>
        <w:keepNext w:val="0"/>
        <w:keepLines w:val="0"/>
        <w:pageBreakBefore w:val="0"/>
        <w:widowControl w:val="0"/>
        <w:numPr>
          <w:ilvl w:val="0"/>
          <w:numId w:val="0"/>
        </w:numPr>
        <w:kinsoku/>
        <w:wordWrap/>
        <w:overflowPunct/>
        <w:topLinePunct w:val="0"/>
        <w:autoSpaceDE/>
        <w:autoSpaceDN/>
        <w:bidi w:val="0"/>
        <w:adjustRightInd/>
        <w:snapToGrid/>
        <w:spacing w:before="120" w:after="120" w:line="240" w:lineRule="auto"/>
        <w:ind w:left="420" w:leftChars="0" w:hanging="420" w:firstLineChars="0"/>
        <w:jc w:val="both"/>
        <w:textAlignment w:val="auto"/>
        <w:rPr>
          <w:rFonts w:hint="eastAsia" w:ascii="宋体" w:hAnsi="宋体" w:eastAsia="宋体" w:cs="宋体"/>
          <w:b/>
          <w:bCs/>
          <w:color w:val="auto"/>
          <w:kern w:val="2"/>
          <w:sz w:val="24"/>
          <w:szCs w:val="24"/>
          <w:highlight w:val="none"/>
          <w:lang w:val="en-US" w:eastAsia="zh-CN" w:bidi="ar-SA"/>
        </w:rPr>
      </w:pPr>
      <w:bookmarkStart w:id="302" w:name="_Toc140132766"/>
      <w:bookmarkStart w:id="303" w:name="_Toc163492875"/>
      <w:bookmarkStart w:id="304" w:name="_Toc5781"/>
      <w:bookmarkStart w:id="305" w:name="_Toc140132808"/>
      <w:bookmarkStart w:id="306" w:name="_Toc155185884"/>
      <w:r>
        <w:rPr>
          <w:rFonts w:hint="eastAsia" w:ascii="宋体" w:hAnsi="宋体" w:eastAsia="宋体" w:cs="宋体"/>
          <w:b/>
          <w:bCs/>
          <w:color w:val="auto"/>
          <w:kern w:val="2"/>
          <w:sz w:val="24"/>
          <w:szCs w:val="24"/>
          <w:highlight w:val="none"/>
          <w:lang w:val="en-US" w:eastAsia="zh-CN" w:bidi="ar-SA"/>
        </w:rPr>
        <w:t>（十三）落实政府采购政策</w:t>
      </w:r>
      <w:bookmarkEnd w:id="302"/>
      <w:bookmarkEnd w:id="303"/>
      <w:r>
        <w:rPr>
          <w:rFonts w:hint="eastAsia" w:ascii="宋体" w:hAnsi="宋体" w:eastAsia="宋体" w:cs="宋体"/>
          <w:b/>
          <w:bCs/>
          <w:color w:val="auto"/>
          <w:kern w:val="2"/>
          <w:sz w:val="24"/>
          <w:szCs w:val="24"/>
          <w:highlight w:val="none"/>
          <w:lang w:val="en-US" w:eastAsia="zh-CN" w:bidi="ar-SA"/>
        </w:rPr>
        <w:t>（包括但不限于下列具体政策要求）</w:t>
      </w:r>
      <w:bookmarkEnd w:id="304"/>
    </w:p>
    <w:p w14:paraId="57A34F70">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8"/>
          <w:highlight w:val="none"/>
          <w:lang w:val="en-US" w:eastAsia="zh-CN" w:bidi="ar-SA"/>
        </w:rPr>
      </w:pPr>
      <w:bookmarkStart w:id="307" w:name="_Toc163492876"/>
      <w:r>
        <w:rPr>
          <w:rFonts w:hint="eastAsia" w:ascii="宋体" w:hAnsi="宋体" w:eastAsia="宋体" w:cs="宋体"/>
          <w:b/>
          <w:bCs/>
          <w:color w:val="auto"/>
          <w:kern w:val="2"/>
          <w:sz w:val="24"/>
          <w:szCs w:val="28"/>
          <w:highlight w:val="none"/>
          <w:lang w:val="en-US" w:eastAsia="zh-CN" w:bidi="ar-SA"/>
        </w:rPr>
        <w:t>41.</w:t>
      </w:r>
      <w:r>
        <w:rPr>
          <w:rFonts w:hint="eastAsia" w:ascii="宋体" w:hAnsi="宋体" w:cs="宋体"/>
          <w:b/>
          <w:bCs/>
          <w:color w:val="auto"/>
          <w:kern w:val="2"/>
          <w:sz w:val="24"/>
          <w:szCs w:val="28"/>
          <w:highlight w:val="none"/>
          <w:lang w:val="en-US" w:eastAsia="zh-CN" w:bidi="ar-SA"/>
        </w:rPr>
        <w:t>本</w:t>
      </w:r>
      <w:r>
        <w:rPr>
          <w:rFonts w:hint="eastAsia" w:ascii="宋体" w:hAnsi="宋体" w:eastAsia="宋体" w:cs="宋体"/>
          <w:b/>
          <w:bCs/>
          <w:color w:val="auto"/>
          <w:kern w:val="2"/>
          <w:sz w:val="24"/>
          <w:szCs w:val="28"/>
          <w:highlight w:val="none"/>
          <w:lang w:val="en-US" w:eastAsia="zh-CN" w:bidi="ar-SA"/>
        </w:rPr>
        <w:t>国产品和进口产品</w:t>
      </w:r>
      <w:bookmarkEnd w:id="307"/>
    </w:p>
    <w:p w14:paraId="59F3A450">
      <w:pPr>
        <w:pStyle w:val="37"/>
        <w:keepNext w:val="0"/>
        <w:keepLines w:val="0"/>
        <w:pageBreakBefore w:val="0"/>
        <w:widowControl w:val="0"/>
        <w:kinsoku/>
        <w:overflowPunct/>
        <w:topLinePunct w:val="0"/>
        <w:autoSpaceDE/>
        <w:autoSpaceDN/>
        <w:bidi w:val="0"/>
        <w:adjustRightInd/>
        <w:jc w:val="both"/>
        <w:textAlignment w:val="auto"/>
        <w:rPr>
          <w:rFonts w:hint="eastAsia"/>
          <w:snapToGrid w:val="0"/>
          <w:color w:val="auto"/>
          <w:sz w:val="24"/>
          <w:highlight w:val="none"/>
          <w:lang w:val="en-US" w:eastAsia="zh-CN"/>
        </w:rPr>
      </w:pPr>
      <w:r>
        <w:rPr>
          <w:rFonts w:hint="eastAsia"/>
          <w:snapToGrid w:val="0"/>
          <w:color w:val="auto"/>
          <w:sz w:val="24"/>
          <w:highlight w:val="none"/>
          <w:lang w:val="en-US" w:eastAsia="zh-CN"/>
        </w:rPr>
        <w:t>41.1本国产品标准及支持政策</w:t>
      </w:r>
    </w:p>
    <w:p w14:paraId="441816D7">
      <w:pPr>
        <w:pStyle w:val="37"/>
        <w:keepNext w:val="0"/>
        <w:keepLines w:val="0"/>
        <w:pageBreakBefore w:val="0"/>
        <w:widowControl w:val="0"/>
        <w:kinsoku/>
        <w:overflowPunct/>
        <w:topLinePunct w:val="0"/>
        <w:autoSpaceDE/>
        <w:autoSpaceDN/>
        <w:bidi w:val="0"/>
        <w:adjustRightInd/>
        <w:jc w:val="both"/>
        <w:textAlignment w:val="auto"/>
        <w:rPr>
          <w:rFonts w:hint="eastAsia"/>
          <w:snapToGrid w:val="0"/>
          <w:color w:val="auto"/>
          <w:sz w:val="24"/>
          <w:highlight w:val="none"/>
          <w:lang w:val="en-US" w:eastAsia="zh-CN"/>
        </w:rPr>
      </w:pPr>
      <w:r>
        <w:rPr>
          <w:rFonts w:hint="eastAsia"/>
          <w:snapToGrid w:val="0"/>
          <w:color w:val="auto"/>
          <w:sz w:val="24"/>
          <w:highlight w:val="none"/>
          <w:lang w:val="en-US" w:eastAsia="zh-CN"/>
        </w:rPr>
        <w:t>41.1.1产品需在中华人民共和国关境内（含保税区、综合保税区等海关特殊监管区域）完成从原材料、组件到成品的制造、加工或组装，从而产生新的产品属性。仅进行包装、贴牌、简单处理等不改变产品核心属性的操作，不视为境内生产。</w:t>
      </w:r>
    </w:p>
    <w:p w14:paraId="43EE734F">
      <w:pPr>
        <w:pStyle w:val="37"/>
        <w:keepNext w:val="0"/>
        <w:keepLines w:val="0"/>
        <w:pageBreakBefore w:val="0"/>
        <w:widowControl w:val="0"/>
        <w:kinsoku/>
        <w:overflowPunct/>
        <w:topLinePunct w:val="0"/>
        <w:autoSpaceDE/>
        <w:autoSpaceDN/>
        <w:bidi w:val="0"/>
        <w:adjustRightInd/>
        <w:jc w:val="both"/>
        <w:textAlignment w:val="auto"/>
        <w:rPr>
          <w:rFonts w:hint="default"/>
          <w:snapToGrid w:val="0"/>
          <w:color w:val="auto"/>
          <w:sz w:val="24"/>
          <w:highlight w:val="none"/>
          <w:lang w:val="en-US" w:eastAsia="zh-CN"/>
        </w:rPr>
      </w:pPr>
      <w:r>
        <w:rPr>
          <w:rFonts w:hint="eastAsia"/>
          <w:snapToGrid w:val="0"/>
          <w:color w:val="auto"/>
          <w:sz w:val="24"/>
          <w:highlight w:val="none"/>
          <w:lang w:val="en-US" w:eastAsia="zh-CN"/>
        </w:rPr>
        <w:t>41.1.2产品在境内生产的组件成本应达到财政部会同相关部门确定的总成本规定比例(具体产品目录及比例标准按国家后续发布的规定执行)。在分产品目</w:t>
      </w:r>
      <w:r>
        <w:rPr>
          <w:rFonts w:hint="eastAsia"/>
          <w:iCs/>
          <w:snapToGrid w:val="0"/>
          <w:color w:val="auto"/>
          <w:spacing w:val="-6"/>
          <w:sz w:val="24"/>
          <w:highlight w:val="none"/>
          <w:lang w:val="en-US" w:eastAsia="zh-CN"/>
        </w:rPr>
        <w:t>录及比例标准正式实施前的过渡期内，符合境内生产条件的产品，可视同本国产</w:t>
      </w:r>
      <w:r>
        <w:rPr>
          <w:rFonts w:hint="eastAsia"/>
          <w:snapToGrid w:val="0"/>
          <w:color w:val="auto"/>
          <w:sz w:val="24"/>
          <w:highlight w:val="none"/>
          <w:lang w:val="en-US" w:eastAsia="zh-CN"/>
        </w:rPr>
        <w:t>品。</w:t>
      </w:r>
    </w:p>
    <w:p w14:paraId="19E87B7B">
      <w:pPr>
        <w:pStyle w:val="37"/>
        <w:keepNext w:val="0"/>
        <w:keepLines w:val="0"/>
        <w:pageBreakBefore w:val="0"/>
        <w:widowControl w:val="0"/>
        <w:kinsoku/>
        <w:overflowPunct/>
        <w:topLinePunct w:val="0"/>
        <w:autoSpaceDE/>
        <w:autoSpaceDN/>
        <w:bidi w:val="0"/>
        <w:adjustRightInd/>
        <w:jc w:val="both"/>
        <w:textAlignment w:val="auto"/>
        <w:rPr>
          <w:rFonts w:hint="default"/>
          <w:snapToGrid w:val="0"/>
          <w:color w:val="auto"/>
          <w:sz w:val="24"/>
          <w:highlight w:val="none"/>
          <w:lang w:val="en-US" w:eastAsia="zh-CN"/>
        </w:rPr>
      </w:pPr>
      <w:r>
        <w:rPr>
          <w:rFonts w:hint="eastAsia"/>
          <w:snapToGrid w:val="0"/>
          <w:color w:val="auto"/>
          <w:sz w:val="24"/>
          <w:highlight w:val="none"/>
          <w:lang w:val="en-US" w:eastAsia="zh-CN"/>
        </w:rPr>
        <w:t>41.1.3对国家相关部门后续发布的特定产品清单内的产品，除满足上述条件外，还需同时满足关键组件境内生产、关键工序境内完成等特定要求。</w:t>
      </w:r>
    </w:p>
    <w:p w14:paraId="33FDC980">
      <w:pPr>
        <w:pStyle w:val="37"/>
        <w:keepNext w:val="0"/>
        <w:keepLines w:val="0"/>
        <w:pageBreakBefore w:val="0"/>
        <w:widowControl w:val="0"/>
        <w:kinsoku/>
        <w:overflowPunct/>
        <w:topLinePunct w:val="0"/>
        <w:autoSpaceDE/>
        <w:autoSpaceDN/>
        <w:bidi w:val="0"/>
        <w:adjustRightInd/>
        <w:jc w:val="both"/>
        <w:textAlignment w:val="auto"/>
        <w:rPr>
          <w:rFonts w:hint="eastAsia"/>
          <w:snapToGrid w:val="0"/>
          <w:color w:val="auto"/>
          <w:sz w:val="24"/>
          <w:highlight w:val="none"/>
          <w:lang w:val="en-US" w:eastAsia="zh-CN"/>
        </w:rPr>
      </w:pPr>
      <w:r>
        <w:rPr>
          <w:rFonts w:hint="eastAsia"/>
          <w:snapToGrid w:val="0"/>
          <w:color w:val="auto"/>
          <w:sz w:val="24"/>
          <w:highlight w:val="none"/>
          <w:lang w:val="en-US" w:eastAsia="zh-CN"/>
        </w:rPr>
        <w:t>41.1.4</w:t>
      </w:r>
      <w:r>
        <w:rPr>
          <w:rFonts w:hint="eastAsia" w:eastAsia="宋体"/>
          <w:snapToGrid w:val="0"/>
          <w:color w:val="auto"/>
          <w:sz w:val="24"/>
          <w:highlight w:val="none"/>
          <w:lang w:val="en-US" w:eastAsia="zh-CN"/>
        </w:rPr>
        <w:t>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5BE7BA04">
      <w:pPr>
        <w:pStyle w:val="37"/>
        <w:keepNext w:val="0"/>
        <w:keepLines w:val="0"/>
        <w:pageBreakBefore w:val="0"/>
        <w:widowControl w:val="0"/>
        <w:kinsoku/>
        <w:overflowPunct/>
        <w:topLinePunct w:val="0"/>
        <w:autoSpaceDE/>
        <w:autoSpaceDN/>
        <w:bidi w:val="0"/>
        <w:adjustRightInd/>
        <w:jc w:val="both"/>
        <w:textAlignment w:val="auto"/>
        <w:rPr>
          <w:rFonts w:hint="eastAsia"/>
          <w:snapToGrid w:val="0"/>
          <w:color w:val="auto"/>
          <w:sz w:val="24"/>
          <w:highlight w:val="none"/>
          <w:lang w:val="en-US" w:eastAsia="zh-CN"/>
        </w:rPr>
      </w:pPr>
      <w:r>
        <w:rPr>
          <w:rFonts w:hint="eastAsia"/>
          <w:snapToGrid w:val="0"/>
          <w:color w:val="auto"/>
          <w:sz w:val="24"/>
          <w:highlight w:val="none"/>
          <w:lang w:val="en-US" w:eastAsia="zh-CN"/>
        </w:rPr>
        <w:t>41.1.5供应商对其提供的产品出具《关于符合本国产品标准的声明函》（样式见附件1，以下简称《声明函》）或财政部会同有关部门规定的有关证明文件。出具符合要求的《声明函》或有关证明文件的，该产品视为本国产品。</w:t>
      </w:r>
    </w:p>
    <w:p w14:paraId="6DF0CD5C">
      <w:pPr>
        <w:pStyle w:val="37"/>
        <w:keepNext w:val="0"/>
        <w:keepLines w:val="0"/>
        <w:pageBreakBefore w:val="0"/>
        <w:widowControl w:val="0"/>
        <w:kinsoku/>
        <w:overflowPunct/>
        <w:topLinePunct w:val="0"/>
        <w:autoSpaceDE/>
        <w:autoSpaceDN/>
        <w:bidi w:val="0"/>
        <w:adjustRightInd/>
        <w:jc w:val="both"/>
        <w:textAlignment w:val="auto"/>
        <w:rPr>
          <w:rFonts w:hint="eastAsia"/>
          <w:snapToGrid w:val="0"/>
          <w:color w:val="auto"/>
          <w:sz w:val="24"/>
          <w:highlight w:val="none"/>
          <w:lang w:val="en-US" w:eastAsia="zh-CN"/>
        </w:rPr>
      </w:pPr>
      <w:r>
        <w:rPr>
          <w:rFonts w:hint="eastAsia" w:eastAsia="宋体"/>
          <w:snapToGrid w:val="0"/>
          <w:color w:val="auto"/>
          <w:sz w:val="24"/>
          <w:highlight w:val="none"/>
          <w:lang w:val="en-US" w:eastAsia="zh-CN"/>
        </w:rPr>
        <w:t>医疗器械产品，取得药品监督管理部门授予的准字号医疗器械注册证的，</w:t>
      </w:r>
      <w:r>
        <w:rPr>
          <w:rFonts w:hint="eastAsia"/>
          <w:snapToGrid w:val="0"/>
          <w:color w:val="auto"/>
          <w:sz w:val="24"/>
          <w:highlight w:val="none"/>
          <w:lang w:val="en-US" w:eastAsia="zh-CN"/>
        </w:rPr>
        <w:t>视为符合本国产品标准。</w:t>
      </w:r>
    </w:p>
    <w:p w14:paraId="1A66631B">
      <w:pPr>
        <w:pStyle w:val="37"/>
        <w:keepNext w:val="0"/>
        <w:keepLines w:val="0"/>
        <w:pageBreakBefore w:val="0"/>
        <w:widowControl w:val="0"/>
        <w:kinsoku/>
        <w:overflowPunct/>
        <w:topLinePunct w:val="0"/>
        <w:autoSpaceDE/>
        <w:autoSpaceDN/>
        <w:bidi w:val="0"/>
        <w:adjustRightInd/>
        <w:jc w:val="both"/>
        <w:textAlignment w:val="auto"/>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41.1.6采购标的仅包含单一产品时，政府采购活动中既有本国产品又有非本国产品参与竞争的，依法对本国产品给予价格评审优惠，对本国产品的报价给予20%的价格扣除，用扣除后的价格参与评审。对于仅有本国产品参与竞争的政府采购项目，本国产品不享受价格扣除评审优惠。</w:t>
      </w:r>
    </w:p>
    <w:p w14:paraId="1759E4C5">
      <w:pPr>
        <w:pStyle w:val="37"/>
        <w:keepNext w:val="0"/>
        <w:keepLines w:val="0"/>
        <w:pageBreakBefore w:val="0"/>
        <w:widowControl w:val="0"/>
        <w:kinsoku/>
        <w:overflowPunct/>
        <w:topLinePunct w:val="0"/>
        <w:autoSpaceDE/>
        <w:autoSpaceDN/>
        <w:bidi w:val="0"/>
        <w:adjustRightInd/>
        <w:jc w:val="both"/>
        <w:textAlignment w:val="auto"/>
        <w:rPr>
          <w:rFonts w:hint="default" w:eastAsia="宋体"/>
          <w:snapToGrid w:val="0"/>
          <w:color w:val="auto"/>
          <w:sz w:val="24"/>
          <w:highlight w:val="none"/>
          <w:lang w:val="en-US" w:eastAsia="zh-CN"/>
        </w:rPr>
      </w:pPr>
      <w:r>
        <w:rPr>
          <w:rFonts w:hint="eastAsia"/>
          <w:snapToGrid w:val="0"/>
          <w:color w:val="auto"/>
          <w:sz w:val="24"/>
          <w:highlight w:val="none"/>
          <w:lang w:val="en-US" w:eastAsia="zh-CN"/>
        </w:rPr>
        <w:t>41.1.7</w:t>
      </w:r>
      <w:r>
        <w:rPr>
          <w:rFonts w:hint="eastAsia" w:eastAsia="宋体"/>
          <w:snapToGrid w:val="0"/>
          <w:color w:val="auto"/>
          <w:sz w:val="24"/>
          <w:highlight w:val="none"/>
          <w:lang w:val="en-US" w:eastAsia="zh-CN"/>
        </w:rPr>
        <w:t>采购标的中含有多种产品，供应商为该采购项目或者采购包提供的符合本国产品标准的产品成本之和占该供应商提供的全部产品成本之和的比例达到80%以上时，且供应商在投标（响应）文件中对此作出承诺</w:t>
      </w:r>
      <w:r>
        <w:rPr>
          <w:rFonts w:hint="eastAsia"/>
          <w:snapToGrid w:val="0"/>
          <w:color w:val="auto"/>
          <w:sz w:val="24"/>
          <w:highlight w:val="none"/>
          <w:lang w:val="en-US" w:eastAsia="zh-CN"/>
        </w:rPr>
        <w:t>，出具《</w:t>
      </w:r>
      <w:r>
        <w:rPr>
          <w:rFonts w:hint="eastAsia" w:eastAsia="宋体"/>
          <w:snapToGrid w:val="0"/>
          <w:color w:val="auto"/>
          <w:sz w:val="24"/>
          <w:highlight w:val="none"/>
          <w:lang w:val="en-US" w:eastAsia="zh-CN"/>
        </w:rPr>
        <w:t>本国产品成本占比承诺函</w:t>
      </w:r>
      <w:r>
        <w:rPr>
          <w:rFonts w:hint="eastAsia"/>
          <w:snapToGrid w:val="0"/>
          <w:color w:val="auto"/>
          <w:sz w:val="24"/>
          <w:highlight w:val="none"/>
          <w:lang w:val="en-US" w:eastAsia="zh-CN"/>
        </w:rPr>
        <w:t>》（样式见附件2，以下简称《承诺函》），</w:t>
      </w:r>
      <w:r>
        <w:rPr>
          <w:rFonts w:hint="eastAsia" w:eastAsia="宋体"/>
          <w:snapToGrid w:val="0"/>
          <w:color w:val="auto"/>
          <w:sz w:val="24"/>
          <w:highlight w:val="none"/>
          <w:lang w:val="en-US" w:eastAsia="zh-CN"/>
        </w:rPr>
        <w:t>则依法对该供应商提供的全部产品给予价格评审优惠，即对该供应商提供的全部产品的总报价给予20%的价格扣除，用扣除后的价格参与评审。</w:t>
      </w:r>
      <w:r>
        <w:rPr>
          <w:rFonts w:hint="eastAsia"/>
          <w:snapToGrid w:val="0"/>
          <w:color w:val="auto"/>
          <w:sz w:val="24"/>
          <w:highlight w:val="none"/>
          <w:lang w:val="en-US" w:eastAsia="zh-CN"/>
        </w:rPr>
        <w:t>若供应商所投产品均符合本国产品标准，且已提供《声明函》，可不填写《承诺函》。</w:t>
      </w:r>
    </w:p>
    <w:p w14:paraId="2B40C7E8">
      <w:pPr>
        <w:pStyle w:val="37"/>
        <w:keepNext w:val="0"/>
        <w:keepLines w:val="0"/>
        <w:pageBreakBefore w:val="0"/>
        <w:widowControl w:val="0"/>
        <w:kinsoku/>
        <w:overflowPunct/>
        <w:topLinePunct w:val="0"/>
        <w:autoSpaceDE/>
        <w:autoSpaceDN/>
        <w:bidi w:val="0"/>
        <w:adjustRightInd/>
        <w:jc w:val="both"/>
        <w:textAlignment w:val="auto"/>
        <w:rPr>
          <w:rFonts w:hint="default" w:eastAsia="宋体"/>
          <w:snapToGrid w:val="0"/>
          <w:color w:val="auto"/>
          <w:sz w:val="24"/>
          <w:highlight w:val="none"/>
          <w:lang w:val="en-US" w:eastAsia="zh-CN"/>
        </w:rPr>
      </w:pPr>
      <w:r>
        <w:rPr>
          <w:rFonts w:hint="eastAsia"/>
          <w:snapToGrid w:val="0"/>
          <w:color w:val="auto"/>
          <w:sz w:val="24"/>
          <w:highlight w:val="none"/>
          <w:lang w:val="en-US" w:eastAsia="zh-CN"/>
        </w:rPr>
        <w:t>41.2进口产品</w:t>
      </w:r>
    </w:p>
    <w:p w14:paraId="169666B9">
      <w:pPr>
        <w:pStyle w:val="37"/>
        <w:keepNext w:val="0"/>
        <w:keepLines w:val="0"/>
        <w:pageBreakBefore w:val="0"/>
        <w:widowControl w:val="0"/>
        <w:kinsoku/>
        <w:overflowPunct/>
        <w:topLinePunct w:val="0"/>
        <w:autoSpaceDE/>
        <w:autoSpaceDN/>
        <w:bidi w:val="0"/>
        <w:adjustRightInd/>
        <w:jc w:val="both"/>
        <w:textAlignment w:val="auto"/>
        <w:rPr>
          <w:rFonts w:hint="eastAsia" w:eastAsia="宋体"/>
          <w:snapToGrid w:val="0"/>
          <w:color w:val="auto"/>
          <w:sz w:val="24"/>
          <w:highlight w:val="none"/>
        </w:rPr>
      </w:pPr>
      <w:r>
        <w:rPr>
          <w:rFonts w:hint="eastAsia" w:eastAsia="宋体"/>
          <w:snapToGrid w:val="0"/>
          <w:color w:val="auto"/>
          <w:sz w:val="24"/>
          <w:highlight w:val="none"/>
          <w:lang w:val="en-US" w:eastAsia="zh-CN"/>
        </w:rPr>
        <w:t>41.2.1凡在海关特殊监管区域内企业生产或加工（包括从境外进口料件）销往境内其他地区的产品，不作为政府采购项下进口产品。对从境外进入海关特殊监管区域，再经办理报关手续后从海关特殊监管区进入境内其他地区的产品，应当认定为进口产品。项目若涉及采购进口产品的，具体要求详见“第三章 采购需求”。</w:t>
      </w:r>
    </w:p>
    <w:p w14:paraId="201F13F9">
      <w:pPr>
        <w:pStyle w:val="37"/>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snapToGrid w:val="0"/>
          <w:color w:val="auto"/>
          <w:sz w:val="24"/>
          <w:szCs w:val="24"/>
          <w:highlight w:val="none"/>
          <w:lang w:val="en-US" w:eastAsia="zh-CN"/>
        </w:rPr>
      </w:pPr>
      <w:r>
        <w:rPr>
          <w:rFonts w:hint="eastAsia" w:ascii="宋体" w:hAnsi="宋体" w:eastAsia="宋体" w:cs="宋体"/>
          <w:snapToGrid w:val="0"/>
          <w:color w:val="auto"/>
          <w:sz w:val="24"/>
          <w:szCs w:val="24"/>
          <w:highlight w:val="none"/>
          <w:lang w:val="en-US" w:eastAsia="zh-CN"/>
        </w:rPr>
        <w:t>41.2</w:t>
      </w:r>
      <w:r>
        <w:rPr>
          <w:rFonts w:hint="eastAsia" w:cs="宋体"/>
          <w:snapToGrid w:val="0"/>
          <w:color w:val="auto"/>
          <w:sz w:val="24"/>
          <w:szCs w:val="24"/>
          <w:highlight w:val="none"/>
          <w:lang w:val="en-US" w:eastAsia="zh-CN"/>
        </w:rPr>
        <w:t>.2</w:t>
      </w:r>
      <w:r>
        <w:rPr>
          <w:rFonts w:hint="eastAsia" w:ascii="宋体" w:hAnsi="宋体" w:eastAsia="宋体" w:cs="宋体"/>
          <w:snapToGrid w:val="0"/>
          <w:color w:val="auto"/>
          <w:sz w:val="24"/>
          <w:szCs w:val="24"/>
          <w:highlight w:val="none"/>
          <w:lang w:val="en-US" w:eastAsia="zh-CN"/>
        </w:rPr>
        <w:t xml:space="preserve">进口产品指通过中国海关报关验放进入中国境内且产自关境外的产品，包括已经进入中国境内的进口产品。 </w:t>
      </w:r>
    </w:p>
    <w:p w14:paraId="0C404CE2">
      <w:pPr>
        <w:pStyle w:val="37"/>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snapToGrid w:val="0"/>
          <w:color w:val="auto"/>
          <w:sz w:val="24"/>
          <w:szCs w:val="24"/>
          <w:highlight w:val="none"/>
          <w:lang w:val="en-US" w:eastAsia="zh-CN"/>
        </w:rPr>
      </w:pPr>
      <w:r>
        <w:rPr>
          <w:rFonts w:hint="eastAsia" w:ascii="宋体" w:hAnsi="宋体" w:eastAsia="宋体" w:cs="宋体"/>
          <w:snapToGrid w:val="0"/>
          <w:color w:val="auto"/>
          <w:sz w:val="24"/>
          <w:szCs w:val="24"/>
          <w:highlight w:val="none"/>
          <w:lang w:val="en-US" w:eastAsia="zh-CN"/>
        </w:rPr>
        <w:t>41.</w:t>
      </w:r>
      <w:r>
        <w:rPr>
          <w:rFonts w:hint="eastAsia" w:cs="宋体"/>
          <w:snapToGrid w:val="0"/>
          <w:color w:val="auto"/>
          <w:sz w:val="24"/>
          <w:szCs w:val="24"/>
          <w:highlight w:val="none"/>
          <w:lang w:val="en-US" w:eastAsia="zh-CN"/>
        </w:rPr>
        <w:t>2.</w:t>
      </w:r>
      <w:r>
        <w:rPr>
          <w:rFonts w:hint="eastAsia" w:ascii="宋体" w:hAnsi="宋体" w:eastAsia="宋体" w:cs="宋体"/>
          <w:snapToGrid w:val="0"/>
          <w:color w:val="auto"/>
          <w:sz w:val="24"/>
          <w:szCs w:val="24"/>
          <w:highlight w:val="none"/>
          <w:lang w:val="en-US" w:eastAsia="zh-CN"/>
        </w:rPr>
        <w:t>3若采购需求中写明允许采购进口产品，投标人应保证所投产品可履行合法报通关手续进入中国关境内。</w:t>
      </w:r>
    </w:p>
    <w:p w14:paraId="50A8DE9A">
      <w:pPr>
        <w:pStyle w:val="37"/>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snapToGrid w:val="0"/>
          <w:color w:val="auto"/>
          <w:sz w:val="24"/>
          <w:szCs w:val="24"/>
          <w:highlight w:val="none"/>
          <w:lang w:val="en-US" w:eastAsia="zh-CN"/>
        </w:rPr>
      </w:pPr>
      <w:r>
        <w:rPr>
          <w:rFonts w:hint="eastAsia" w:ascii="宋体" w:hAnsi="宋体" w:eastAsia="宋体" w:cs="宋体"/>
          <w:snapToGrid w:val="0"/>
          <w:color w:val="auto"/>
          <w:sz w:val="24"/>
          <w:szCs w:val="24"/>
          <w:highlight w:val="none"/>
          <w:lang w:val="en-US" w:eastAsia="zh-CN"/>
        </w:rPr>
        <w:t>41.</w:t>
      </w:r>
      <w:r>
        <w:rPr>
          <w:rFonts w:hint="eastAsia" w:cs="宋体"/>
          <w:snapToGrid w:val="0"/>
          <w:color w:val="auto"/>
          <w:sz w:val="24"/>
          <w:szCs w:val="24"/>
          <w:highlight w:val="none"/>
          <w:lang w:val="en-US" w:eastAsia="zh-CN"/>
        </w:rPr>
        <w:t>2.</w:t>
      </w:r>
      <w:r>
        <w:rPr>
          <w:rFonts w:hint="eastAsia" w:ascii="宋体" w:hAnsi="宋体" w:eastAsia="宋体" w:cs="宋体"/>
          <w:snapToGrid w:val="0"/>
          <w:color w:val="auto"/>
          <w:sz w:val="24"/>
          <w:szCs w:val="24"/>
          <w:highlight w:val="none"/>
          <w:lang w:val="en-US" w:eastAsia="zh-CN"/>
        </w:rPr>
        <w:t>4若采购需求中未写明允许采购进口产品，如投标人所投产品为进口产品，其投标将被认定为</w:t>
      </w:r>
      <w:r>
        <w:rPr>
          <w:rFonts w:hint="eastAsia" w:ascii="宋体" w:hAnsi="宋体" w:eastAsia="宋体" w:cs="宋体"/>
          <w:b/>
          <w:bCs/>
          <w:snapToGrid w:val="0"/>
          <w:color w:val="auto"/>
          <w:sz w:val="24"/>
          <w:szCs w:val="24"/>
          <w:highlight w:val="none"/>
          <w:lang w:val="en-US" w:eastAsia="zh-CN"/>
        </w:rPr>
        <w:t>投标无效</w:t>
      </w:r>
      <w:r>
        <w:rPr>
          <w:rFonts w:hint="eastAsia" w:ascii="宋体" w:hAnsi="宋体" w:eastAsia="宋体" w:cs="宋体"/>
          <w:snapToGrid w:val="0"/>
          <w:color w:val="auto"/>
          <w:sz w:val="24"/>
          <w:szCs w:val="24"/>
          <w:highlight w:val="none"/>
          <w:lang w:val="en-US" w:eastAsia="zh-CN"/>
        </w:rPr>
        <w:t>。</w:t>
      </w:r>
    </w:p>
    <w:p w14:paraId="6764F885">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4"/>
          <w:highlight w:val="none"/>
          <w:lang w:val="en-US" w:eastAsia="zh-CN" w:bidi="ar-SA"/>
        </w:rPr>
      </w:pPr>
      <w:bookmarkStart w:id="308" w:name="_Toc3821"/>
      <w:bookmarkStart w:id="309" w:name="_Toc163492877"/>
      <w:r>
        <w:rPr>
          <w:rFonts w:hint="eastAsia" w:ascii="宋体" w:hAnsi="宋体" w:eastAsia="宋体" w:cs="宋体"/>
          <w:b/>
          <w:bCs/>
          <w:color w:val="auto"/>
          <w:kern w:val="2"/>
          <w:sz w:val="24"/>
          <w:szCs w:val="24"/>
          <w:highlight w:val="none"/>
          <w:lang w:val="en-US" w:eastAsia="zh-CN" w:bidi="ar-SA"/>
        </w:rPr>
        <w:t>42.中小企业、监狱企业及残疾人福利性单位</w:t>
      </w:r>
      <w:bookmarkEnd w:id="308"/>
      <w:bookmarkEnd w:id="309"/>
    </w:p>
    <w:p w14:paraId="6CF3C244">
      <w:pPr>
        <w:pStyle w:val="37"/>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lang w:val="en-US" w:eastAsia="zh-CN"/>
        </w:rPr>
        <w:t>42</w:t>
      </w:r>
      <w:r>
        <w:rPr>
          <w:rFonts w:hint="eastAsia" w:ascii="宋体" w:hAnsi="宋体" w:eastAsia="宋体" w:cs="宋体"/>
          <w:snapToGrid w:val="0"/>
          <w:color w:val="auto"/>
          <w:sz w:val="24"/>
          <w:szCs w:val="24"/>
          <w:highlight w:val="none"/>
        </w:rPr>
        <w:t>.</w:t>
      </w:r>
      <w:r>
        <w:rPr>
          <w:rFonts w:hint="eastAsia" w:ascii="宋体" w:hAnsi="宋体" w:eastAsia="宋体" w:cs="宋体"/>
          <w:snapToGrid w:val="0"/>
          <w:color w:val="auto"/>
          <w:sz w:val="24"/>
          <w:szCs w:val="24"/>
          <w:highlight w:val="none"/>
          <w:lang w:val="en-US" w:eastAsia="zh-CN"/>
        </w:rPr>
        <w:t xml:space="preserve">1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关于进一步加大政府采购支持中小企业力度的通知》（财库〔2022〕19 号）、《政府采购促进中小企业发展管理办法》（财库〔2020〕46 号）、《关于印发中小企业划型标准规定的通知》（工信部联企业〔2011〕300 号）、《金融业企业划型标准规定》（〔2015〕309 号）等国务院批准的中小企业划分标准执行。 </w:t>
      </w:r>
    </w:p>
    <w:p w14:paraId="775C3158">
      <w:pPr>
        <w:pStyle w:val="37"/>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lang w:val="en-US" w:eastAsia="zh-CN"/>
        </w:rPr>
        <w:t>42</w:t>
      </w:r>
      <w:r>
        <w:rPr>
          <w:rFonts w:hint="eastAsia" w:ascii="宋体" w:hAnsi="宋体" w:eastAsia="宋体" w:cs="宋体"/>
          <w:snapToGrid w:val="0"/>
          <w:color w:val="auto"/>
          <w:sz w:val="24"/>
          <w:szCs w:val="24"/>
          <w:highlight w:val="none"/>
        </w:rPr>
        <w:t>.</w:t>
      </w:r>
      <w:r>
        <w:rPr>
          <w:rFonts w:hint="eastAsia" w:ascii="宋体" w:hAnsi="宋体" w:eastAsia="宋体" w:cs="宋体"/>
          <w:snapToGrid w:val="0"/>
          <w:color w:val="auto"/>
          <w:sz w:val="24"/>
          <w:szCs w:val="24"/>
          <w:highlight w:val="none"/>
          <w:lang w:val="en-US" w:eastAsia="zh-CN"/>
        </w:rPr>
        <w:t>2</w:t>
      </w:r>
      <w:r>
        <w:rPr>
          <w:rFonts w:hint="eastAsia" w:ascii="宋体" w:hAnsi="宋体" w:eastAsia="宋体" w:cs="宋体"/>
          <w:snapToGrid w:val="0"/>
          <w:color w:val="auto"/>
          <w:sz w:val="24"/>
          <w:szCs w:val="24"/>
          <w:highlight w:val="none"/>
        </w:rPr>
        <w:t>为促进中小企业发展，依据《关于印发&lt;政府采购促进中小企业发展管理办法&gt;的通知》（财库〔2020〕46号）、《财政部 司法部关于政府采购支持监狱企业发展有关问题的通知》（财库〔2014〕68号）、《关于促进残疾人就业政府采购政策的通知》（财库〔2017〕141号）的规定，本项目供应商如</w:t>
      </w:r>
      <w:r>
        <w:rPr>
          <w:rFonts w:hint="eastAsia" w:ascii="宋体" w:hAnsi="宋体" w:eastAsia="宋体" w:cs="宋体"/>
          <w:snapToGrid w:val="0"/>
          <w:color w:val="auto"/>
          <w:sz w:val="24"/>
          <w:szCs w:val="24"/>
          <w:highlight w:val="none"/>
          <w:lang w:eastAsia="zh-CN"/>
        </w:rPr>
        <w:t>需享受中小企业相关政策的，且</w:t>
      </w:r>
      <w:r>
        <w:rPr>
          <w:rFonts w:hint="eastAsia" w:ascii="宋体" w:hAnsi="宋体" w:eastAsia="宋体" w:cs="宋体"/>
          <w:snapToGrid w:val="0"/>
          <w:color w:val="auto"/>
          <w:sz w:val="24"/>
          <w:szCs w:val="24"/>
          <w:highlight w:val="none"/>
        </w:rPr>
        <w:t>符合上述文件规定的，</w:t>
      </w:r>
      <w:r>
        <w:rPr>
          <w:rFonts w:hint="eastAsia" w:ascii="宋体" w:hAnsi="宋体" w:eastAsia="宋体" w:cs="宋体"/>
          <w:snapToGrid w:val="0"/>
          <w:color w:val="auto"/>
          <w:sz w:val="24"/>
          <w:szCs w:val="24"/>
          <w:highlight w:val="none"/>
          <w:lang w:eastAsia="zh-CN"/>
        </w:rPr>
        <w:t>应按本</w:t>
      </w:r>
      <w:r>
        <w:rPr>
          <w:rFonts w:hint="eastAsia" w:ascii="宋体" w:hAnsi="宋体" w:eastAsia="宋体" w:cs="宋体"/>
          <w:snapToGrid w:val="0"/>
          <w:color w:val="auto"/>
          <w:sz w:val="24"/>
          <w:szCs w:val="24"/>
          <w:highlight w:val="none"/>
          <w:lang w:val="en-US" w:eastAsia="zh-CN"/>
        </w:rPr>
        <w:t>招标</w:t>
      </w:r>
      <w:r>
        <w:rPr>
          <w:rFonts w:hint="eastAsia" w:ascii="宋体" w:hAnsi="宋体" w:eastAsia="宋体" w:cs="宋体"/>
          <w:snapToGrid w:val="0"/>
          <w:color w:val="auto"/>
          <w:sz w:val="24"/>
          <w:szCs w:val="24"/>
          <w:highlight w:val="none"/>
          <w:lang w:eastAsia="zh-CN"/>
        </w:rPr>
        <w:t>文件规定格式</w:t>
      </w:r>
      <w:r>
        <w:rPr>
          <w:rFonts w:hint="eastAsia" w:ascii="宋体" w:hAnsi="宋体" w:eastAsia="宋体" w:cs="宋体"/>
          <w:snapToGrid w:val="0"/>
          <w:color w:val="auto"/>
          <w:sz w:val="24"/>
          <w:szCs w:val="24"/>
          <w:highlight w:val="none"/>
        </w:rPr>
        <w:t>提供</w:t>
      </w:r>
      <w:r>
        <w:rPr>
          <w:rFonts w:hint="eastAsia" w:ascii="宋体" w:hAnsi="宋体" w:eastAsia="宋体" w:cs="宋体"/>
          <w:snapToGrid w:val="0"/>
          <w:color w:val="auto"/>
          <w:sz w:val="24"/>
          <w:szCs w:val="24"/>
          <w:highlight w:val="none"/>
          <w:lang w:eastAsia="zh-CN"/>
        </w:rPr>
        <w:t>“</w:t>
      </w:r>
      <w:r>
        <w:rPr>
          <w:rFonts w:hint="eastAsia" w:ascii="宋体" w:hAnsi="宋体" w:eastAsia="宋体" w:cs="宋体"/>
          <w:snapToGrid w:val="0"/>
          <w:color w:val="auto"/>
          <w:sz w:val="24"/>
          <w:szCs w:val="24"/>
          <w:highlight w:val="none"/>
        </w:rPr>
        <w:t>中小企业声明函</w:t>
      </w:r>
      <w:r>
        <w:rPr>
          <w:rFonts w:hint="eastAsia" w:ascii="宋体" w:hAnsi="宋体" w:eastAsia="宋体" w:cs="宋体"/>
          <w:snapToGrid w:val="0"/>
          <w:color w:val="auto"/>
          <w:sz w:val="24"/>
          <w:szCs w:val="24"/>
          <w:highlight w:val="none"/>
          <w:lang w:eastAsia="zh-CN"/>
        </w:rPr>
        <w:t>”</w:t>
      </w:r>
      <w:r>
        <w:rPr>
          <w:rFonts w:hint="eastAsia" w:ascii="宋体" w:hAnsi="宋体" w:eastAsia="宋体" w:cs="宋体"/>
          <w:snapToGrid w:val="0"/>
          <w:color w:val="auto"/>
          <w:sz w:val="24"/>
          <w:szCs w:val="24"/>
          <w:highlight w:val="none"/>
          <w:lang w:val="en-US" w:eastAsia="zh-CN"/>
        </w:rPr>
        <w:t>或“</w:t>
      </w:r>
      <w:r>
        <w:rPr>
          <w:rFonts w:hint="eastAsia" w:ascii="宋体" w:hAnsi="宋体" w:eastAsia="宋体" w:cs="宋体"/>
          <w:snapToGrid w:val="0"/>
          <w:color w:val="auto"/>
          <w:sz w:val="24"/>
          <w:szCs w:val="24"/>
          <w:highlight w:val="none"/>
        </w:rPr>
        <w:t>监狱企业证明文件</w:t>
      </w:r>
      <w:r>
        <w:rPr>
          <w:rFonts w:hint="eastAsia" w:ascii="宋体" w:hAnsi="宋体" w:eastAsia="宋体" w:cs="宋体"/>
          <w:snapToGrid w:val="0"/>
          <w:color w:val="auto"/>
          <w:sz w:val="24"/>
          <w:szCs w:val="24"/>
          <w:highlight w:val="none"/>
          <w:lang w:eastAsia="zh-CN"/>
        </w:rPr>
        <w:t>”</w:t>
      </w:r>
      <w:r>
        <w:rPr>
          <w:rFonts w:hint="eastAsia" w:ascii="宋体" w:hAnsi="宋体" w:eastAsia="宋体" w:cs="宋体"/>
          <w:snapToGrid w:val="0"/>
          <w:color w:val="auto"/>
          <w:sz w:val="24"/>
          <w:szCs w:val="24"/>
          <w:highlight w:val="none"/>
          <w:lang w:val="en-US" w:eastAsia="zh-CN"/>
        </w:rPr>
        <w:t>或</w:t>
      </w:r>
      <w:r>
        <w:rPr>
          <w:rFonts w:hint="eastAsia" w:ascii="宋体" w:hAnsi="宋体" w:eastAsia="宋体" w:cs="宋体"/>
          <w:snapToGrid w:val="0"/>
          <w:color w:val="auto"/>
          <w:sz w:val="24"/>
          <w:szCs w:val="24"/>
          <w:highlight w:val="none"/>
          <w:lang w:eastAsia="zh-CN"/>
        </w:rPr>
        <w:t>“</w:t>
      </w:r>
      <w:r>
        <w:rPr>
          <w:rFonts w:hint="eastAsia" w:ascii="宋体" w:hAnsi="宋体" w:eastAsia="宋体" w:cs="宋体"/>
          <w:snapToGrid w:val="0"/>
          <w:color w:val="auto"/>
          <w:sz w:val="24"/>
          <w:szCs w:val="24"/>
          <w:highlight w:val="none"/>
        </w:rPr>
        <w:t>残疾人福利性单位声明函</w:t>
      </w:r>
      <w:r>
        <w:rPr>
          <w:rFonts w:hint="eastAsia" w:ascii="宋体" w:hAnsi="宋体" w:eastAsia="宋体" w:cs="宋体"/>
          <w:snapToGrid w:val="0"/>
          <w:color w:val="auto"/>
          <w:sz w:val="24"/>
          <w:szCs w:val="24"/>
          <w:highlight w:val="none"/>
          <w:lang w:eastAsia="zh-CN"/>
        </w:rPr>
        <w:t>”</w:t>
      </w:r>
      <w:r>
        <w:rPr>
          <w:rFonts w:hint="eastAsia" w:ascii="宋体" w:hAnsi="宋体" w:eastAsia="宋体" w:cs="宋体"/>
          <w:snapToGrid w:val="0"/>
          <w:color w:val="auto"/>
          <w:sz w:val="24"/>
          <w:szCs w:val="24"/>
          <w:highlight w:val="none"/>
        </w:rPr>
        <w:t>，评审时，</w:t>
      </w:r>
      <w:r>
        <w:rPr>
          <w:rFonts w:hint="eastAsia" w:ascii="宋体" w:hAnsi="宋体" w:eastAsia="宋体" w:cs="宋体"/>
          <w:snapToGrid w:val="0"/>
          <w:color w:val="auto"/>
          <w:sz w:val="24"/>
          <w:szCs w:val="24"/>
          <w:highlight w:val="none"/>
          <w:lang w:val="en-US" w:eastAsia="zh-CN"/>
        </w:rPr>
        <w:t>评标委员会</w:t>
      </w:r>
      <w:r>
        <w:rPr>
          <w:rFonts w:hint="eastAsia" w:ascii="宋体" w:hAnsi="宋体" w:eastAsia="宋体" w:cs="宋体"/>
          <w:snapToGrid w:val="0"/>
          <w:color w:val="auto"/>
          <w:sz w:val="24"/>
          <w:szCs w:val="24"/>
          <w:highlight w:val="none"/>
        </w:rPr>
        <w:t>将依据</w:t>
      </w:r>
      <w:r>
        <w:rPr>
          <w:rFonts w:hint="eastAsia" w:ascii="宋体" w:hAnsi="宋体" w:eastAsia="宋体" w:cs="宋体"/>
          <w:snapToGrid w:val="0"/>
          <w:color w:val="auto"/>
          <w:sz w:val="24"/>
          <w:szCs w:val="24"/>
          <w:highlight w:val="none"/>
          <w:lang w:eastAsia="zh-CN"/>
        </w:rPr>
        <w:t>本</w:t>
      </w:r>
      <w:r>
        <w:rPr>
          <w:rFonts w:hint="eastAsia" w:ascii="宋体" w:hAnsi="宋体" w:eastAsia="宋体" w:cs="宋体"/>
          <w:snapToGrid w:val="0"/>
          <w:color w:val="auto"/>
          <w:sz w:val="24"/>
          <w:szCs w:val="24"/>
          <w:highlight w:val="none"/>
          <w:lang w:val="en-US" w:eastAsia="zh-CN"/>
        </w:rPr>
        <w:t>招标</w:t>
      </w:r>
      <w:r>
        <w:rPr>
          <w:rFonts w:hint="eastAsia" w:ascii="宋体" w:hAnsi="宋体" w:eastAsia="宋体" w:cs="宋体"/>
          <w:snapToGrid w:val="0"/>
          <w:color w:val="auto"/>
          <w:sz w:val="24"/>
          <w:szCs w:val="24"/>
          <w:highlight w:val="none"/>
          <w:lang w:eastAsia="zh-CN"/>
        </w:rPr>
        <w:t>文件</w:t>
      </w:r>
      <w:r>
        <w:rPr>
          <w:rFonts w:hint="eastAsia" w:ascii="宋体" w:hAnsi="宋体" w:eastAsia="宋体" w:cs="宋体"/>
          <w:snapToGrid w:val="0"/>
          <w:color w:val="auto"/>
          <w:sz w:val="24"/>
          <w:szCs w:val="24"/>
          <w:highlight w:val="none"/>
        </w:rPr>
        <w:t>“</w:t>
      </w:r>
      <w:r>
        <w:rPr>
          <w:rFonts w:hint="eastAsia" w:ascii="宋体" w:hAnsi="宋体" w:eastAsia="宋体" w:cs="宋体"/>
          <w:snapToGrid w:val="0"/>
          <w:color w:val="auto"/>
          <w:sz w:val="24"/>
          <w:szCs w:val="24"/>
          <w:highlight w:val="none"/>
          <w:lang w:val="en-US" w:eastAsia="zh-CN"/>
        </w:rPr>
        <w:t>投标人</w:t>
      </w:r>
      <w:r>
        <w:rPr>
          <w:rFonts w:hint="eastAsia" w:ascii="宋体" w:hAnsi="宋体" w:eastAsia="宋体" w:cs="宋体"/>
          <w:snapToGrid w:val="0"/>
          <w:color w:val="auto"/>
          <w:sz w:val="24"/>
          <w:szCs w:val="24"/>
          <w:highlight w:val="none"/>
        </w:rPr>
        <w:t>须知前附表”规定的报价扣除比例，对供应商报价进行价格扣除，用扣除后的价格参与评审</w:t>
      </w:r>
      <w:r>
        <w:rPr>
          <w:rFonts w:hint="eastAsia" w:ascii="宋体" w:hAnsi="宋体" w:eastAsia="宋体" w:cs="宋体"/>
          <w:snapToGrid w:val="0"/>
          <w:color w:val="auto"/>
          <w:sz w:val="24"/>
          <w:szCs w:val="24"/>
          <w:highlight w:val="none"/>
          <w:lang w:eastAsia="zh-CN"/>
        </w:rPr>
        <w:t>；</w:t>
      </w:r>
      <w:r>
        <w:rPr>
          <w:rFonts w:hint="eastAsia" w:ascii="宋体" w:hAnsi="宋体" w:eastAsia="宋体" w:cs="宋体"/>
          <w:snapToGrid w:val="0"/>
          <w:color w:val="auto"/>
          <w:sz w:val="24"/>
          <w:szCs w:val="24"/>
          <w:highlight w:val="none"/>
          <w:lang w:val="en-US" w:eastAsia="zh-CN"/>
        </w:rPr>
        <w:t>招标</w:t>
      </w:r>
      <w:r>
        <w:rPr>
          <w:rFonts w:hint="eastAsia" w:ascii="宋体" w:hAnsi="宋体" w:eastAsia="宋体" w:cs="宋体"/>
          <w:snapToGrid w:val="0"/>
          <w:color w:val="auto"/>
          <w:sz w:val="24"/>
          <w:szCs w:val="24"/>
          <w:highlight w:val="none"/>
          <w:lang w:eastAsia="zh-CN"/>
        </w:rPr>
        <w:t>公告中明确项目专门面向中小企业采购的，“</w:t>
      </w:r>
      <w:r>
        <w:rPr>
          <w:rFonts w:hint="eastAsia" w:ascii="宋体" w:hAnsi="宋体" w:eastAsia="宋体" w:cs="宋体"/>
          <w:snapToGrid w:val="0"/>
          <w:color w:val="auto"/>
          <w:sz w:val="24"/>
          <w:szCs w:val="24"/>
          <w:highlight w:val="none"/>
        </w:rPr>
        <w:t>中小企业声明函</w:t>
      </w:r>
      <w:r>
        <w:rPr>
          <w:rFonts w:hint="eastAsia" w:ascii="宋体" w:hAnsi="宋体" w:eastAsia="宋体" w:cs="宋体"/>
          <w:snapToGrid w:val="0"/>
          <w:color w:val="auto"/>
          <w:sz w:val="24"/>
          <w:szCs w:val="24"/>
          <w:highlight w:val="none"/>
          <w:lang w:eastAsia="zh-CN"/>
        </w:rPr>
        <w:t>”为资格要求文件，</w:t>
      </w:r>
      <w:r>
        <w:rPr>
          <w:rFonts w:hint="eastAsia" w:ascii="宋体" w:hAnsi="宋体" w:eastAsia="宋体" w:cs="宋体"/>
          <w:snapToGrid w:val="0"/>
          <w:color w:val="auto"/>
          <w:sz w:val="24"/>
          <w:szCs w:val="24"/>
          <w:highlight w:val="none"/>
        </w:rPr>
        <w:t>供应商</w:t>
      </w:r>
      <w:r>
        <w:rPr>
          <w:rFonts w:hint="eastAsia" w:ascii="宋体" w:hAnsi="宋体" w:eastAsia="宋体" w:cs="宋体"/>
          <w:snapToGrid w:val="0"/>
          <w:color w:val="auto"/>
          <w:sz w:val="24"/>
          <w:szCs w:val="24"/>
          <w:highlight w:val="none"/>
          <w:lang w:eastAsia="zh-CN"/>
        </w:rPr>
        <w:t>参与</w:t>
      </w:r>
      <w:r>
        <w:rPr>
          <w:rFonts w:hint="eastAsia" w:ascii="宋体" w:hAnsi="宋体" w:eastAsia="宋体" w:cs="宋体"/>
          <w:snapToGrid w:val="0"/>
          <w:color w:val="auto"/>
          <w:sz w:val="24"/>
          <w:szCs w:val="24"/>
          <w:highlight w:val="none"/>
          <w:lang w:val="en-US" w:eastAsia="zh-CN"/>
        </w:rPr>
        <w:t>投标</w:t>
      </w:r>
      <w:r>
        <w:rPr>
          <w:rFonts w:hint="eastAsia" w:ascii="宋体" w:hAnsi="宋体" w:eastAsia="宋体" w:cs="宋体"/>
          <w:snapToGrid w:val="0"/>
          <w:color w:val="auto"/>
          <w:sz w:val="24"/>
          <w:szCs w:val="24"/>
          <w:highlight w:val="none"/>
          <w:lang w:eastAsia="zh-CN"/>
        </w:rPr>
        <w:t>须按本</w:t>
      </w:r>
      <w:r>
        <w:rPr>
          <w:rFonts w:hint="eastAsia" w:ascii="宋体" w:hAnsi="宋体" w:eastAsia="宋体" w:cs="宋体"/>
          <w:snapToGrid w:val="0"/>
          <w:color w:val="auto"/>
          <w:sz w:val="24"/>
          <w:szCs w:val="24"/>
          <w:highlight w:val="none"/>
          <w:lang w:val="en-US" w:eastAsia="zh-CN"/>
        </w:rPr>
        <w:t>招标</w:t>
      </w:r>
      <w:r>
        <w:rPr>
          <w:rFonts w:hint="eastAsia" w:ascii="宋体" w:hAnsi="宋体" w:eastAsia="宋体" w:cs="宋体"/>
          <w:snapToGrid w:val="0"/>
          <w:color w:val="auto"/>
          <w:sz w:val="24"/>
          <w:szCs w:val="24"/>
          <w:highlight w:val="none"/>
          <w:lang w:eastAsia="zh-CN"/>
        </w:rPr>
        <w:t>文件规定格式</w:t>
      </w:r>
      <w:r>
        <w:rPr>
          <w:rFonts w:hint="eastAsia" w:ascii="宋体" w:hAnsi="宋体" w:eastAsia="宋体" w:cs="宋体"/>
          <w:snapToGrid w:val="0"/>
          <w:color w:val="auto"/>
          <w:sz w:val="24"/>
          <w:szCs w:val="24"/>
          <w:highlight w:val="none"/>
        </w:rPr>
        <w:t>提供</w:t>
      </w:r>
      <w:r>
        <w:rPr>
          <w:rFonts w:hint="eastAsia" w:ascii="宋体" w:hAnsi="宋体" w:eastAsia="宋体" w:cs="宋体"/>
          <w:snapToGrid w:val="0"/>
          <w:color w:val="auto"/>
          <w:sz w:val="24"/>
          <w:szCs w:val="24"/>
          <w:highlight w:val="none"/>
          <w:lang w:eastAsia="zh-CN"/>
        </w:rPr>
        <w:t>“</w:t>
      </w:r>
      <w:r>
        <w:rPr>
          <w:rFonts w:hint="eastAsia" w:ascii="宋体" w:hAnsi="宋体" w:eastAsia="宋体" w:cs="宋体"/>
          <w:snapToGrid w:val="0"/>
          <w:color w:val="auto"/>
          <w:sz w:val="24"/>
          <w:szCs w:val="24"/>
          <w:highlight w:val="none"/>
        </w:rPr>
        <w:t>中小企业声明函</w:t>
      </w:r>
      <w:r>
        <w:rPr>
          <w:rFonts w:hint="eastAsia" w:ascii="宋体" w:hAnsi="宋体" w:eastAsia="宋体" w:cs="宋体"/>
          <w:snapToGrid w:val="0"/>
          <w:color w:val="auto"/>
          <w:sz w:val="24"/>
          <w:szCs w:val="24"/>
          <w:highlight w:val="none"/>
          <w:lang w:eastAsia="zh-CN"/>
        </w:rPr>
        <w:t>”</w:t>
      </w:r>
      <w:r>
        <w:rPr>
          <w:rFonts w:hint="eastAsia" w:ascii="宋体" w:hAnsi="宋体" w:eastAsia="宋体" w:cs="宋体"/>
          <w:snapToGrid w:val="0"/>
          <w:color w:val="auto"/>
          <w:sz w:val="24"/>
          <w:szCs w:val="24"/>
          <w:highlight w:val="none"/>
          <w:lang w:val="en-US" w:eastAsia="zh-CN"/>
        </w:rPr>
        <w:t>或“</w:t>
      </w:r>
      <w:r>
        <w:rPr>
          <w:rFonts w:hint="eastAsia" w:ascii="宋体" w:hAnsi="宋体" w:eastAsia="宋体" w:cs="宋体"/>
          <w:snapToGrid w:val="0"/>
          <w:color w:val="auto"/>
          <w:sz w:val="24"/>
          <w:szCs w:val="24"/>
          <w:highlight w:val="none"/>
        </w:rPr>
        <w:t>监狱企业证明文件</w:t>
      </w:r>
      <w:r>
        <w:rPr>
          <w:rFonts w:hint="eastAsia" w:ascii="宋体" w:hAnsi="宋体" w:eastAsia="宋体" w:cs="宋体"/>
          <w:snapToGrid w:val="0"/>
          <w:color w:val="auto"/>
          <w:sz w:val="24"/>
          <w:szCs w:val="24"/>
          <w:highlight w:val="none"/>
          <w:lang w:eastAsia="zh-CN"/>
        </w:rPr>
        <w:t>”</w:t>
      </w:r>
      <w:r>
        <w:rPr>
          <w:rFonts w:hint="eastAsia" w:ascii="宋体" w:hAnsi="宋体" w:eastAsia="宋体" w:cs="宋体"/>
          <w:snapToGrid w:val="0"/>
          <w:color w:val="auto"/>
          <w:sz w:val="24"/>
          <w:szCs w:val="24"/>
          <w:highlight w:val="none"/>
          <w:lang w:val="en-US" w:eastAsia="zh-CN"/>
        </w:rPr>
        <w:t>或</w:t>
      </w:r>
      <w:r>
        <w:rPr>
          <w:rFonts w:hint="eastAsia" w:ascii="宋体" w:hAnsi="宋体" w:eastAsia="宋体" w:cs="宋体"/>
          <w:snapToGrid w:val="0"/>
          <w:color w:val="auto"/>
          <w:sz w:val="24"/>
          <w:szCs w:val="24"/>
          <w:highlight w:val="none"/>
          <w:lang w:eastAsia="zh-CN"/>
        </w:rPr>
        <w:t>“</w:t>
      </w:r>
      <w:r>
        <w:rPr>
          <w:rFonts w:hint="eastAsia" w:ascii="宋体" w:hAnsi="宋体" w:eastAsia="宋体" w:cs="宋体"/>
          <w:snapToGrid w:val="0"/>
          <w:color w:val="auto"/>
          <w:sz w:val="24"/>
          <w:szCs w:val="24"/>
          <w:highlight w:val="none"/>
        </w:rPr>
        <w:t>残疾人福利性单位声明函</w:t>
      </w:r>
      <w:r>
        <w:rPr>
          <w:rFonts w:hint="eastAsia" w:ascii="宋体" w:hAnsi="宋体" w:eastAsia="宋体" w:cs="宋体"/>
          <w:snapToGrid w:val="0"/>
          <w:color w:val="auto"/>
          <w:sz w:val="24"/>
          <w:szCs w:val="24"/>
          <w:highlight w:val="none"/>
          <w:lang w:eastAsia="zh-CN"/>
        </w:rPr>
        <w:t>”等作为资格证明文件。</w:t>
      </w:r>
      <w:r>
        <w:rPr>
          <w:rFonts w:hint="eastAsia" w:ascii="宋体" w:hAnsi="宋体" w:eastAsia="宋体" w:cs="宋体"/>
          <w:snapToGrid w:val="0"/>
          <w:color w:val="auto"/>
          <w:sz w:val="24"/>
          <w:szCs w:val="24"/>
          <w:highlight w:val="none"/>
          <w:lang w:val="en-US" w:eastAsia="zh-CN"/>
        </w:rPr>
        <w:t xml:space="preserve"> </w:t>
      </w:r>
    </w:p>
    <w:p w14:paraId="743E5E0E">
      <w:pPr>
        <w:pStyle w:val="37"/>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lang w:val="en-US" w:eastAsia="zh-CN"/>
        </w:rPr>
        <w:t xml:space="preserve">42.3 供应商提供的货物、工程或者服务符合下列情形的，享受中小企业扶持政策： </w:t>
      </w:r>
    </w:p>
    <w:p w14:paraId="07E7A00A">
      <w:pPr>
        <w:pStyle w:val="37"/>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lang w:val="en-US" w:eastAsia="zh-CN"/>
        </w:rPr>
        <w:t xml:space="preserve">（1）在货物采购项目中，货物由中小企业制造，即货物由中小企业生产且使用该中小企业商号或者注册商标； </w:t>
      </w:r>
    </w:p>
    <w:p w14:paraId="128FB5A1">
      <w:pPr>
        <w:pStyle w:val="37"/>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lang w:val="en-US" w:eastAsia="zh-CN"/>
        </w:rPr>
        <w:t xml:space="preserve">（2）在工程采购项目中，工程由中小企业承建，即工程施工单位为中小企业； </w:t>
      </w:r>
    </w:p>
    <w:p w14:paraId="4557B965">
      <w:pPr>
        <w:pStyle w:val="37"/>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lang w:val="en-US" w:eastAsia="zh-CN"/>
        </w:rPr>
        <w:t>（3）在服务采购项目中，服务由中小企业承接，即提供服务的人员为中小企业依照《中华人民共和国劳动合同法》订立劳动合同的从业人员。</w:t>
      </w:r>
    </w:p>
    <w:p w14:paraId="5C38B69F">
      <w:pPr>
        <w:pStyle w:val="37"/>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lang w:val="en-US" w:eastAsia="zh-CN"/>
        </w:rPr>
        <w:t xml:space="preserve">42.4 在服务采购项目中，供应商提供的服务既有中小企业承接，也有大型企业承接的，不享受中小企业扶持政策。 </w:t>
      </w:r>
    </w:p>
    <w:p w14:paraId="31F905A3">
      <w:pPr>
        <w:pStyle w:val="37"/>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snapToGrid w:val="0"/>
          <w:color w:val="auto"/>
          <w:sz w:val="24"/>
          <w:szCs w:val="24"/>
          <w:highlight w:val="none"/>
          <w:lang w:val="en-US" w:eastAsia="zh-CN"/>
        </w:rPr>
      </w:pPr>
      <w:r>
        <w:rPr>
          <w:rFonts w:hint="eastAsia" w:ascii="宋体" w:hAnsi="宋体" w:eastAsia="宋体" w:cs="宋体"/>
          <w:snapToGrid w:val="0"/>
          <w:color w:val="auto"/>
          <w:sz w:val="24"/>
          <w:szCs w:val="24"/>
          <w:highlight w:val="none"/>
          <w:lang w:val="en-US" w:eastAsia="zh-CN"/>
        </w:rPr>
        <w:t>42.5 以联合体形式参加政府采购活动，联合体各方均为中小企业的，联合体视同中小企业。其中，联合体各方均为小微企业的，联合体视同小微企业。</w:t>
      </w:r>
    </w:p>
    <w:p w14:paraId="589A89E3">
      <w:pPr>
        <w:pStyle w:val="37"/>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lang w:val="en-US" w:eastAsia="zh-CN"/>
        </w:rPr>
        <w:t xml:space="preserve">42.6 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 </w:t>
      </w:r>
    </w:p>
    <w:p w14:paraId="1EF9D90B">
      <w:pPr>
        <w:pStyle w:val="37"/>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lang w:val="en-US" w:eastAsia="zh-CN"/>
        </w:rPr>
        <w:t xml:space="preserve">42.7 在政府采购活动中，残疾人福利性单位视同小型、微型企业，享受预留份额、评审中价格扣除等促进中小企业发展的政府采购政策。残疾人福利性单位定义：享受政府采购支持政策的残疾人福利性单位应当同时满足以下条件： </w:t>
      </w:r>
    </w:p>
    <w:p w14:paraId="2EADF7DB">
      <w:pPr>
        <w:pStyle w:val="37"/>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lang w:val="en-US" w:eastAsia="zh-CN"/>
        </w:rPr>
        <w:t xml:space="preserve">42.7.1 安置的残疾人占本单位在职职工人数的比例不低于 25% （含 25%），并且安置的残疾人人数不少于 10 人（含 10人）； </w:t>
      </w:r>
    </w:p>
    <w:p w14:paraId="5B128E6C">
      <w:pPr>
        <w:pStyle w:val="37"/>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lang w:val="en-US" w:eastAsia="zh-CN"/>
        </w:rPr>
        <w:t xml:space="preserve">42.7.2 依法与安置的每位残疾人签订了1年以上（含1年）的劳动合同或服务协议； </w:t>
      </w:r>
    </w:p>
    <w:p w14:paraId="750299D4">
      <w:pPr>
        <w:pStyle w:val="37"/>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lang w:val="en-US" w:eastAsia="zh-CN"/>
        </w:rPr>
        <w:t xml:space="preserve">42.7.3 为安置的每位残疾人按月足额缴纳了基本养老保险、基本医疗保险、失业保险、工伤保险和生育保险等社会保险费； </w:t>
      </w:r>
    </w:p>
    <w:p w14:paraId="5494926D">
      <w:pPr>
        <w:pStyle w:val="37"/>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lang w:val="en-US" w:eastAsia="zh-CN"/>
        </w:rPr>
        <w:t xml:space="preserve">42.7.4 通过银行等金融机构向安置的每位残疾人，按月支付了不低于单位所在区县适用的经省级人民政府批准的月最低工资标准的工资； </w:t>
      </w:r>
    </w:p>
    <w:p w14:paraId="6AD696D2">
      <w:pPr>
        <w:pStyle w:val="37"/>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lang w:val="en-US" w:eastAsia="zh-CN"/>
        </w:rPr>
        <w:t xml:space="preserve">42.7.5 提供本单位制造的货物、承担的工程或者服务（以下简称产品），或者提供其他残疾人福利性单位制造的货物（不包括使用非残疾人福利性单位注册商标的货物）； </w:t>
      </w:r>
    </w:p>
    <w:p w14:paraId="6F6930A8">
      <w:pPr>
        <w:pStyle w:val="37"/>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lang w:val="en-US" w:eastAsia="zh-CN"/>
        </w:rPr>
        <w:t xml:space="preserve">42.7.6 前款所称残疾人是指法定劳动年龄内，持有《中华人民共和国残疾人证》或者《中华人民共和国残疾军人证（1 至 8 级）》的自然人，包括具有劳动条件和劳动意愿的精神残疾人。在职职工人数是指与残疾人福利性单位建立劳动关系并依法签订劳动合同或服务协议的雇员人数。 </w:t>
      </w:r>
    </w:p>
    <w:p w14:paraId="50A69BFA">
      <w:pPr>
        <w:pStyle w:val="37"/>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lang w:val="en-US" w:eastAsia="zh-CN"/>
        </w:rPr>
        <w:t xml:space="preserve">42.8 本项目是否专门面向中小企业预留采购份额见“第一章 </w:t>
      </w:r>
      <w:r>
        <w:rPr>
          <w:rFonts w:hint="eastAsia" w:ascii="宋体" w:hAnsi="宋体" w:eastAsia="宋体" w:cs="宋体"/>
          <w:color w:val="auto"/>
          <w:sz w:val="24"/>
          <w:szCs w:val="24"/>
          <w:highlight w:val="none"/>
          <w:lang w:val="en-US" w:eastAsia="zh-CN"/>
        </w:rPr>
        <w:t>招标公告</w:t>
      </w:r>
      <w:r>
        <w:rPr>
          <w:rFonts w:hint="eastAsia" w:ascii="宋体" w:hAnsi="宋体" w:eastAsia="宋体" w:cs="宋体"/>
          <w:snapToGrid w:val="0"/>
          <w:color w:val="auto"/>
          <w:sz w:val="24"/>
          <w:szCs w:val="24"/>
          <w:highlight w:val="none"/>
          <w:lang w:val="en-US" w:eastAsia="zh-CN"/>
        </w:rPr>
        <w:t>”。    42.9 采购标的对应的中小企业划分标准所属行业见“投标人须知前附表”。    42.10 小微企业价格评审优惠的政策调整：见“投标人须知前附表”及“第五章 评标方法及标准”。</w:t>
      </w:r>
    </w:p>
    <w:p w14:paraId="17DD5FF7">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4"/>
          <w:highlight w:val="none"/>
          <w:lang w:val="en-US" w:eastAsia="zh-CN" w:bidi="ar-SA"/>
        </w:rPr>
      </w:pPr>
      <w:bookmarkStart w:id="310" w:name="_Toc163492878"/>
      <w:bookmarkStart w:id="311" w:name="_Toc18531"/>
      <w:r>
        <w:rPr>
          <w:rFonts w:hint="eastAsia" w:ascii="宋体" w:hAnsi="宋体" w:eastAsia="宋体" w:cs="宋体"/>
          <w:b/>
          <w:bCs/>
          <w:color w:val="auto"/>
          <w:kern w:val="2"/>
          <w:sz w:val="24"/>
          <w:szCs w:val="24"/>
          <w:highlight w:val="none"/>
          <w:lang w:val="en-US" w:eastAsia="zh-CN" w:bidi="ar-SA"/>
        </w:rPr>
        <w:t>43.政府采购节能产品、环境标志产品</w:t>
      </w:r>
      <w:bookmarkEnd w:id="310"/>
      <w:bookmarkEnd w:id="311"/>
    </w:p>
    <w:p w14:paraId="741E7E7A">
      <w:pPr>
        <w:pStyle w:val="37"/>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lang w:val="en-US" w:eastAsia="zh-CN"/>
        </w:rPr>
        <w:t>43.1 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关于政府采购节能产品、环境标志产品的相关规定依据《关于调整优化节能产品、环境标志产品政府采购执行机制的通知》（财库〔2019〕9 号）、《关于印发环境标志产品政府采购品目清单的通知》（财库〔2019〕18号）、《关于印发节能产品政府采购品目清单的通知》（财库〔2019〕19号）的规定。</w:t>
      </w:r>
    </w:p>
    <w:p w14:paraId="2EC4C51A">
      <w:pPr>
        <w:pStyle w:val="37"/>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lang w:val="en-US" w:eastAsia="zh-CN"/>
        </w:rPr>
        <w:t xml:space="preserve">43.2 采购人拟采购的产品属于品目清单范围的，采购人及其委托的采购代理机构依据国家确定的认证机构出具的、处于有效期之内的节能产品、环境标志产品认证证书，对获得证书的产品实施政府优先采购或强制采购。 </w:t>
      </w:r>
    </w:p>
    <w:p w14:paraId="25CFE0EE">
      <w:pPr>
        <w:pStyle w:val="37"/>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lang w:val="en-US" w:eastAsia="zh-CN"/>
        </w:rPr>
        <w:t>43.3 如本项目采购产品属于实施政府强制采购品目清单范围的节能产品，则投标人所报产品必须获得国家确定的认证机构出具的、处于有效期之内的节能产品认证证书，否则</w:t>
      </w:r>
      <w:r>
        <w:rPr>
          <w:rFonts w:hint="eastAsia" w:ascii="宋体" w:hAnsi="宋体" w:eastAsia="宋体" w:cs="宋体"/>
          <w:b/>
          <w:bCs/>
          <w:snapToGrid w:val="0"/>
          <w:color w:val="auto"/>
          <w:sz w:val="24"/>
          <w:szCs w:val="24"/>
          <w:highlight w:val="none"/>
          <w:lang w:val="en-US" w:eastAsia="zh-CN"/>
        </w:rPr>
        <w:t>投标无效</w:t>
      </w:r>
      <w:r>
        <w:rPr>
          <w:rFonts w:hint="eastAsia" w:ascii="宋体" w:hAnsi="宋体" w:eastAsia="宋体" w:cs="宋体"/>
          <w:snapToGrid w:val="0"/>
          <w:color w:val="auto"/>
          <w:sz w:val="24"/>
          <w:szCs w:val="24"/>
          <w:highlight w:val="none"/>
          <w:lang w:val="en-US" w:eastAsia="zh-CN"/>
        </w:rPr>
        <w:t xml:space="preserve">。 </w:t>
      </w:r>
    </w:p>
    <w:p w14:paraId="04E599F1">
      <w:pPr>
        <w:pStyle w:val="37"/>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lang w:val="en-US" w:eastAsia="zh-CN"/>
        </w:rPr>
        <w:t>43.4 非政府强制采购的节能产品或环境标志产品，依据品目清单和认证证书实施政府优先采购。优先采购的具体规定见“第五章 评标方法及标准”（如涉及）。</w:t>
      </w:r>
    </w:p>
    <w:p w14:paraId="51B3D928">
      <w:pPr>
        <w:pStyle w:val="37"/>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rPr>
      </w:pPr>
      <w:r>
        <w:rPr>
          <w:rFonts w:hint="eastAsia" w:ascii="宋体" w:hAnsi="宋体" w:eastAsia="宋体" w:cs="宋体"/>
          <w:snapToGrid w:val="0"/>
          <w:color w:val="auto"/>
          <w:sz w:val="24"/>
          <w:szCs w:val="24"/>
          <w:highlight w:val="none"/>
          <w:lang w:val="en-US" w:eastAsia="zh-CN"/>
        </w:rPr>
        <w:t xml:space="preserve">43.5 </w:t>
      </w:r>
      <w:r>
        <w:rPr>
          <w:rFonts w:hint="eastAsia" w:ascii="宋体" w:hAnsi="宋体" w:eastAsia="宋体" w:cs="宋体"/>
          <w:snapToGrid w:val="0"/>
          <w:color w:val="auto"/>
          <w:sz w:val="24"/>
          <w:szCs w:val="24"/>
          <w:highlight w:val="none"/>
        </w:rPr>
        <w:t>投标人所投产品如属于节能产品政府采购品目清单、环境标志产品政府采购品目清单范围的，须提供国家确定的认证机构出具的、处于有效期内的产品认证证书，认证证书的产品型号与所投产品不一致的，视为未提供。属于政府强制采购产品的，已作为投标时强制性要求不再给予</w:t>
      </w:r>
      <w:r>
        <w:rPr>
          <w:rFonts w:hint="eastAsia" w:ascii="宋体" w:hAnsi="宋体" w:eastAsia="宋体" w:cs="宋体"/>
          <w:snapToGrid w:val="0"/>
          <w:color w:val="auto"/>
          <w:sz w:val="24"/>
          <w:szCs w:val="24"/>
          <w:highlight w:val="none"/>
          <w:lang w:val="en-US" w:eastAsia="zh-CN"/>
        </w:rPr>
        <w:t>评审优惠</w:t>
      </w:r>
      <w:r>
        <w:rPr>
          <w:rFonts w:hint="eastAsia" w:ascii="宋体" w:hAnsi="宋体" w:eastAsia="宋体" w:cs="宋体"/>
          <w:snapToGrid w:val="0"/>
          <w:color w:val="auto"/>
          <w:sz w:val="24"/>
          <w:szCs w:val="24"/>
          <w:highlight w:val="none"/>
        </w:rPr>
        <w:t>，未提供认证证书的视为</w:t>
      </w:r>
      <w:r>
        <w:rPr>
          <w:rFonts w:hint="eastAsia" w:ascii="宋体" w:hAnsi="宋体" w:eastAsia="宋体" w:cs="宋体"/>
          <w:b/>
          <w:bCs/>
          <w:snapToGrid w:val="0"/>
          <w:color w:val="auto"/>
          <w:sz w:val="24"/>
          <w:szCs w:val="24"/>
          <w:highlight w:val="none"/>
          <w:lang w:val="en-US" w:eastAsia="zh-CN"/>
        </w:rPr>
        <w:t>投标</w:t>
      </w:r>
      <w:r>
        <w:rPr>
          <w:rFonts w:hint="eastAsia" w:ascii="宋体" w:hAnsi="宋体" w:eastAsia="宋体" w:cs="宋体"/>
          <w:b/>
          <w:bCs/>
          <w:snapToGrid w:val="0"/>
          <w:color w:val="auto"/>
          <w:sz w:val="24"/>
          <w:szCs w:val="24"/>
          <w:highlight w:val="none"/>
        </w:rPr>
        <w:t>无效</w:t>
      </w:r>
      <w:r>
        <w:rPr>
          <w:rFonts w:hint="eastAsia" w:ascii="宋体" w:hAnsi="宋体" w:eastAsia="宋体" w:cs="宋体"/>
          <w:snapToGrid w:val="0"/>
          <w:color w:val="auto"/>
          <w:sz w:val="24"/>
          <w:szCs w:val="24"/>
          <w:highlight w:val="none"/>
        </w:rPr>
        <w:t>。属于</w:t>
      </w:r>
      <w:r>
        <w:rPr>
          <w:rFonts w:hint="eastAsia" w:ascii="宋体" w:hAnsi="宋体" w:eastAsia="宋体" w:cs="宋体"/>
          <w:snapToGrid w:val="0"/>
          <w:color w:val="auto"/>
          <w:sz w:val="24"/>
          <w:szCs w:val="24"/>
          <w:highlight w:val="none"/>
          <w:lang w:val="en-US" w:eastAsia="zh-CN"/>
        </w:rPr>
        <w:t>优先采购</w:t>
      </w:r>
      <w:r>
        <w:rPr>
          <w:rFonts w:hint="eastAsia" w:ascii="宋体" w:hAnsi="宋体" w:eastAsia="宋体" w:cs="宋体"/>
          <w:snapToGrid w:val="0"/>
          <w:color w:val="auto"/>
          <w:sz w:val="24"/>
          <w:szCs w:val="24"/>
          <w:highlight w:val="none"/>
        </w:rPr>
        <w:t>节能产品政府采购品目清单、环境标志产品政府采购品目清单</w:t>
      </w:r>
      <w:r>
        <w:rPr>
          <w:rFonts w:hint="eastAsia" w:ascii="宋体" w:hAnsi="宋体" w:eastAsia="宋体" w:cs="宋体"/>
          <w:snapToGrid w:val="0"/>
          <w:color w:val="auto"/>
          <w:sz w:val="24"/>
          <w:szCs w:val="24"/>
          <w:highlight w:val="none"/>
          <w:lang w:eastAsia="zh-CN"/>
        </w:rPr>
        <w:t>、</w:t>
      </w:r>
      <w:r>
        <w:rPr>
          <w:rFonts w:hint="eastAsia" w:ascii="宋体" w:hAnsi="宋体" w:eastAsia="宋体" w:cs="宋体"/>
          <w:snapToGrid w:val="0"/>
          <w:color w:val="auto"/>
          <w:sz w:val="24"/>
          <w:szCs w:val="24"/>
          <w:highlight w:val="none"/>
          <w:lang w:val="en-US" w:eastAsia="zh-CN"/>
        </w:rPr>
        <w:t>创新产品</w:t>
      </w:r>
      <w:r>
        <w:rPr>
          <w:rFonts w:hint="eastAsia" w:ascii="宋体" w:hAnsi="宋体" w:eastAsia="宋体" w:cs="宋体"/>
          <w:snapToGrid w:val="0"/>
          <w:color w:val="auto"/>
          <w:sz w:val="24"/>
          <w:szCs w:val="24"/>
          <w:highlight w:val="none"/>
        </w:rPr>
        <w:t>范围的，按照“</w:t>
      </w:r>
      <w:r>
        <w:rPr>
          <w:rFonts w:hint="eastAsia" w:ascii="宋体" w:hAnsi="宋体" w:eastAsia="宋体" w:cs="宋体"/>
          <w:color w:val="auto"/>
          <w:sz w:val="24"/>
          <w:szCs w:val="24"/>
          <w:highlight w:val="none"/>
          <w:lang w:val="en-US" w:eastAsia="zh-CN"/>
        </w:rPr>
        <w:t>第五章 评标方法及标准</w:t>
      </w:r>
      <w:r>
        <w:rPr>
          <w:rFonts w:hint="eastAsia" w:ascii="宋体" w:hAnsi="宋体" w:eastAsia="宋体" w:cs="宋体"/>
          <w:snapToGrid w:val="0"/>
          <w:color w:val="auto"/>
          <w:sz w:val="24"/>
          <w:szCs w:val="24"/>
          <w:highlight w:val="none"/>
        </w:rPr>
        <w:t>”中相关规定</w:t>
      </w:r>
      <w:r>
        <w:rPr>
          <w:rFonts w:hint="eastAsia" w:ascii="宋体" w:hAnsi="宋体" w:eastAsia="宋体" w:cs="宋体"/>
          <w:color w:val="auto"/>
          <w:sz w:val="24"/>
          <w:szCs w:val="24"/>
          <w:highlight w:val="none"/>
          <w:lang w:val="en-US" w:eastAsia="zh-CN"/>
        </w:rPr>
        <w:t>在</w:t>
      </w:r>
      <w:r>
        <w:rPr>
          <w:rFonts w:hint="eastAsia" w:ascii="宋体" w:hAnsi="宋体" w:eastAsia="宋体" w:cs="宋体"/>
          <w:snapToGrid w:val="0"/>
          <w:color w:val="auto"/>
          <w:sz w:val="24"/>
          <w:szCs w:val="24"/>
          <w:highlight w:val="none"/>
          <w:lang w:val="en-US" w:eastAsia="zh-CN"/>
        </w:rPr>
        <w:t>评审时给予优惠，具</w:t>
      </w:r>
      <w:r>
        <w:rPr>
          <w:rFonts w:hint="eastAsia" w:ascii="宋体" w:hAnsi="宋体" w:eastAsia="宋体" w:cs="宋体"/>
          <w:color w:val="auto"/>
          <w:sz w:val="24"/>
          <w:szCs w:val="24"/>
          <w:highlight w:val="none"/>
          <w:lang w:val="en-US" w:eastAsia="zh-CN"/>
        </w:rPr>
        <w:t>体详见</w:t>
      </w:r>
      <w:r>
        <w:rPr>
          <w:rFonts w:hint="eastAsia" w:ascii="宋体" w:hAnsi="宋体" w:eastAsia="宋体" w:cs="宋体"/>
          <w:snapToGrid w:val="0"/>
          <w:color w:val="auto"/>
          <w:sz w:val="24"/>
          <w:szCs w:val="24"/>
          <w:highlight w:val="none"/>
          <w:lang w:val="en-US" w:eastAsia="zh-CN"/>
        </w:rPr>
        <w:t>“投标人须知前附表”及</w:t>
      </w:r>
      <w:r>
        <w:rPr>
          <w:rFonts w:hint="eastAsia" w:ascii="宋体" w:hAnsi="宋体" w:eastAsia="宋体" w:cs="宋体"/>
          <w:color w:val="auto"/>
          <w:sz w:val="24"/>
          <w:szCs w:val="24"/>
          <w:highlight w:val="none"/>
          <w:lang w:val="en-US" w:eastAsia="zh-CN"/>
        </w:rPr>
        <w:t>“第五章 评标方法及标准”</w:t>
      </w:r>
      <w:r>
        <w:rPr>
          <w:rFonts w:hint="eastAsia" w:ascii="宋体" w:hAnsi="宋体" w:eastAsia="宋体" w:cs="宋体"/>
          <w:color w:val="auto"/>
          <w:sz w:val="24"/>
          <w:szCs w:val="24"/>
          <w:highlight w:val="none"/>
        </w:rPr>
        <w:t>。</w:t>
      </w:r>
    </w:p>
    <w:p w14:paraId="5F04C72A">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4"/>
          <w:highlight w:val="none"/>
          <w:lang w:val="en-US" w:eastAsia="zh-CN" w:bidi="ar-SA"/>
        </w:rPr>
      </w:pPr>
      <w:bookmarkStart w:id="312" w:name="_Toc20976"/>
      <w:bookmarkStart w:id="313" w:name="_Toc163492879"/>
      <w:r>
        <w:rPr>
          <w:rFonts w:hint="eastAsia" w:ascii="宋体" w:hAnsi="宋体" w:eastAsia="宋体" w:cs="宋体"/>
          <w:b/>
          <w:bCs/>
          <w:color w:val="auto"/>
          <w:kern w:val="2"/>
          <w:sz w:val="24"/>
          <w:szCs w:val="24"/>
          <w:highlight w:val="none"/>
          <w:lang w:val="en-US" w:eastAsia="zh-CN" w:bidi="ar-SA"/>
        </w:rPr>
        <w:t>44.正版软件</w:t>
      </w:r>
      <w:bookmarkEnd w:id="312"/>
      <w:r>
        <w:rPr>
          <w:rFonts w:hint="eastAsia" w:ascii="宋体" w:hAnsi="宋体" w:eastAsia="宋体" w:cs="宋体"/>
          <w:b/>
          <w:bCs/>
          <w:color w:val="auto"/>
          <w:kern w:val="2"/>
          <w:sz w:val="24"/>
          <w:szCs w:val="24"/>
          <w:highlight w:val="none"/>
          <w:lang w:val="en-US" w:eastAsia="zh-CN" w:bidi="ar-SA"/>
        </w:rPr>
        <w:t xml:space="preserve">  </w:t>
      </w:r>
    </w:p>
    <w:p w14:paraId="7504E407">
      <w:pPr>
        <w:pStyle w:val="37"/>
        <w:keepNext w:val="0"/>
        <w:keepLines w:val="0"/>
        <w:pageBreakBefore w:val="0"/>
        <w:widowControl w:val="0"/>
        <w:kinsoku/>
        <w:overflowPunct/>
        <w:topLinePunct w:val="0"/>
        <w:autoSpaceDE/>
        <w:autoSpaceDN/>
        <w:bidi w:val="0"/>
        <w:adjustRightInd/>
        <w:snapToGrid/>
        <w:jc w:val="both"/>
        <w:textAlignment w:val="auto"/>
        <w:rPr>
          <w:rFonts w:hint="eastAsia" w:ascii="宋体" w:hAnsi="宋体" w:eastAsia="宋体" w:cs="宋体"/>
          <w:snapToGrid w:val="0"/>
          <w:color w:val="auto"/>
          <w:sz w:val="24"/>
          <w:szCs w:val="24"/>
          <w:highlight w:val="none"/>
          <w:lang w:val="en-US" w:eastAsia="zh-CN"/>
        </w:rPr>
      </w:pPr>
      <w:r>
        <w:rPr>
          <w:rFonts w:hint="eastAsia" w:ascii="宋体" w:hAnsi="宋体" w:eastAsia="宋体" w:cs="宋体"/>
          <w:snapToGrid w:val="0"/>
          <w:color w:val="auto"/>
          <w:sz w:val="24"/>
          <w:szCs w:val="24"/>
          <w:highlight w:val="none"/>
          <w:lang w:val="en-US" w:eastAsia="zh-CN"/>
        </w:rPr>
        <w:t>44.1 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号）、《国务院办公厅关于印发政府机关使用正版软件管理办法的通知》国办发〔2013〕88号。</w:t>
      </w:r>
    </w:p>
    <w:p w14:paraId="139B1CB1">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4"/>
          <w:highlight w:val="none"/>
          <w:lang w:val="en-US" w:eastAsia="zh-CN" w:bidi="ar-SA"/>
        </w:rPr>
      </w:pPr>
      <w:bookmarkStart w:id="314" w:name="_Toc3951"/>
      <w:r>
        <w:rPr>
          <w:rFonts w:hint="eastAsia" w:ascii="宋体" w:hAnsi="宋体" w:eastAsia="宋体" w:cs="宋体"/>
          <w:b/>
          <w:bCs/>
          <w:color w:val="auto"/>
          <w:kern w:val="2"/>
          <w:sz w:val="24"/>
          <w:szCs w:val="24"/>
          <w:highlight w:val="none"/>
          <w:lang w:val="en-US" w:eastAsia="zh-CN" w:bidi="ar-SA"/>
        </w:rPr>
        <w:t>45.网络安全专用产品</w:t>
      </w:r>
      <w:bookmarkEnd w:id="314"/>
      <w:r>
        <w:rPr>
          <w:rFonts w:hint="eastAsia" w:ascii="宋体" w:hAnsi="宋体" w:eastAsia="宋体" w:cs="宋体"/>
          <w:b/>
          <w:bCs/>
          <w:color w:val="auto"/>
          <w:kern w:val="2"/>
          <w:sz w:val="24"/>
          <w:szCs w:val="24"/>
          <w:highlight w:val="none"/>
          <w:lang w:val="en-US" w:eastAsia="zh-CN" w:bidi="ar-SA"/>
        </w:rPr>
        <w:t xml:space="preserve">   </w:t>
      </w:r>
    </w:p>
    <w:p w14:paraId="13C08773">
      <w:pPr>
        <w:pStyle w:val="37"/>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snapToGrid w:val="0"/>
          <w:color w:val="auto"/>
          <w:sz w:val="24"/>
          <w:szCs w:val="24"/>
          <w:highlight w:val="none"/>
          <w:lang w:val="en-US" w:eastAsia="zh-CN"/>
        </w:rPr>
      </w:pPr>
      <w:r>
        <w:rPr>
          <w:rFonts w:hint="eastAsia" w:ascii="宋体" w:hAnsi="宋体" w:eastAsia="宋体" w:cs="宋体"/>
          <w:snapToGrid w:val="0"/>
          <w:color w:val="auto"/>
          <w:sz w:val="24"/>
          <w:szCs w:val="24"/>
          <w:highlight w:val="none"/>
          <w:lang w:val="en-US" w:eastAsia="zh-CN"/>
        </w:rPr>
        <w:t>45.1本项目中如涉及网络关键设备或网络安全专用产品的，应严格执行国家互联网信息办公室、工业和信息化部、公安部、财政部和国家认证认可监督管理委员会 2023年第 1 号《关于调整网络安全专用产品安全管理有关事项的公告》及国家互联网信息办公室、工业和信息化部、公安部和国家认证认可监督管理委员会 2023 年第 2号《关于调整&lt;网络关键设备和网络安全专用产品目录&gt;的公告》等相关文件要求，所投标（响应）设备或产品至少符合以下条件之一：一是已由具备资格的机构安全认证合格或安全检测符合要求；二是已获得《计算机信息系统安全专用产品销售许可证》，且在有效期内。采购人、中标(成交)人双方签订合同及验收环节，应包含上述网络安全要求的条款。</w:t>
      </w:r>
    </w:p>
    <w:p w14:paraId="575DAF11">
      <w:pPr>
        <w:pStyle w:val="37"/>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snapToGrid w:val="0"/>
          <w:color w:val="auto"/>
          <w:sz w:val="24"/>
          <w:szCs w:val="24"/>
          <w:highlight w:val="none"/>
          <w:lang w:val="en-US" w:eastAsia="zh-CN"/>
        </w:rPr>
      </w:pPr>
      <w:r>
        <w:rPr>
          <w:rFonts w:hint="eastAsia" w:ascii="宋体" w:hAnsi="宋体" w:eastAsia="宋体" w:cs="宋体"/>
          <w:snapToGrid w:val="0"/>
          <w:color w:val="auto"/>
          <w:sz w:val="24"/>
          <w:szCs w:val="24"/>
          <w:highlight w:val="none"/>
          <w:lang w:val="en-US" w:eastAsia="zh-CN"/>
        </w:rPr>
        <w:t xml:space="preserve">45.2本项目中如涉及国家强制性产品认证证书（CCC 认证证书）、电信设备进网许可证、无线电发射设备核准证等市场准入类资质的，应严格执行国家相关法律法规的要求。采购人、中标(成交)人双方签订合同及验收环节，应包含上述市场准入类资质要求的条款。 </w:t>
      </w:r>
    </w:p>
    <w:p w14:paraId="567E703D">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4"/>
          <w:highlight w:val="none"/>
          <w:lang w:val="en-US" w:eastAsia="zh-CN" w:bidi="ar-SA"/>
        </w:rPr>
      </w:pPr>
      <w:bookmarkStart w:id="315" w:name="_Toc5298"/>
      <w:r>
        <w:rPr>
          <w:rFonts w:hint="eastAsia" w:ascii="宋体" w:hAnsi="宋体" w:eastAsia="宋体" w:cs="宋体"/>
          <w:b/>
          <w:bCs/>
          <w:color w:val="auto"/>
          <w:kern w:val="2"/>
          <w:sz w:val="24"/>
          <w:szCs w:val="24"/>
          <w:highlight w:val="none"/>
          <w:lang w:val="en-US" w:eastAsia="zh-CN" w:bidi="ar-SA"/>
        </w:rPr>
        <w:t>46.采购需求标准</w:t>
      </w:r>
      <w:bookmarkEnd w:id="315"/>
      <w:r>
        <w:rPr>
          <w:rFonts w:hint="eastAsia" w:ascii="宋体" w:hAnsi="宋体" w:eastAsia="宋体" w:cs="宋体"/>
          <w:b/>
          <w:bCs/>
          <w:color w:val="auto"/>
          <w:kern w:val="2"/>
          <w:sz w:val="24"/>
          <w:szCs w:val="24"/>
          <w:highlight w:val="none"/>
          <w:lang w:val="en-US" w:eastAsia="zh-CN" w:bidi="ar-SA"/>
        </w:rPr>
        <w:t xml:space="preserve">   </w:t>
      </w:r>
    </w:p>
    <w:p w14:paraId="77C63652">
      <w:pPr>
        <w:pStyle w:val="37"/>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snapToGrid w:val="0"/>
          <w:color w:val="auto"/>
          <w:sz w:val="24"/>
          <w:szCs w:val="24"/>
          <w:highlight w:val="none"/>
          <w:lang w:val="en-US" w:eastAsia="zh-CN"/>
        </w:rPr>
      </w:pPr>
      <w:r>
        <w:rPr>
          <w:rFonts w:hint="eastAsia" w:ascii="宋体" w:hAnsi="宋体" w:eastAsia="宋体" w:cs="宋体"/>
          <w:snapToGrid w:val="0"/>
          <w:color w:val="auto"/>
          <w:sz w:val="24"/>
          <w:szCs w:val="24"/>
          <w:highlight w:val="none"/>
          <w:lang w:val="en-US" w:eastAsia="zh-CN"/>
        </w:rPr>
        <w:t xml:space="preserve">46.1 商品包装、快递包装政府采购需求标准（试行） </w:t>
      </w:r>
    </w:p>
    <w:p w14:paraId="3DA94789">
      <w:pPr>
        <w:pStyle w:val="37"/>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snapToGrid w:val="0"/>
          <w:color w:val="auto"/>
          <w:sz w:val="24"/>
          <w:szCs w:val="24"/>
          <w:highlight w:val="none"/>
          <w:lang w:val="en-US" w:eastAsia="zh-CN"/>
        </w:rPr>
      </w:pPr>
      <w:r>
        <w:rPr>
          <w:rFonts w:hint="eastAsia" w:ascii="宋体" w:hAnsi="宋体" w:eastAsia="宋体" w:cs="宋体"/>
          <w:snapToGrid w:val="0"/>
          <w:color w:val="auto"/>
          <w:sz w:val="24"/>
          <w:szCs w:val="24"/>
          <w:highlight w:val="none"/>
          <w:lang w:val="en-US" w:eastAsia="zh-CN"/>
        </w:rPr>
        <w:t xml:space="preserve">为助力打好污染防治攻坚战，推广使用绿色包装，根据财政部关于印发《商品包装政府采购需求标准（试行）》、《快递包装政府采购需求标准（试行）》的通知（财办库〔2020〕123 号），本项目如涉及商品包装和快递包装的，则其具体要求见第三章《采购需求》。 </w:t>
      </w:r>
    </w:p>
    <w:p w14:paraId="27B020C7">
      <w:pPr>
        <w:pStyle w:val="37"/>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snapToGrid w:val="0"/>
          <w:color w:val="auto"/>
          <w:sz w:val="24"/>
          <w:szCs w:val="24"/>
          <w:highlight w:val="none"/>
          <w:lang w:val="en-US" w:eastAsia="zh-CN"/>
        </w:rPr>
      </w:pPr>
      <w:r>
        <w:rPr>
          <w:rFonts w:hint="eastAsia" w:ascii="宋体" w:hAnsi="宋体" w:eastAsia="宋体" w:cs="宋体"/>
          <w:snapToGrid w:val="0"/>
          <w:color w:val="auto"/>
          <w:sz w:val="24"/>
          <w:szCs w:val="24"/>
          <w:highlight w:val="none"/>
          <w:lang w:val="en-US" w:eastAsia="zh-CN"/>
        </w:rPr>
        <w:t xml:space="preserve">46.2 绿色数据中心政府采购需求标准（试行） </w:t>
      </w:r>
    </w:p>
    <w:p w14:paraId="16173830">
      <w:pPr>
        <w:pStyle w:val="37"/>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snapToGrid w:val="0"/>
          <w:color w:val="auto"/>
          <w:sz w:val="24"/>
          <w:szCs w:val="24"/>
          <w:highlight w:val="none"/>
          <w:lang w:val="en-US" w:eastAsia="zh-CN"/>
        </w:rPr>
      </w:pPr>
      <w:r>
        <w:rPr>
          <w:rFonts w:hint="eastAsia" w:ascii="宋体" w:hAnsi="宋体" w:eastAsia="宋体" w:cs="宋体"/>
          <w:snapToGrid w:val="0"/>
          <w:color w:val="auto"/>
          <w:sz w:val="24"/>
          <w:szCs w:val="24"/>
          <w:highlight w:val="none"/>
          <w:lang w:val="en-US" w:eastAsia="zh-CN"/>
        </w:rPr>
        <w:t xml:space="preserve">为加快数据中心绿色转型，根据财政部 生态环境部 工业和信息化部关于印发《绿色数据中心政府采购需求标准（试行）》的通知（财库〔2023〕7 号），本项目如涉及绿色数据中心，则具体要求见第三章《采购需求》。 </w:t>
      </w:r>
    </w:p>
    <w:p w14:paraId="752FA939">
      <w:pPr>
        <w:pStyle w:val="37"/>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snapToGrid w:val="0"/>
          <w:color w:val="auto"/>
          <w:sz w:val="24"/>
          <w:szCs w:val="24"/>
          <w:highlight w:val="none"/>
          <w:lang w:val="en-US" w:eastAsia="zh-CN"/>
        </w:rPr>
      </w:pPr>
      <w:r>
        <w:rPr>
          <w:rFonts w:hint="eastAsia" w:ascii="宋体" w:hAnsi="宋体" w:eastAsia="宋体" w:cs="宋体"/>
          <w:snapToGrid w:val="0"/>
          <w:color w:val="auto"/>
          <w:sz w:val="24"/>
          <w:szCs w:val="24"/>
          <w:highlight w:val="none"/>
          <w:lang w:val="en-US" w:eastAsia="zh-CN"/>
        </w:rPr>
        <w:t>46.3台式计算机政府采购需求标准</w:t>
      </w:r>
    </w:p>
    <w:p w14:paraId="3830872B">
      <w:pPr>
        <w:pStyle w:val="37"/>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snapToGrid w:val="0"/>
          <w:color w:val="auto"/>
          <w:sz w:val="24"/>
          <w:szCs w:val="24"/>
          <w:highlight w:val="none"/>
          <w:lang w:val="en-US" w:eastAsia="zh-CN"/>
        </w:rPr>
      </w:pPr>
      <w:r>
        <w:rPr>
          <w:rFonts w:hint="eastAsia" w:ascii="宋体" w:hAnsi="宋体" w:eastAsia="宋体" w:cs="宋体"/>
          <w:snapToGrid w:val="0"/>
          <w:color w:val="auto"/>
          <w:sz w:val="24"/>
          <w:szCs w:val="24"/>
          <w:highlight w:val="none"/>
          <w:lang w:val="en-US" w:eastAsia="zh-CN"/>
        </w:rPr>
        <w:t>为提高台式计算机政府采购需求管理的科学化、规范化水平，进一步落实政府采购公平竞争原则，优化营商环境，营造良好的产业生态，财政部 工业和信息化部关于印发《台式计算机政府采购需求标准（2023年版）》的通知（财库〔2023〕29号），本项目如涉及台式计算机采购，则具体要求见第三章《采购需求》。</w:t>
      </w:r>
    </w:p>
    <w:p w14:paraId="3E8B3153">
      <w:pPr>
        <w:pStyle w:val="37"/>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snapToGrid w:val="0"/>
          <w:color w:val="auto"/>
          <w:sz w:val="24"/>
          <w:szCs w:val="24"/>
          <w:highlight w:val="none"/>
          <w:lang w:val="en-US" w:eastAsia="zh-CN"/>
        </w:rPr>
      </w:pPr>
      <w:r>
        <w:rPr>
          <w:rFonts w:hint="eastAsia" w:ascii="宋体" w:hAnsi="宋体" w:eastAsia="宋体" w:cs="宋体"/>
          <w:snapToGrid w:val="0"/>
          <w:color w:val="auto"/>
          <w:sz w:val="24"/>
          <w:szCs w:val="24"/>
          <w:highlight w:val="none"/>
          <w:lang w:val="en-US" w:eastAsia="zh-CN"/>
        </w:rPr>
        <w:t>46.4便携式计算机政府采购需求标准</w:t>
      </w:r>
    </w:p>
    <w:p w14:paraId="2DDABA79">
      <w:pPr>
        <w:pStyle w:val="37"/>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snapToGrid w:val="0"/>
          <w:color w:val="auto"/>
          <w:sz w:val="24"/>
          <w:szCs w:val="24"/>
          <w:highlight w:val="none"/>
          <w:lang w:val="en-US" w:eastAsia="zh-CN"/>
        </w:rPr>
      </w:pPr>
      <w:r>
        <w:rPr>
          <w:rFonts w:hint="eastAsia" w:ascii="宋体" w:hAnsi="宋体" w:eastAsia="宋体" w:cs="宋体"/>
          <w:snapToGrid w:val="0"/>
          <w:color w:val="auto"/>
          <w:sz w:val="24"/>
          <w:szCs w:val="24"/>
          <w:highlight w:val="none"/>
          <w:lang w:val="en-US" w:eastAsia="zh-CN"/>
        </w:rPr>
        <w:t>为提高便携式计算机政府采购需求管理的科学化、规范化水平，进一步落实政府采购公平竞争原则，优化营商环境，营造良好的产业生态，财政部 工业和信息化部关于印发《便携式计算机政府采购需求标准（2023年版）》的通知（财库〔2023〕30号），本项目如涉及便携式计算机采购，则具体要求见第三章《采购需求》。</w:t>
      </w:r>
    </w:p>
    <w:p w14:paraId="385FE90A">
      <w:pPr>
        <w:pStyle w:val="37"/>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snapToGrid w:val="0"/>
          <w:color w:val="auto"/>
          <w:sz w:val="24"/>
          <w:szCs w:val="24"/>
          <w:highlight w:val="none"/>
          <w:lang w:val="en-US" w:eastAsia="zh-CN"/>
        </w:rPr>
      </w:pPr>
      <w:r>
        <w:rPr>
          <w:rFonts w:hint="eastAsia" w:ascii="宋体" w:hAnsi="宋体" w:eastAsia="宋体" w:cs="宋体"/>
          <w:snapToGrid w:val="0"/>
          <w:color w:val="auto"/>
          <w:sz w:val="24"/>
          <w:szCs w:val="24"/>
          <w:highlight w:val="none"/>
          <w:lang w:val="en-US" w:eastAsia="zh-CN"/>
        </w:rPr>
        <w:t>46.5一体式计算机政府采购需求标准</w:t>
      </w:r>
    </w:p>
    <w:p w14:paraId="30E81396">
      <w:pPr>
        <w:pStyle w:val="37"/>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snapToGrid w:val="0"/>
          <w:color w:val="auto"/>
          <w:sz w:val="24"/>
          <w:szCs w:val="24"/>
          <w:highlight w:val="none"/>
          <w:lang w:val="en-US" w:eastAsia="zh-CN"/>
        </w:rPr>
      </w:pPr>
      <w:r>
        <w:rPr>
          <w:rFonts w:hint="eastAsia" w:ascii="宋体" w:hAnsi="宋体" w:eastAsia="宋体" w:cs="宋体"/>
          <w:snapToGrid w:val="0"/>
          <w:color w:val="auto"/>
          <w:sz w:val="24"/>
          <w:szCs w:val="24"/>
          <w:highlight w:val="none"/>
          <w:lang w:val="en-US" w:eastAsia="zh-CN"/>
        </w:rPr>
        <w:t>为提高一体式计算机政府采购需求管理的科学化、规范化水平，进一步落实政府采购公平竞争原则，优化营商环境，营造良好的产业生态，财政部 工业和信息化部关于印发《一体式计算机政府采购需求标准（2023年版）》的通知（财库〔2023〕31号），本项目如涉及一体式计算机采购，则具体要求见第三章《采购需求》。</w:t>
      </w:r>
    </w:p>
    <w:p w14:paraId="07FD3B31">
      <w:pPr>
        <w:pStyle w:val="37"/>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snapToGrid w:val="0"/>
          <w:color w:val="auto"/>
          <w:sz w:val="24"/>
          <w:szCs w:val="24"/>
          <w:highlight w:val="none"/>
          <w:lang w:val="en-US" w:eastAsia="zh-CN"/>
        </w:rPr>
      </w:pPr>
      <w:r>
        <w:rPr>
          <w:rFonts w:hint="eastAsia" w:ascii="宋体" w:hAnsi="宋体" w:eastAsia="宋体" w:cs="宋体"/>
          <w:snapToGrid w:val="0"/>
          <w:color w:val="auto"/>
          <w:sz w:val="24"/>
          <w:szCs w:val="24"/>
          <w:highlight w:val="none"/>
          <w:lang w:val="en-US" w:eastAsia="zh-CN"/>
        </w:rPr>
        <w:t>46.6工作站政府采购需求标准</w:t>
      </w:r>
    </w:p>
    <w:p w14:paraId="23F8A15A">
      <w:pPr>
        <w:pStyle w:val="37"/>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snapToGrid w:val="0"/>
          <w:color w:val="auto"/>
          <w:sz w:val="24"/>
          <w:szCs w:val="24"/>
          <w:highlight w:val="none"/>
          <w:lang w:val="en-US" w:eastAsia="zh-CN"/>
        </w:rPr>
      </w:pPr>
      <w:r>
        <w:rPr>
          <w:rFonts w:hint="eastAsia" w:ascii="宋体" w:hAnsi="宋体" w:eastAsia="宋体" w:cs="宋体"/>
          <w:snapToGrid w:val="0"/>
          <w:color w:val="auto"/>
          <w:sz w:val="24"/>
          <w:szCs w:val="24"/>
          <w:highlight w:val="none"/>
          <w:lang w:val="en-US" w:eastAsia="zh-CN"/>
        </w:rPr>
        <w:t>为提高工作站政府采购需求管理的科学化、规范化水平，进一步落实政府采购公平竞争原则，优化营商环境，营造良好的产业生态，财政部 工业和信息化部关于印发《工作站政府采购需求标准（2023年版）》的通知（财库〔2023〕32号），本项目如涉及工作站采购，则具体要求见第三章《采购需求》。</w:t>
      </w:r>
    </w:p>
    <w:p w14:paraId="6FE6E6D6">
      <w:pPr>
        <w:pStyle w:val="37"/>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snapToGrid w:val="0"/>
          <w:color w:val="auto"/>
          <w:sz w:val="24"/>
          <w:szCs w:val="24"/>
          <w:highlight w:val="none"/>
          <w:lang w:val="en-US" w:eastAsia="zh-CN"/>
        </w:rPr>
      </w:pPr>
      <w:r>
        <w:rPr>
          <w:rFonts w:hint="eastAsia" w:ascii="宋体" w:hAnsi="宋体" w:eastAsia="宋体" w:cs="宋体"/>
          <w:snapToGrid w:val="0"/>
          <w:color w:val="auto"/>
          <w:sz w:val="24"/>
          <w:szCs w:val="24"/>
          <w:highlight w:val="none"/>
          <w:lang w:val="en-US" w:eastAsia="zh-CN"/>
        </w:rPr>
        <w:t>46.7通用服务器政府采购需求标准</w:t>
      </w:r>
    </w:p>
    <w:p w14:paraId="2DC5EFFC">
      <w:pPr>
        <w:pStyle w:val="37"/>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snapToGrid w:val="0"/>
          <w:color w:val="auto"/>
          <w:sz w:val="24"/>
          <w:szCs w:val="24"/>
          <w:highlight w:val="none"/>
          <w:lang w:val="en-US" w:eastAsia="zh-CN"/>
        </w:rPr>
      </w:pPr>
      <w:r>
        <w:rPr>
          <w:rFonts w:hint="eastAsia" w:ascii="宋体" w:hAnsi="宋体" w:eastAsia="宋体" w:cs="宋体"/>
          <w:snapToGrid w:val="0"/>
          <w:color w:val="auto"/>
          <w:sz w:val="24"/>
          <w:szCs w:val="24"/>
          <w:highlight w:val="none"/>
          <w:lang w:val="en-US" w:eastAsia="zh-CN"/>
        </w:rPr>
        <w:t>为提高通用服务器政府采购需求管理的科学化、规范化水平，进一步落实政府采购公平竞争原则，优化营商环境，营造良好的产业生态，财政部 工业和信息化部关于印发《通用服务器政府采购需求标准（2023年版）》的通知（财库〔2023〕33号），本项目如涉及通用服务器采购，则具体要求见第三章《采购需求》。</w:t>
      </w:r>
    </w:p>
    <w:p w14:paraId="5822E475">
      <w:pPr>
        <w:pStyle w:val="37"/>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snapToGrid w:val="0"/>
          <w:color w:val="auto"/>
          <w:sz w:val="24"/>
          <w:szCs w:val="24"/>
          <w:highlight w:val="none"/>
          <w:lang w:val="en-US" w:eastAsia="zh-CN"/>
        </w:rPr>
      </w:pPr>
      <w:r>
        <w:rPr>
          <w:rFonts w:hint="eastAsia" w:ascii="宋体" w:hAnsi="宋体" w:eastAsia="宋体" w:cs="宋体"/>
          <w:snapToGrid w:val="0"/>
          <w:color w:val="auto"/>
          <w:sz w:val="24"/>
          <w:szCs w:val="24"/>
          <w:highlight w:val="none"/>
          <w:lang w:val="en-US" w:eastAsia="zh-CN"/>
        </w:rPr>
        <w:t>46.8操作系统政府采购需求标准</w:t>
      </w:r>
    </w:p>
    <w:p w14:paraId="0C0F87EE">
      <w:pPr>
        <w:pStyle w:val="37"/>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snapToGrid w:val="0"/>
          <w:color w:val="auto"/>
          <w:sz w:val="24"/>
          <w:szCs w:val="24"/>
          <w:highlight w:val="none"/>
          <w:lang w:val="en-US" w:eastAsia="zh-CN"/>
        </w:rPr>
      </w:pPr>
      <w:r>
        <w:rPr>
          <w:rFonts w:hint="eastAsia" w:ascii="宋体" w:hAnsi="宋体" w:eastAsia="宋体" w:cs="宋体"/>
          <w:snapToGrid w:val="0"/>
          <w:color w:val="auto"/>
          <w:sz w:val="24"/>
          <w:szCs w:val="24"/>
          <w:highlight w:val="none"/>
          <w:lang w:val="en-US" w:eastAsia="zh-CN"/>
        </w:rPr>
        <w:t>为提高操作系统政府采购需求管理的科学化、规范化水平，进一步落实政府采购公平竞争原则，优化营商环境，营造良好的产业生态，财政部 工业和信息化部关于印发《操作系统政府采购需求标准（2023年版）》的通知（财库〔2023〕34号），本项目如涉及操作系统采购，则具体要求见第三章《采购需求》。</w:t>
      </w:r>
    </w:p>
    <w:p w14:paraId="1177BDB0">
      <w:pPr>
        <w:pStyle w:val="37"/>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snapToGrid w:val="0"/>
          <w:color w:val="auto"/>
          <w:sz w:val="24"/>
          <w:szCs w:val="24"/>
          <w:highlight w:val="none"/>
          <w:lang w:val="en-US" w:eastAsia="zh-CN"/>
        </w:rPr>
      </w:pPr>
      <w:r>
        <w:rPr>
          <w:rFonts w:hint="eastAsia" w:ascii="宋体" w:hAnsi="宋体" w:eastAsia="宋体" w:cs="宋体"/>
          <w:snapToGrid w:val="0"/>
          <w:color w:val="auto"/>
          <w:sz w:val="24"/>
          <w:szCs w:val="24"/>
          <w:highlight w:val="none"/>
          <w:lang w:val="en-US" w:eastAsia="zh-CN"/>
        </w:rPr>
        <w:t>46.9数据库政府采购需求标准</w:t>
      </w:r>
    </w:p>
    <w:p w14:paraId="45BE4E61">
      <w:pPr>
        <w:pStyle w:val="37"/>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snapToGrid w:val="0"/>
          <w:color w:val="auto"/>
          <w:sz w:val="24"/>
          <w:szCs w:val="24"/>
          <w:highlight w:val="none"/>
          <w:lang w:val="en-US" w:eastAsia="zh-CN"/>
        </w:rPr>
      </w:pPr>
      <w:r>
        <w:rPr>
          <w:rFonts w:hint="eastAsia" w:ascii="宋体" w:hAnsi="宋体" w:eastAsia="宋体" w:cs="宋体"/>
          <w:snapToGrid w:val="0"/>
          <w:color w:val="auto"/>
          <w:sz w:val="24"/>
          <w:szCs w:val="24"/>
          <w:highlight w:val="none"/>
          <w:lang w:val="en-US" w:eastAsia="zh-CN"/>
        </w:rPr>
        <w:t>为提高数据库政府采购需求管理的科学化、规范化水平，进一步落实政府采购公平竞争原则，优化营商环境，营造良好的产业生态，财政部 工业和信息化部关于印发《数据库政府采购需求标准（2023年版）》的通知（财库〔2023〕35号），本项目如涉及数据库采购，则具体要求见第三章《采购需求》。</w:t>
      </w:r>
    </w:p>
    <w:p w14:paraId="116745F5">
      <w:pPr>
        <w:pStyle w:val="37"/>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snapToGrid w:val="0"/>
          <w:color w:val="auto"/>
          <w:sz w:val="24"/>
          <w:szCs w:val="24"/>
          <w:highlight w:val="none"/>
          <w:lang w:val="en-US" w:eastAsia="zh-CN"/>
        </w:rPr>
      </w:pPr>
      <w:r>
        <w:rPr>
          <w:rFonts w:hint="eastAsia" w:ascii="宋体" w:hAnsi="宋体" w:eastAsia="宋体" w:cs="宋体"/>
          <w:snapToGrid w:val="0"/>
          <w:color w:val="auto"/>
          <w:sz w:val="24"/>
          <w:szCs w:val="24"/>
          <w:highlight w:val="none"/>
          <w:lang w:val="en-US" w:eastAsia="zh-CN"/>
        </w:rPr>
        <w:t>46.10物业管理服务政府采购需求标准（办公场所类）（试行）</w:t>
      </w:r>
    </w:p>
    <w:p w14:paraId="0169F247">
      <w:pPr>
        <w:pStyle w:val="37"/>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snapToGrid w:val="0"/>
          <w:color w:val="auto"/>
          <w:sz w:val="24"/>
          <w:szCs w:val="24"/>
          <w:highlight w:val="none"/>
          <w:lang w:val="en-US" w:eastAsia="zh-CN"/>
        </w:rPr>
      </w:pPr>
      <w:r>
        <w:rPr>
          <w:rFonts w:hint="eastAsia" w:ascii="宋体" w:hAnsi="宋体" w:eastAsia="宋体" w:cs="宋体"/>
          <w:snapToGrid w:val="0"/>
          <w:color w:val="auto"/>
          <w:sz w:val="24"/>
          <w:szCs w:val="24"/>
          <w:highlight w:val="none"/>
          <w:lang w:val="en-US" w:eastAsia="zh-CN"/>
        </w:rPr>
        <w:t>为贯彻落实中央全面深化改革委员会审议通过的《深化政府采购制度改革方案》有关要求，推动政府采购需求标准建设，财政部办公厅关于印发《物业管理服务政府采购需求标准（办公场所类）（试行）》的通知（财办库〔2024〕113号），本项目如涉及物业管理服务采购，则具体要求见第三章《采购需求》。</w:t>
      </w:r>
    </w:p>
    <w:p w14:paraId="07C1DA2C">
      <w:pPr>
        <w:pStyle w:val="4"/>
        <w:keepNext w:val="0"/>
        <w:keepLines w:val="0"/>
        <w:pageBreakBefore w:val="0"/>
        <w:widowControl w:val="0"/>
        <w:numPr>
          <w:ilvl w:val="0"/>
          <w:numId w:val="0"/>
        </w:numPr>
        <w:kinsoku/>
        <w:wordWrap/>
        <w:overflowPunct/>
        <w:topLinePunct w:val="0"/>
        <w:autoSpaceDE/>
        <w:autoSpaceDN/>
        <w:bidi w:val="0"/>
        <w:adjustRightInd/>
        <w:snapToGrid/>
        <w:spacing w:before="120" w:after="120" w:line="240" w:lineRule="auto"/>
        <w:ind w:left="420" w:leftChars="0" w:hanging="420" w:firstLineChars="0"/>
        <w:jc w:val="both"/>
        <w:textAlignment w:val="auto"/>
        <w:rPr>
          <w:rFonts w:hint="eastAsia" w:ascii="宋体" w:hAnsi="宋体" w:eastAsia="宋体" w:cs="宋体"/>
          <w:b/>
          <w:bCs/>
          <w:color w:val="auto"/>
          <w:kern w:val="2"/>
          <w:sz w:val="24"/>
          <w:szCs w:val="24"/>
          <w:highlight w:val="none"/>
          <w:lang w:val="en-US" w:eastAsia="zh-CN" w:bidi="ar-SA"/>
        </w:rPr>
      </w:pPr>
      <w:bookmarkStart w:id="316" w:name="_Toc10007"/>
      <w:r>
        <w:rPr>
          <w:rFonts w:hint="eastAsia" w:ascii="宋体" w:hAnsi="宋体" w:eastAsia="宋体" w:cs="宋体"/>
          <w:b/>
          <w:bCs/>
          <w:color w:val="auto"/>
          <w:kern w:val="2"/>
          <w:sz w:val="24"/>
          <w:szCs w:val="24"/>
          <w:highlight w:val="none"/>
          <w:lang w:val="en-US" w:eastAsia="zh-CN" w:bidi="ar-SA"/>
        </w:rPr>
        <w:t>（十四）政府采购合同融资政策</w:t>
      </w:r>
      <w:bookmarkEnd w:id="305"/>
      <w:bookmarkEnd w:id="306"/>
      <w:bookmarkEnd w:id="313"/>
      <w:bookmarkEnd w:id="316"/>
    </w:p>
    <w:p w14:paraId="7CF32745">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4"/>
          <w:highlight w:val="none"/>
          <w:lang w:val="en-US" w:eastAsia="zh-CN" w:bidi="ar-SA"/>
        </w:rPr>
      </w:pPr>
      <w:bookmarkStart w:id="317" w:name="_Toc14089"/>
      <w:bookmarkStart w:id="318" w:name="_Toc163492880"/>
      <w:r>
        <w:rPr>
          <w:rFonts w:hint="eastAsia" w:ascii="宋体" w:hAnsi="宋体" w:eastAsia="宋体" w:cs="宋体"/>
          <w:b/>
          <w:bCs/>
          <w:color w:val="auto"/>
          <w:kern w:val="2"/>
          <w:sz w:val="24"/>
          <w:szCs w:val="24"/>
          <w:highlight w:val="none"/>
          <w:lang w:val="en-US" w:eastAsia="zh-CN" w:bidi="ar-SA"/>
        </w:rPr>
        <w:t>47.政府采购合同融资政策</w:t>
      </w:r>
      <w:bookmarkEnd w:id="317"/>
      <w:bookmarkEnd w:id="318"/>
    </w:p>
    <w:p w14:paraId="2F908697">
      <w:pPr>
        <w:pStyle w:val="37"/>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.1政府采购合同融资政策：见投标人须知前附表。</w:t>
      </w:r>
    </w:p>
    <w:p w14:paraId="198FC626">
      <w:pPr>
        <w:pStyle w:val="4"/>
        <w:keepNext w:val="0"/>
        <w:keepLines w:val="0"/>
        <w:pageBreakBefore w:val="0"/>
        <w:widowControl w:val="0"/>
        <w:numPr>
          <w:ilvl w:val="0"/>
          <w:numId w:val="0"/>
        </w:numPr>
        <w:kinsoku/>
        <w:wordWrap/>
        <w:overflowPunct/>
        <w:topLinePunct w:val="0"/>
        <w:autoSpaceDE/>
        <w:autoSpaceDN/>
        <w:bidi w:val="0"/>
        <w:adjustRightInd/>
        <w:snapToGrid/>
        <w:spacing w:before="120" w:after="120" w:line="240" w:lineRule="auto"/>
        <w:ind w:left="420" w:leftChars="0" w:hanging="420" w:firstLineChars="0"/>
        <w:jc w:val="both"/>
        <w:textAlignment w:val="auto"/>
        <w:rPr>
          <w:rFonts w:hint="eastAsia" w:ascii="宋体" w:hAnsi="宋体" w:eastAsia="宋体" w:cs="宋体"/>
          <w:b/>
          <w:bCs/>
          <w:color w:val="auto"/>
          <w:kern w:val="2"/>
          <w:sz w:val="24"/>
          <w:szCs w:val="24"/>
          <w:highlight w:val="none"/>
          <w:lang w:val="en-US" w:eastAsia="zh-CN" w:bidi="ar-SA"/>
        </w:rPr>
      </w:pPr>
      <w:bookmarkStart w:id="319" w:name="_Toc163492881"/>
      <w:bookmarkStart w:id="320" w:name="_Toc26816"/>
      <w:r>
        <w:rPr>
          <w:rFonts w:hint="eastAsia" w:ascii="宋体" w:hAnsi="宋体" w:eastAsia="宋体" w:cs="宋体"/>
          <w:b/>
          <w:bCs/>
          <w:color w:val="auto"/>
          <w:kern w:val="2"/>
          <w:sz w:val="24"/>
          <w:szCs w:val="24"/>
          <w:highlight w:val="none"/>
          <w:lang w:val="en-US" w:eastAsia="zh-CN" w:bidi="ar-SA"/>
        </w:rPr>
        <w:t>（十五）其他</w:t>
      </w:r>
      <w:bookmarkEnd w:id="319"/>
      <w:bookmarkEnd w:id="320"/>
    </w:p>
    <w:p w14:paraId="370F802C">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4"/>
          <w:highlight w:val="none"/>
          <w:lang w:val="en-US" w:eastAsia="zh-CN" w:bidi="ar-SA"/>
        </w:rPr>
      </w:pPr>
      <w:bookmarkStart w:id="321" w:name="_Toc163492882"/>
      <w:bookmarkStart w:id="322" w:name="_Toc18980"/>
      <w:r>
        <w:rPr>
          <w:rFonts w:hint="eastAsia" w:ascii="宋体" w:hAnsi="宋体" w:eastAsia="宋体" w:cs="宋体"/>
          <w:b/>
          <w:bCs/>
          <w:color w:val="auto"/>
          <w:kern w:val="2"/>
          <w:sz w:val="24"/>
          <w:szCs w:val="24"/>
          <w:highlight w:val="none"/>
          <w:lang w:val="en-US" w:eastAsia="zh-CN" w:bidi="ar-SA"/>
        </w:rPr>
        <w:t>48.需要补充的其他内容</w:t>
      </w:r>
      <w:bookmarkEnd w:id="321"/>
      <w:bookmarkEnd w:id="322"/>
    </w:p>
    <w:p w14:paraId="32516407">
      <w:pPr>
        <w:pStyle w:val="37"/>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.1需要补充的其他内容：见投标人须知前附表。</w:t>
      </w:r>
    </w:p>
    <w:p w14:paraId="1BD29CBA">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4"/>
          <w:highlight w:val="none"/>
          <w:lang w:val="en-US" w:eastAsia="zh-CN" w:bidi="ar-SA"/>
        </w:rPr>
      </w:pPr>
      <w:bookmarkStart w:id="323" w:name="_Toc163492883"/>
      <w:bookmarkStart w:id="324" w:name="_Toc140132810"/>
      <w:bookmarkStart w:id="325" w:name="_Toc155185886"/>
      <w:bookmarkStart w:id="326" w:name="_Toc12494"/>
      <w:r>
        <w:rPr>
          <w:rFonts w:hint="eastAsia" w:ascii="宋体" w:hAnsi="宋体" w:eastAsia="宋体" w:cs="宋体"/>
          <w:b/>
          <w:bCs/>
          <w:color w:val="auto"/>
          <w:kern w:val="2"/>
          <w:sz w:val="24"/>
          <w:szCs w:val="24"/>
          <w:highlight w:val="none"/>
          <w:lang w:val="en-US" w:eastAsia="zh-CN" w:bidi="ar-SA"/>
        </w:rPr>
        <w:t>49.适用法律</w:t>
      </w:r>
      <w:bookmarkEnd w:id="323"/>
      <w:bookmarkEnd w:id="324"/>
      <w:bookmarkEnd w:id="325"/>
      <w:bookmarkEnd w:id="326"/>
    </w:p>
    <w:p w14:paraId="0953B8AD">
      <w:pPr>
        <w:pStyle w:val="37"/>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lang w:val="en-US" w:eastAsia="zh-CN"/>
        </w:rPr>
        <w:t>49</w:t>
      </w:r>
      <w:r>
        <w:rPr>
          <w:rFonts w:hint="eastAsia" w:ascii="宋体" w:hAnsi="宋体" w:eastAsia="宋体" w:cs="宋体"/>
          <w:snapToGrid w:val="0"/>
          <w:color w:val="auto"/>
          <w:sz w:val="24"/>
          <w:szCs w:val="24"/>
          <w:highlight w:val="none"/>
        </w:rPr>
        <w:t>.1采购人、采购代理机构及投标人的一切采购活动均适用《中华人民共和国政府采购法》、《中华人民共和国政府采购法实施条例》、《政府采购货物和服务招标投标管理办法》（财政部令第87号）及相关法律法规。</w:t>
      </w:r>
    </w:p>
    <w:p w14:paraId="6AD32247">
      <w:pPr>
        <w:pStyle w:val="37"/>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rPr>
      </w:pPr>
      <w:r>
        <w:rPr>
          <w:rFonts w:hint="eastAsia" w:ascii="宋体" w:hAnsi="宋体" w:eastAsia="宋体" w:cs="宋体"/>
          <w:snapToGrid w:val="0"/>
          <w:color w:val="auto"/>
          <w:sz w:val="24"/>
          <w:szCs w:val="24"/>
          <w:highlight w:val="none"/>
          <w:lang w:val="en-US" w:eastAsia="zh-CN"/>
        </w:rPr>
        <w:t>49</w:t>
      </w:r>
      <w:r>
        <w:rPr>
          <w:rFonts w:hint="eastAsia" w:ascii="宋体" w:hAnsi="宋体" w:eastAsia="宋体" w:cs="宋体"/>
          <w:snapToGrid w:val="0"/>
          <w:color w:val="auto"/>
          <w:sz w:val="24"/>
          <w:szCs w:val="24"/>
          <w:highlight w:val="none"/>
        </w:rPr>
        <w:t>.2政府采购合同的履行、违约责任和解决争议的方法等适用《中华人民共和国民法典》。</w:t>
      </w:r>
    </w:p>
    <w:p w14:paraId="468836B9">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4"/>
          <w:highlight w:val="none"/>
          <w:lang w:val="en-US" w:eastAsia="zh-CN" w:bidi="ar-SA"/>
        </w:rPr>
      </w:pPr>
      <w:bookmarkStart w:id="327" w:name="_Toc20737"/>
      <w:bookmarkStart w:id="328" w:name="_Toc163492884"/>
      <w:bookmarkStart w:id="329" w:name="_Toc155185887"/>
      <w:r>
        <w:rPr>
          <w:rFonts w:hint="eastAsia" w:ascii="宋体" w:hAnsi="宋体" w:eastAsia="宋体" w:cs="宋体"/>
          <w:b/>
          <w:bCs/>
          <w:color w:val="auto"/>
          <w:kern w:val="2"/>
          <w:sz w:val="24"/>
          <w:szCs w:val="24"/>
          <w:highlight w:val="none"/>
          <w:lang w:val="en-US" w:eastAsia="zh-CN" w:bidi="ar-SA"/>
        </w:rPr>
        <w:t>50.解释权</w:t>
      </w:r>
      <w:bookmarkEnd w:id="327"/>
      <w:bookmarkEnd w:id="328"/>
      <w:bookmarkEnd w:id="329"/>
    </w:p>
    <w:p w14:paraId="5C6D27F8">
      <w:pPr>
        <w:pStyle w:val="37"/>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lang w:val="en-US" w:eastAsia="zh-CN"/>
        </w:rPr>
        <w:t>50</w:t>
      </w:r>
      <w:r>
        <w:rPr>
          <w:rFonts w:hint="eastAsia" w:ascii="宋体" w:hAnsi="宋体" w:eastAsia="宋体" w:cs="宋体"/>
          <w:snapToGrid w:val="0"/>
          <w:color w:val="auto"/>
          <w:sz w:val="24"/>
          <w:szCs w:val="24"/>
          <w:highlight w:val="none"/>
        </w:rPr>
        <w:t>.1本招标文件最终解释权归采购人或采购代理机构所有。</w:t>
      </w:r>
      <w:r>
        <w:rPr>
          <w:rFonts w:hint="eastAsia" w:ascii="宋体" w:hAnsi="宋体" w:eastAsia="宋体" w:cs="宋体"/>
          <w:snapToGrid w:val="0"/>
          <w:color w:val="auto"/>
          <w:sz w:val="24"/>
          <w:szCs w:val="24"/>
          <w:highlight w:val="none"/>
        </w:rPr>
        <w:br w:type="page"/>
      </w:r>
    </w:p>
    <w:p w14:paraId="70704BD1">
      <w:pPr>
        <w:pStyle w:val="2"/>
        <w:keepNext/>
        <w:keepLines/>
        <w:pageBreakBefore w:val="0"/>
        <w:widowControl w:val="0"/>
        <w:numPr>
          <w:ilvl w:val="0"/>
          <w:numId w:val="3"/>
        </w:numPr>
        <w:kinsoku/>
        <w:wordWrap/>
        <w:overflowPunct/>
        <w:topLinePunct w:val="0"/>
        <w:autoSpaceDE/>
        <w:autoSpaceDN/>
        <w:bidi w:val="0"/>
        <w:adjustRightInd/>
        <w:snapToGrid/>
        <w:spacing w:before="220" w:after="220" w:line="240" w:lineRule="auto"/>
        <w:ind w:left="420" w:leftChars="0" w:hanging="420" w:firstLineChars="0"/>
        <w:textAlignment w:val="auto"/>
        <w:rPr>
          <w:rFonts w:hint="eastAsia" w:ascii="宋体" w:hAnsi="宋体" w:eastAsia="宋体" w:cs="宋体"/>
          <w:b/>
          <w:bCs/>
          <w:color w:val="auto"/>
          <w:kern w:val="44"/>
          <w:sz w:val="36"/>
          <w:szCs w:val="36"/>
          <w:highlight w:val="none"/>
          <w:lang w:val="en-US" w:eastAsia="zh-CN" w:bidi="ar-SA"/>
        </w:rPr>
      </w:pPr>
      <w:bookmarkStart w:id="330" w:name="_Toc155185888"/>
      <w:bookmarkStart w:id="331" w:name="_Toc21960"/>
      <w:bookmarkStart w:id="332" w:name="_Toc32401"/>
      <w:r>
        <w:rPr>
          <w:rFonts w:hint="eastAsia" w:ascii="宋体" w:hAnsi="宋体" w:eastAsia="宋体" w:cs="宋体"/>
          <w:b/>
          <w:bCs/>
          <w:color w:val="auto"/>
          <w:kern w:val="44"/>
          <w:sz w:val="36"/>
          <w:szCs w:val="36"/>
          <w:highlight w:val="none"/>
          <w:lang w:val="en-US" w:eastAsia="zh-CN" w:bidi="ar-SA"/>
        </w:rPr>
        <w:t>采购需求</w:t>
      </w:r>
      <w:bookmarkEnd w:id="330"/>
      <w:bookmarkEnd w:id="331"/>
      <w:bookmarkEnd w:id="332"/>
    </w:p>
    <w:p w14:paraId="36F7029C">
      <w:pPr>
        <w:rPr>
          <w:rFonts w:hint="eastAsia"/>
          <w:sz w:val="8"/>
          <w:szCs w:val="6"/>
          <w:lang w:val="en-US" w:eastAsia="zh-CN"/>
        </w:rPr>
      </w:pPr>
    </w:p>
    <w:p w14:paraId="110D3119">
      <w:pPr>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一、★</w:t>
      </w:r>
      <w:r>
        <w:rPr>
          <w:rFonts w:hint="eastAsia" w:ascii="宋体" w:hAnsi="宋体" w:eastAsia="宋体" w:cs="宋体"/>
          <w:b/>
          <w:bCs/>
          <w:color w:val="000000" w:themeColor="text1"/>
          <w:sz w:val="24"/>
          <w:szCs w:val="24"/>
          <w:highlight w:val="none"/>
          <w14:textFill>
            <w14:solidFill>
              <w14:schemeClr w14:val="tx1"/>
            </w14:solidFill>
          </w14:textFill>
        </w:rPr>
        <w:t>服务期限</w:t>
      </w:r>
      <w:r>
        <w:rPr>
          <w:rFonts w:hint="eastAsia" w:ascii="宋体" w:hAnsi="宋体" w:eastAsia="宋体" w:cs="宋体"/>
          <w:b w:val="0"/>
          <w:bCs w:val="0"/>
          <w:color w:val="000000" w:themeColor="text1"/>
          <w:sz w:val="24"/>
          <w:szCs w:val="24"/>
          <w:highlight w:val="none"/>
          <w14:textFill>
            <w14:solidFill>
              <w14:schemeClr w14:val="tx1"/>
            </w14:solidFill>
          </w14:textFill>
        </w:rPr>
        <w:t>：</w:t>
      </w:r>
      <w:r>
        <w:rPr>
          <w:rFonts w:hint="eastAsia" w:ascii="宋体" w:hAnsi="宋体" w:eastAsia="宋体" w:cs="宋体"/>
          <w:b w:val="0"/>
          <w:bCs w:val="0"/>
          <w:color w:val="000000" w:themeColor="text1"/>
          <w:sz w:val="24"/>
          <w:szCs w:val="24"/>
          <w:highlight w:val="none"/>
          <w:lang w:eastAsia="zh-CN"/>
          <w14:textFill>
            <w14:solidFill>
              <w14:schemeClr w14:val="tx1"/>
            </w14:solidFill>
          </w14:textFill>
        </w:rPr>
        <w:t>自</w:t>
      </w:r>
      <w:r>
        <w:rPr>
          <w:rFonts w:hint="eastAsia" w:ascii="宋体" w:hAnsi="宋体" w:eastAsia="宋体" w:cs="宋体"/>
          <w:b w:val="0"/>
          <w:bCs w:val="0"/>
          <w:color w:val="000000" w:themeColor="text1"/>
          <w:sz w:val="24"/>
          <w:szCs w:val="24"/>
          <w:highlight w:val="none"/>
          <w14:textFill>
            <w14:solidFill>
              <w14:schemeClr w14:val="tx1"/>
            </w14:solidFill>
          </w14:textFill>
        </w:rPr>
        <w:t>签订合同之日起</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2</w:t>
      </w:r>
      <w:r>
        <w:rPr>
          <w:rFonts w:hint="eastAsia" w:ascii="宋体" w:hAnsi="宋体" w:eastAsia="宋体" w:cs="宋体"/>
          <w:b w:val="0"/>
          <w:bCs w:val="0"/>
          <w:color w:val="000000" w:themeColor="text1"/>
          <w:sz w:val="24"/>
          <w:szCs w:val="24"/>
          <w:highlight w:val="none"/>
          <w14:textFill>
            <w14:solidFill>
              <w14:schemeClr w14:val="tx1"/>
            </w14:solidFill>
          </w14:textFill>
        </w:rPr>
        <w:t>年。</w:t>
      </w:r>
    </w:p>
    <w:p w14:paraId="3752EA26">
      <w:pPr>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textAlignment w:val="auto"/>
        <w:rPr>
          <w:rFonts w:hint="eastAsia" w:ascii="宋体" w:hAnsi="宋体" w:eastAsia="宋体" w:cs="宋体"/>
          <w:b/>
          <w:bCs/>
          <w:sz w:val="24"/>
          <w:szCs w:val="24"/>
          <w:lang w:eastAsia="zh-CN"/>
        </w:rPr>
      </w:pPr>
      <w:r>
        <w:rPr>
          <w:rFonts w:hint="eastAsia" w:ascii="宋体" w:hAnsi="宋体" w:eastAsia="宋体" w:cs="宋体"/>
          <w:b/>
          <w:bCs/>
          <w:sz w:val="24"/>
          <w:szCs w:val="24"/>
          <w:lang w:val="en-US" w:eastAsia="zh-CN"/>
        </w:rPr>
        <w:t>二</w:t>
      </w:r>
      <w:r>
        <w:rPr>
          <w:rFonts w:hint="eastAsia" w:ascii="宋体" w:hAnsi="宋体" w:eastAsia="宋体" w:cs="宋体"/>
          <w:b/>
          <w:bCs/>
          <w:sz w:val="24"/>
          <w:szCs w:val="24"/>
          <w:lang w:eastAsia="zh-CN"/>
        </w:rPr>
        <w:t>、洗涤要求</w:t>
      </w:r>
    </w:p>
    <w:p w14:paraId="059D776E">
      <w:pPr>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textAlignment w:val="auto"/>
        <w:rPr>
          <w:rFonts w:hint="eastAsia" w:ascii="宋体" w:hAnsi="宋体" w:eastAsia="宋体" w:cs="宋体"/>
          <w:sz w:val="24"/>
          <w:szCs w:val="24"/>
        </w:rPr>
      </w:pPr>
      <w:r>
        <w:rPr>
          <w:rFonts w:hint="eastAsia" w:ascii="宋体" w:hAnsi="宋体" w:eastAsia="宋体" w:cs="宋体"/>
          <w:b/>
          <w:bCs/>
          <w:sz w:val="24"/>
          <w:szCs w:val="24"/>
          <w:lang w:eastAsia="zh-CN"/>
        </w:rPr>
        <w:t>（</w:t>
      </w:r>
      <w:r>
        <w:rPr>
          <w:rFonts w:hint="eastAsia" w:ascii="宋体" w:hAnsi="宋体" w:eastAsia="宋体" w:cs="宋体"/>
          <w:b/>
          <w:bCs/>
          <w:sz w:val="24"/>
          <w:szCs w:val="24"/>
          <w:lang w:val="en-US" w:eastAsia="zh-CN"/>
        </w:rPr>
        <w:t>一</w:t>
      </w:r>
      <w:r>
        <w:rPr>
          <w:rFonts w:hint="eastAsia" w:ascii="宋体" w:hAnsi="宋体" w:eastAsia="宋体" w:cs="宋体"/>
          <w:b/>
          <w:bCs/>
          <w:sz w:val="24"/>
          <w:szCs w:val="24"/>
          <w:lang w:eastAsia="zh-CN"/>
        </w:rPr>
        <w:t>）</w:t>
      </w:r>
      <w:r>
        <w:rPr>
          <w:rFonts w:hint="eastAsia" w:ascii="宋体" w:hAnsi="宋体" w:eastAsia="宋体" w:cs="宋体"/>
          <w:sz w:val="24"/>
          <w:szCs w:val="24"/>
          <w:lang w:eastAsia="zh-CN"/>
        </w:rPr>
        <w:t>收取污物、运送清洁织物通道分开、不交叉；人流、物流通道分开；</w:t>
      </w:r>
      <w:r>
        <w:rPr>
          <w:rFonts w:hint="eastAsia" w:ascii="宋体" w:hAnsi="宋体" w:eastAsia="宋体" w:cs="宋体"/>
          <w:sz w:val="24"/>
          <w:szCs w:val="24"/>
        </w:rPr>
        <w:t>分别设</w:t>
      </w:r>
      <w:r>
        <w:rPr>
          <w:rFonts w:hint="eastAsia" w:ascii="宋体" w:hAnsi="宋体" w:eastAsia="宋体" w:cs="宋体"/>
          <w:sz w:val="24"/>
          <w:szCs w:val="24"/>
          <w:lang w:eastAsia="zh-CN"/>
        </w:rPr>
        <w:t>置</w:t>
      </w:r>
      <w:r>
        <w:rPr>
          <w:rFonts w:hint="eastAsia" w:ascii="宋体" w:hAnsi="宋体" w:eastAsia="宋体" w:cs="宋体"/>
          <w:sz w:val="24"/>
          <w:szCs w:val="24"/>
        </w:rPr>
        <w:t>清洁区</w:t>
      </w:r>
      <w:r>
        <w:rPr>
          <w:rFonts w:hint="eastAsia" w:ascii="宋体" w:hAnsi="宋体" w:eastAsia="宋体" w:cs="宋体"/>
          <w:sz w:val="24"/>
          <w:szCs w:val="24"/>
          <w:lang w:eastAsia="zh-CN"/>
        </w:rPr>
        <w:t>、</w:t>
      </w:r>
      <w:r>
        <w:rPr>
          <w:rFonts w:hint="eastAsia" w:ascii="宋体" w:hAnsi="宋体" w:eastAsia="宋体" w:cs="宋体"/>
          <w:sz w:val="24"/>
          <w:szCs w:val="24"/>
        </w:rPr>
        <w:t>污染区</w:t>
      </w:r>
      <w:r>
        <w:rPr>
          <w:rFonts w:hint="eastAsia" w:ascii="宋体" w:hAnsi="宋体" w:eastAsia="宋体" w:cs="宋体"/>
          <w:sz w:val="24"/>
          <w:szCs w:val="24"/>
          <w:lang w:eastAsia="zh-CN"/>
        </w:rPr>
        <w:t>，</w:t>
      </w:r>
      <w:r>
        <w:rPr>
          <w:rFonts w:hint="eastAsia" w:ascii="宋体" w:hAnsi="宋体" w:eastAsia="宋体" w:cs="宋体"/>
          <w:sz w:val="24"/>
          <w:szCs w:val="24"/>
        </w:rPr>
        <w:t>污物分拣区应单独设置</w:t>
      </w:r>
      <w:r>
        <w:rPr>
          <w:rFonts w:hint="eastAsia" w:ascii="宋体" w:hAnsi="宋体" w:eastAsia="宋体" w:cs="宋体"/>
          <w:sz w:val="24"/>
          <w:szCs w:val="24"/>
          <w:lang w:eastAsia="zh-CN"/>
        </w:rPr>
        <w:t>；洁、污</w:t>
      </w:r>
      <w:r>
        <w:rPr>
          <w:rFonts w:hint="eastAsia" w:ascii="宋体" w:hAnsi="宋体" w:eastAsia="宋体" w:cs="宋体"/>
          <w:sz w:val="24"/>
          <w:szCs w:val="24"/>
        </w:rPr>
        <w:t>区之间应有全封闭式、实质性隔断。</w:t>
      </w:r>
    </w:p>
    <w:p w14:paraId="1BFB9402">
      <w:pPr>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textAlignment w:val="auto"/>
        <w:rPr>
          <w:rFonts w:hint="eastAsia" w:ascii="宋体" w:hAnsi="宋体" w:eastAsia="宋体" w:cs="宋体"/>
          <w:sz w:val="24"/>
          <w:szCs w:val="24"/>
        </w:rPr>
      </w:pPr>
      <w:r>
        <w:rPr>
          <w:rFonts w:hint="eastAsia" w:ascii="宋体" w:hAnsi="宋体" w:eastAsia="宋体" w:cs="宋体"/>
          <w:b/>
          <w:bCs/>
          <w:sz w:val="24"/>
          <w:szCs w:val="24"/>
          <w:lang w:eastAsia="zh-CN"/>
        </w:rPr>
        <w:t>（</w:t>
      </w:r>
      <w:r>
        <w:rPr>
          <w:rFonts w:hint="eastAsia" w:ascii="宋体" w:hAnsi="宋体" w:eastAsia="宋体" w:cs="宋体"/>
          <w:b/>
          <w:bCs/>
          <w:sz w:val="24"/>
          <w:szCs w:val="24"/>
          <w:lang w:val="en-US" w:eastAsia="zh-CN"/>
        </w:rPr>
        <w:t>二</w:t>
      </w:r>
      <w:r>
        <w:rPr>
          <w:rFonts w:hint="eastAsia" w:ascii="宋体" w:hAnsi="宋体" w:eastAsia="宋体" w:cs="宋体"/>
          <w:b/>
          <w:bCs/>
          <w:sz w:val="24"/>
          <w:szCs w:val="24"/>
          <w:lang w:eastAsia="zh-CN"/>
        </w:rPr>
        <w:t>）</w:t>
      </w:r>
      <w:r>
        <w:rPr>
          <w:rFonts w:hint="eastAsia" w:ascii="宋体" w:hAnsi="宋体" w:eastAsia="宋体" w:cs="宋体"/>
          <w:sz w:val="24"/>
          <w:szCs w:val="24"/>
        </w:rPr>
        <w:t>各区域及功能用房标识明确，通风及采光条件良好</w:t>
      </w:r>
      <w:r>
        <w:rPr>
          <w:rFonts w:hint="eastAsia" w:ascii="宋体" w:hAnsi="宋体" w:eastAsia="宋体" w:cs="宋体"/>
          <w:sz w:val="24"/>
          <w:szCs w:val="24"/>
          <w:lang w:eastAsia="zh-CN"/>
        </w:rPr>
        <w:t>，</w:t>
      </w:r>
      <w:r>
        <w:rPr>
          <w:rFonts w:hint="eastAsia" w:ascii="宋体" w:hAnsi="宋体" w:eastAsia="宋体" w:cs="宋体"/>
          <w:sz w:val="24"/>
          <w:szCs w:val="24"/>
        </w:rPr>
        <w:t>室内地面、</w:t>
      </w:r>
      <w:r>
        <w:rPr>
          <w:rFonts w:hint="eastAsia" w:ascii="宋体" w:hAnsi="宋体" w:eastAsia="宋体" w:cs="宋体"/>
          <w:sz w:val="24"/>
          <w:szCs w:val="24"/>
          <w:lang w:eastAsia="zh-CN"/>
        </w:rPr>
        <w:t>墙</w:t>
      </w:r>
      <w:r>
        <w:rPr>
          <w:rFonts w:hint="eastAsia" w:ascii="宋体" w:hAnsi="宋体" w:eastAsia="宋体" w:cs="宋体"/>
          <w:sz w:val="24"/>
          <w:szCs w:val="24"/>
        </w:rPr>
        <w:t>面和工作台面应坚固平整、不起尘，便于清洁，装饰材料防水、耐腐蚀。</w:t>
      </w:r>
    </w:p>
    <w:p w14:paraId="274B8E62">
      <w:pPr>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textAlignment w:val="auto"/>
        <w:rPr>
          <w:rFonts w:hint="eastAsia" w:ascii="宋体" w:hAnsi="宋体" w:eastAsia="宋体" w:cs="宋体"/>
          <w:sz w:val="24"/>
          <w:szCs w:val="24"/>
          <w:lang w:val="en-US" w:eastAsia="zh-CN"/>
        </w:rPr>
      </w:pPr>
      <w:r>
        <w:rPr>
          <w:rFonts w:hint="eastAsia" w:ascii="宋体" w:hAnsi="宋体" w:eastAsia="宋体" w:cs="宋体"/>
          <w:b/>
          <w:bCs/>
          <w:sz w:val="24"/>
          <w:szCs w:val="24"/>
          <w:lang w:eastAsia="zh-CN"/>
        </w:rPr>
        <w:t>（</w:t>
      </w:r>
      <w:r>
        <w:rPr>
          <w:rFonts w:hint="eastAsia" w:ascii="宋体" w:hAnsi="宋体" w:eastAsia="宋体" w:cs="宋体"/>
          <w:b/>
          <w:bCs/>
          <w:sz w:val="24"/>
          <w:szCs w:val="24"/>
          <w:lang w:val="en-US" w:eastAsia="zh-CN"/>
        </w:rPr>
        <w:t>三</w:t>
      </w:r>
      <w:r>
        <w:rPr>
          <w:rFonts w:hint="eastAsia" w:ascii="宋体" w:hAnsi="宋体" w:eastAsia="宋体" w:cs="宋体"/>
          <w:b/>
          <w:bCs/>
          <w:sz w:val="24"/>
          <w:szCs w:val="24"/>
          <w:lang w:eastAsia="zh-CN"/>
        </w:rPr>
        <w:t>）</w:t>
      </w:r>
      <w:r>
        <w:rPr>
          <w:rFonts w:hint="eastAsia" w:ascii="宋体" w:hAnsi="宋体" w:eastAsia="宋体" w:cs="宋体"/>
          <w:sz w:val="24"/>
          <w:szCs w:val="24"/>
          <w:lang w:eastAsia="zh-CN"/>
        </w:rPr>
        <w:t>各区域均有</w:t>
      </w:r>
      <w:r>
        <w:rPr>
          <w:rFonts w:hint="eastAsia" w:ascii="宋体" w:hAnsi="宋体" w:eastAsia="宋体" w:cs="宋体"/>
          <w:sz w:val="24"/>
          <w:szCs w:val="24"/>
        </w:rPr>
        <w:t>空气消毒设施</w:t>
      </w:r>
      <w:r>
        <w:rPr>
          <w:rFonts w:hint="eastAsia" w:ascii="宋体" w:hAnsi="宋体" w:eastAsia="宋体" w:cs="宋体"/>
          <w:sz w:val="24"/>
          <w:szCs w:val="24"/>
          <w:lang w:eastAsia="zh-CN"/>
        </w:rPr>
        <w:t>（与场所空间匹配的紫外线</w:t>
      </w:r>
      <w:r>
        <w:rPr>
          <w:rFonts w:hint="eastAsia" w:ascii="宋体" w:hAnsi="宋体" w:eastAsia="宋体" w:cs="宋体"/>
          <w:sz w:val="24"/>
          <w:szCs w:val="24"/>
          <w:lang w:val="en-US" w:eastAsia="zh-CN"/>
        </w:rPr>
        <w:t>/空气消毒机）。</w:t>
      </w:r>
    </w:p>
    <w:p w14:paraId="5C0EFD31">
      <w:pPr>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textAlignment w:val="auto"/>
        <w:rPr>
          <w:rFonts w:hint="eastAsia" w:ascii="宋体" w:hAnsi="宋体" w:eastAsia="宋体" w:cs="宋体"/>
          <w:sz w:val="24"/>
          <w:szCs w:val="24"/>
        </w:rPr>
      </w:pPr>
      <w:r>
        <w:rPr>
          <w:rFonts w:hint="eastAsia" w:ascii="宋体" w:hAnsi="宋体" w:eastAsia="宋体" w:cs="宋体"/>
          <w:b/>
          <w:bCs/>
          <w:sz w:val="24"/>
          <w:szCs w:val="24"/>
          <w:lang w:eastAsia="zh-CN"/>
        </w:rPr>
        <w:t>（</w:t>
      </w:r>
      <w:r>
        <w:rPr>
          <w:rFonts w:hint="eastAsia" w:ascii="宋体" w:hAnsi="宋体" w:eastAsia="宋体" w:cs="宋体"/>
          <w:b/>
          <w:bCs/>
          <w:sz w:val="24"/>
          <w:szCs w:val="24"/>
          <w:lang w:val="en-US" w:eastAsia="zh-CN"/>
        </w:rPr>
        <w:t>四</w:t>
      </w:r>
      <w:r>
        <w:rPr>
          <w:rFonts w:hint="eastAsia" w:ascii="宋体" w:hAnsi="宋体" w:eastAsia="宋体" w:cs="宋体"/>
          <w:b/>
          <w:bCs/>
          <w:sz w:val="24"/>
          <w:szCs w:val="24"/>
          <w:lang w:eastAsia="zh-CN"/>
        </w:rPr>
        <w:t>）</w:t>
      </w:r>
      <w:r>
        <w:rPr>
          <w:rFonts w:hint="eastAsia" w:ascii="宋体" w:hAnsi="宋体" w:eastAsia="宋体" w:cs="宋体"/>
          <w:sz w:val="24"/>
          <w:szCs w:val="24"/>
        </w:rPr>
        <w:t>排水设施完善，并有防蝇、防鼠等有害生物防治措施。</w:t>
      </w:r>
    </w:p>
    <w:p w14:paraId="32F0C752">
      <w:pPr>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textAlignment w:val="auto"/>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（五）</w:t>
      </w:r>
      <w:r>
        <w:rPr>
          <w:rFonts w:hint="eastAsia" w:ascii="宋体" w:hAnsi="宋体" w:eastAsia="宋体" w:cs="宋体"/>
          <w:sz w:val="24"/>
          <w:szCs w:val="24"/>
          <w:lang w:val="en-US" w:eastAsia="zh-CN"/>
        </w:rPr>
        <w:t>有匹配清洗量所需专用洗涤和烘干设备。</w:t>
      </w:r>
    </w:p>
    <w:p w14:paraId="6D0A825D">
      <w:pPr>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textAlignment w:val="auto"/>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（六）</w:t>
      </w:r>
      <w:r>
        <w:rPr>
          <w:rFonts w:hint="eastAsia" w:ascii="宋体" w:hAnsi="宋体" w:eastAsia="宋体" w:cs="宋体"/>
          <w:sz w:val="24"/>
          <w:szCs w:val="24"/>
          <w:lang w:val="en-US" w:eastAsia="zh-CN"/>
        </w:rPr>
        <w:t>使用的清洗剂、消毒剂符合国家标准、效期内使用，提供有效检测报告。</w:t>
      </w:r>
    </w:p>
    <w:p w14:paraId="040476BE">
      <w:pPr>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textAlignment w:val="auto"/>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（七）</w:t>
      </w:r>
      <w:r>
        <w:rPr>
          <w:rFonts w:hint="eastAsia" w:ascii="宋体" w:hAnsi="宋体" w:eastAsia="宋体" w:cs="宋体"/>
          <w:sz w:val="24"/>
          <w:szCs w:val="24"/>
          <w:lang w:val="en-US" w:eastAsia="zh-CN"/>
        </w:rPr>
        <w:t>工作人员按年度进行健康体检，无传染病及皮肤病，提供有效健康检测报告。</w:t>
      </w:r>
    </w:p>
    <w:p w14:paraId="114ECFA5">
      <w:pPr>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textAlignment w:val="auto"/>
        <w:rPr>
          <w:rFonts w:hint="eastAsia" w:ascii="宋体" w:hAnsi="宋体" w:eastAsia="宋体" w:cs="宋体"/>
          <w:sz w:val="24"/>
          <w:szCs w:val="24"/>
          <w:lang w:val="en-US" w:eastAsia="zh-CN"/>
        </w:rPr>
      </w:pPr>
      <w:r>
        <w:rPr>
          <w:rFonts w:hint="eastAsia" w:ascii="宋体" w:hAnsi="宋体" w:eastAsia="宋体" w:cs="宋体"/>
          <w:b/>
          <w:bCs/>
          <w:sz w:val="24"/>
          <w:szCs w:val="24"/>
          <w:lang w:eastAsia="zh-CN"/>
        </w:rPr>
        <w:t>（</w:t>
      </w:r>
      <w:r>
        <w:rPr>
          <w:rFonts w:hint="eastAsia" w:ascii="宋体" w:hAnsi="宋体" w:eastAsia="宋体" w:cs="宋体"/>
          <w:b/>
          <w:bCs/>
          <w:sz w:val="24"/>
          <w:szCs w:val="24"/>
          <w:lang w:val="en-US" w:eastAsia="zh-CN"/>
        </w:rPr>
        <w:t>八</w:t>
      </w:r>
      <w:r>
        <w:rPr>
          <w:rFonts w:hint="eastAsia" w:ascii="宋体" w:hAnsi="宋体" w:eastAsia="宋体" w:cs="宋体"/>
          <w:b/>
          <w:bCs/>
          <w:sz w:val="24"/>
          <w:szCs w:val="24"/>
          <w:lang w:eastAsia="zh-CN"/>
        </w:rPr>
        <w:t>）</w:t>
      </w:r>
      <w:r>
        <w:rPr>
          <w:rFonts w:hint="eastAsia" w:ascii="宋体" w:hAnsi="宋体" w:eastAsia="宋体" w:cs="宋体"/>
          <w:sz w:val="24"/>
          <w:szCs w:val="24"/>
          <w:lang w:eastAsia="zh-CN"/>
        </w:rPr>
        <w:t>洗涤</w:t>
      </w:r>
      <w:r>
        <w:rPr>
          <w:rFonts w:hint="eastAsia" w:ascii="宋体" w:hAnsi="宋体" w:eastAsia="宋体" w:cs="宋体"/>
          <w:sz w:val="24"/>
          <w:szCs w:val="24"/>
        </w:rPr>
        <w:t>方</w:t>
      </w:r>
      <w:r>
        <w:rPr>
          <w:rFonts w:hint="eastAsia" w:ascii="宋体" w:hAnsi="宋体" w:eastAsia="宋体" w:cs="宋体"/>
          <w:sz w:val="24"/>
          <w:szCs w:val="24"/>
          <w:lang w:eastAsia="zh-CN"/>
        </w:rPr>
        <w:t>每季度提供一份</w:t>
      </w:r>
      <w:r>
        <w:rPr>
          <w:rFonts w:hint="eastAsia" w:ascii="宋体" w:hAnsi="宋体" w:eastAsia="宋体" w:cs="宋体"/>
          <w:sz w:val="24"/>
          <w:szCs w:val="24"/>
        </w:rPr>
        <w:t>市疾控中心</w:t>
      </w:r>
      <w:r>
        <w:rPr>
          <w:rFonts w:hint="eastAsia" w:ascii="宋体" w:hAnsi="宋体" w:eastAsia="宋体" w:cs="宋体"/>
          <w:sz w:val="24"/>
          <w:szCs w:val="24"/>
          <w:lang w:val="en-US" w:eastAsia="zh-CN"/>
        </w:rPr>
        <w:t>/第三方专业检测机构</w:t>
      </w:r>
      <w:r>
        <w:rPr>
          <w:rFonts w:hint="eastAsia" w:ascii="宋体" w:hAnsi="宋体" w:eastAsia="宋体" w:cs="宋体"/>
          <w:sz w:val="24"/>
          <w:szCs w:val="24"/>
        </w:rPr>
        <w:t>对洗涤</w:t>
      </w:r>
      <w:r>
        <w:rPr>
          <w:rFonts w:hint="eastAsia" w:ascii="宋体" w:hAnsi="宋体" w:eastAsia="宋体" w:cs="宋体"/>
          <w:sz w:val="24"/>
          <w:szCs w:val="24"/>
          <w:lang w:eastAsia="zh-CN"/>
        </w:rPr>
        <w:t>物品检测报告单。</w:t>
      </w:r>
    </w:p>
    <w:p w14:paraId="417D4758">
      <w:pPr>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textAlignment w:val="auto"/>
        <w:rPr>
          <w:rFonts w:hint="eastAsia" w:ascii="宋体" w:hAnsi="宋体" w:eastAsia="宋体" w:cs="宋体"/>
          <w:sz w:val="24"/>
          <w:szCs w:val="24"/>
          <w:lang w:val="en-US" w:eastAsia="zh-CN"/>
        </w:rPr>
      </w:pPr>
      <w:r>
        <w:rPr>
          <w:rFonts w:hint="eastAsia" w:ascii="宋体" w:hAnsi="宋体" w:eastAsia="宋体" w:cs="宋体"/>
          <w:b/>
          <w:bCs/>
          <w:sz w:val="24"/>
          <w:szCs w:val="24"/>
          <w:lang w:eastAsia="zh-CN"/>
        </w:rPr>
        <w:t>（</w:t>
      </w:r>
      <w:r>
        <w:rPr>
          <w:rFonts w:hint="eastAsia" w:ascii="宋体" w:hAnsi="宋体" w:eastAsia="宋体" w:cs="宋体"/>
          <w:b/>
          <w:bCs/>
          <w:sz w:val="24"/>
          <w:szCs w:val="24"/>
          <w:lang w:val="en-US" w:eastAsia="zh-CN"/>
        </w:rPr>
        <w:t>九</w:t>
      </w:r>
      <w:r>
        <w:rPr>
          <w:rFonts w:hint="eastAsia" w:ascii="宋体" w:hAnsi="宋体" w:eastAsia="宋体" w:cs="宋体"/>
          <w:b/>
          <w:bCs/>
          <w:sz w:val="24"/>
          <w:szCs w:val="24"/>
          <w:lang w:eastAsia="zh-CN"/>
        </w:rPr>
        <w:t>）</w:t>
      </w:r>
      <w:r>
        <w:rPr>
          <w:rFonts w:hint="eastAsia" w:ascii="宋体" w:hAnsi="宋体" w:eastAsia="宋体" w:cs="宋体"/>
          <w:sz w:val="24"/>
          <w:szCs w:val="24"/>
        </w:rPr>
        <w:t>工作流程应由污到</w:t>
      </w:r>
      <w:r>
        <w:rPr>
          <w:rFonts w:hint="eastAsia" w:ascii="宋体" w:hAnsi="宋体" w:eastAsia="宋体" w:cs="宋体"/>
          <w:sz w:val="24"/>
          <w:szCs w:val="24"/>
          <w:lang w:eastAsia="zh-CN"/>
        </w:rPr>
        <w:t>洁</w:t>
      </w:r>
      <w:r>
        <w:rPr>
          <w:rFonts w:hint="eastAsia" w:ascii="宋体" w:hAnsi="宋体" w:eastAsia="宋体" w:cs="宋体"/>
          <w:sz w:val="24"/>
          <w:szCs w:val="24"/>
        </w:rPr>
        <w:t>，不交叉，不逆行。</w:t>
      </w:r>
      <w:r>
        <w:rPr>
          <w:rFonts w:hint="eastAsia" w:ascii="宋体" w:hAnsi="宋体" w:eastAsia="宋体" w:cs="宋体"/>
          <w:sz w:val="24"/>
          <w:szCs w:val="24"/>
          <w:lang w:eastAsia="zh-CN"/>
        </w:rPr>
        <w:t>按：分区分拣</w:t>
      </w:r>
      <w:r>
        <w:rPr>
          <w:rFonts w:hint="eastAsia" w:ascii="宋体" w:hAnsi="宋体" w:eastAsia="宋体" w:cs="宋体"/>
          <w:sz w:val="24"/>
          <w:szCs w:val="24"/>
          <w:lang w:val="en-US" w:eastAsia="zh-CN"/>
        </w:rPr>
        <w:t>--去污/消毒（必要时）--分类洗涤（消毒）--烘干--质检--修补（必要时）--熨烫/折叠--储存--运送。</w:t>
      </w:r>
    </w:p>
    <w:p w14:paraId="4D485D8E">
      <w:pPr>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textAlignment w:val="auto"/>
        <w:rPr>
          <w:rFonts w:hint="eastAsia" w:ascii="宋体" w:hAnsi="宋体" w:eastAsia="宋体" w:cs="宋体"/>
          <w:sz w:val="24"/>
          <w:szCs w:val="24"/>
        </w:rPr>
      </w:pPr>
      <w:r>
        <w:rPr>
          <w:rFonts w:hint="eastAsia" w:ascii="宋体" w:hAnsi="宋体" w:eastAsia="宋体" w:cs="宋体"/>
          <w:b/>
          <w:bCs/>
          <w:sz w:val="24"/>
          <w:szCs w:val="24"/>
          <w:lang w:eastAsia="zh-CN"/>
        </w:rPr>
        <w:t>（</w:t>
      </w:r>
      <w:r>
        <w:rPr>
          <w:rFonts w:hint="eastAsia" w:ascii="宋体" w:hAnsi="宋体" w:eastAsia="宋体" w:cs="宋体"/>
          <w:b/>
          <w:bCs/>
          <w:sz w:val="24"/>
          <w:szCs w:val="24"/>
          <w:lang w:val="en-US" w:eastAsia="zh-CN"/>
        </w:rPr>
        <w:t>十</w:t>
      </w:r>
      <w:r>
        <w:rPr>
          <w:rFonts w:hint="eastAsia" w:ascii="宋体" w:hAnsi="宋体" w:eastAsia="宋体" w:cs="宋体"/>
          <w:b/>
          <w:bCs/>
          <w:sz w:val="24"/>
          <w:szCs w:val="24"/>
          <w:lang w:eastAsia="zh-CN"/>
        </w:rPr>
        <w:t>）</w:t>
      </w:r>
      <w:r>
        <w:rPr>
          <w:rFonts w:hint="eastAsia" w:ascii="宋体" w:hAnsi="宋体" w:eastAsia="宋体" w:cs="宋体"/>
          <w:sz w:val="24"/>
          <w:szCs w:val="24"/>
        </w:rPr>
        <w:t>新生儿、婴儿医用织物</w:t>
      </w:r>
      <w:r>
        <w:rPr>
          <w:rFonts w:hint="eastAsia" w:ascii="宋体" w:hAnsi="宋体" w:eastAsia="宋体" w:cs="宋体"/>
          <w:sz w:val="24"/>
          <w:szCs w:val="24"/>
          <w:lang w:eastAsia="zh-CN"/>
        </w:rPr>
        <w:t>，医务人员工作服</w:t>
      </w:r>
      <w:r>
        <w:rPr>
          <w:rFonts w:hint="eastAsia" w:ascii="宋体" w:hAnsi="宋体" w:eastAsia="宋体" w:cs="宋体"/>
          <w:sz w:val="24"/>
          <w:szCs w:val="24"/>
        </w:rPr>
        <w:t>应专机洗涤、消毒，不得与其他医用织物混洗</w:t>
      </w:r>
      <w:r>
        <w:rPr>
          <w:rFonts w:hint="eastAsia" w:ascii="宋体" w:hAnsi="宋体" w:eastAsia="宋体" w:cs="宋体"/>
          <w:sz w:val="24"/>
          <w:szCs w:val="24"/>
          <w:lang w:eastAsia="zh-CN"/>
        </w:rPr>
        <w:t>；</w:t>
      </w:r>
      <w:r>
        <w:rPr>
          <w:rFonts w:hint="eastAsia" w:ascii="宋体" w:hAnsi="宋体" w:eastAsia="宋体" w:cs="宋体"/>
          <w:sz w:val="24"/>
          <w:szCs w:val="24"/>
        </w:rPr>
        <w:t>感染性织物</w:t>
      </w:r>
      <w:r>
        <w:rPr>
          <w:rFonts w:hint="eastAsia" w:ascii="宋体" w:hAnsi="宋体" w:eastAsia="宋体" w:cs="宋体"/>
          <w:sz w:val="24"/>
          <w:szCs w:val="24"/>
          <w:lang w:eastAsia="zh-CN"/>
        </w:rPr>
        <w:t>应</w:t>
      </w:r>
      <w:r>
        <w:rPr>
          <w:rFonts w:hint="eastAsia" w:ascii="宋体" w:hAnsi="宋体" w:eastAsia="宋体" w:cs="宋体"/>
          <w:sz w:val="24"/>
          <w:szCs w:val="24"/>
        </w:rPr>
        <w:t>用专机洗涤、消毒；手术室的医用织物（如手术衣、手术铺单等）应单独洗涤。</w:t>
      </w:r>
    </w:p>
    <w:p w14:paraId="5E9726C0">
      <w:pPr>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textAlignment w:val="auto"/>
        <w:rPr>
          <w:rFonts w:hint="eastAsia" w:ascii="宋体" w:hAnsi="宋体" w:eastAsia="宋体" w:cs="宋体"/>
          <w:sz w:val="24"/>
          <w:szCs w:val="24"/>
          <w:lang w:eastAsia="zh-CN"/>
        </w:rPr>
      </w:pPr>
      <w:r>
        <w:rPr>
          <w:rFonts w:hint="eastAsia" w:ascii="宋体" w:hAnsi="宋体" w:eastAsia="宋体" w:cs="宋体"/>
          <w:b/>
          <w:bCs/>
          <w:sz w:val="24"/>
          <w:szCs w:val="24"/>
          <w:lang w:eastAsia="zh-CN"/>
        </w:rPr>
        <w:t>（</w:t>
      </w:r>
      <w:r>
        <w:rPr>
          <w:rFonts w:hint="eastAsia" w:ascii="宋体" w:hAnsi="宋体" w:eastAsia="宋体" w:cs="宋体"/>
          <w:b/>
          <w:bCs/>
          <w:sz w:val="24"/>
          <w:szCs w:val="24"/>
          <w:lang w:val="en-US" w:eastAsia="zh-CN"/>
        </w:rPr>
        <w:t>十一</w:t>
      </w:r>
      <w:r>
        <w:rPr>
          <w:rFonts w:hint="eastAsia" w:ascii="宋体" w:hAnsi="宋体" w:eastAsia="宋体" w:cs="宋体"/>
          <w:b/>
          <w:bCs/>
          <w:sz w:val="24"/>
          <w:szCs w:val="24"/>
          <w:lang w:eastAsia="zh-CN"/>
        </w:rPr>
        <w:t>）</w:t>
      </w:r>
      <w:r>
        <w:rPr>
          <w:rFonts w:hint="eastAsia" w:ascii="宋体" w:hAnsi="宋体" w:eastAsia="宋体" w:cs="宋体"/>
          <w:sz w:val="24"/>
          <w:szCs w:val="24"/>
          <w:lang w:eastAsia="zh-CN"/>
        </w:rPr>
        <w:t>洗涤前分类分拣，清空织物中的杂物、污损及割伤性物品</w:t>
      </w:r>
      <w:r>
        <w:rPr>
          <w:rFonts w:hint="eastAsia" w:ascii="宋体" w:hAnsi="宋体" w:eastAsia="宋体" w:cs="宋体"/>
          <w:sz w:val="24"/>
          <w:szCs w:val="24"/>
        </w:rPr>
        <w:t>。</w:t>
      </w:r>
      <w:r>
        <w:rPr>
          <w:rFonts w:hint="eastAsia" w:ascii="宋体" w:hAnsi="宋体" w:eastAsia="宋体" w:cs="宋体"/>
          <w:sz w:val="24"/>
          <w:szCs w:val="24"/>
        </w:rPr>
        <w:br w:type="textWrapping"/>
      </w:r>
      <w:r>
        <w:rPr>
          <w:rFonts w:hint="eastAsia" w:ascii="宋体" w:hAnsi="宋体" w:eastAsia="宋体" w:cs="宋体"/>
          <w:sz w:val="24"/>
          <w:szCs w:val="24"/>
          <w:lang w:val="en-US" w:eastAsia="zh-CN"/>
        </w:rPr>
        <w:t xml:space="preserve"> </w:t>
      </w:r>
      <w:r>
        <w:rPr>
          <w:rFonts w:hint="eastAsia" w:ascii="宋体" w:hAnsi="宋体" w:eastAsia="宋体" w:cs="宋体"/>
          <w:b/>
          <w:bCs/>
          <w:sz w:val="24"/>
          <w:szCs w:val="24"/>
          <w:lang w:val="en-US" w:eastAsia="zh-CN"/>
        </w:rPr>
        <w:t xml:space="preserve">   </w:t>
      </w:r>
      <w:r>
        <w:rPr>
          <w:rFonts w:hint="eastAsia" w:ascii="宋体" w:hAnsi="宋体" w:eastAsia="宋体" w:cs="宋体"/>
          <w:b/>
          <w:bCs/>
          <w:sz w:val="24"/>
          <w:szCs w:val="24"/>
          <w:lang w:eastAsia="zh-CN"/>
        </w:rPr>
        <w:t>（</w:t>
      </w:r>
      <w:r>
        <w:rPr>
          <w:rFonts w:hint="eastAsia" w:ascii="宋体" w:hAnsi="宋体" w:eastAsia="宋体" w:cs="宋体"/>
          <w:b/>
          <w:bCs/>
          <w:sz w:val="24"/>
          <w:szCs w:val="24"/>
          <w:lang w:val="en-US" w:eastAsia="zh-CN"/>
        </w:rPr>
        <w:t>十二</w:t>
      </w:r>
      <w:r>
        <w:rPr>
          <w:rFonts w:hint="eastAsia" w:ascii="宋体" w:hAnsi="宋体" w:eastAsia="宋体" w:cs="宋体"/>
          <w:b/>
          <w:bCs/>
          <w:sz w:val="24"/>
          <w:szCs w:val="24"/>
          <w:lang w:eastAsia="zh-CN"/>
        </w:rPr>
        <w:t>）</w:t>
      </w:r>
      <w:r>
        <w:rPr>
          <w:rFonts w:hint="eastAsia" w:ascii="宋体" w:hAnsi="宋体" w:eastAsia="宋体" w:cs="宋体"/>
          <w:sz w:val="24"/>
          <w:szCs w:val="24"/>
        </w:rPr>
        <w:t>根据医用织物污渍性质、污染程度</w:t>
      </w:r>
      <w:r>
        <w:rPr>
          <w:rFonts w:hint="eastAsia" w:ascii="宋体" w:hAnsi="宋体" w:eastAsia="宋体" w:cs="宋体"/>
          <w:sz w:val="24"/>
          <w:szCs w:val="24"/>
          <w:lang w:eastAsia="zh-CN"/>
        </w:rPr>
        <w:t>，颜色，材质不同</w:t>
      </w:r>
      <w:r>
        <w:rPr>
          <w:rFonts w:hint="eastAsia" w:ascii="宋体" w:hAnsi="宋体" w:eastAsia="宋体" w:cs="宋体"/>
          <w:sz w:val="24"/>
          <w:szCs w:val="24"/>
        </w:rPr>
        <w:t>应分机、分批次洗涤、消毒、熨烫、整理</w:t>
      </w:r>
      <w:r>
        <w:rPr>
          <w:rFonts w:hint="eastAsia" w:ascii="宋体" w:hAnsi="宋体" w:eastAsia="宋体" w:cs="宋体"/>
          <w:sz w:val="24"/>
          <w:szCs w:val="24"/>
          <w:lang w:eastAsia="zh-CN"/>
        </w:rPr>
        <w:t>。</w:t>
      </w:r>
    </w:p>
    <w:p w14:paraId="6ADB6591">
      <w:pPr>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textAlignment w:val="auto"/>
        <w:rPr>
          <w:rFonts w:hint="eastAsia" w:ascii="宋体" w:hAnsi="宋体" w:eastAsia="宋体" w:cs="宋体"/>
          <w:sz w:val="24"/>
          <w:szCs w:val="24"/>
          <w:lang w:eastAsia="zh-CN"/>
        </w:rPr>
      </w:pPr>
      <w:r>
        <w:rPr>
          <w:rFonts w:hint="eastAsia" w:ascii="宋体" w:hAnsi="宋体" w:eastAsia="宋体" w:cs="宋体"/>
          <w:b/>
          <w:bCs/>
          <w:sz w:val="24"/>
          <w:szCs w:val="24"/>
          <w:lang w:eastAsia="zh-CN"/>
        </w:rPr>
        <w:t>（</w:t>
      </w:r>
      <w:r>
        <w:rPr>
          <w:rFonts w:hint="eastAsia" w:ascii="宋体" w:hAnsi="宋体" w:eastAsia="宋体" w:cs="宋体"/>
          <w:b/>
          <w:bCs/>
          <w:sz w:val="24"/>
          <w:szCs w:val="24"/>
          <w:lang w:val="en-US" w:eastAsia="zh-CN"/>
        </w:rPr>
        <w:t>十三</w:t>
      </w:r>
      <w:r>
        <w:rPr>
          <w:rFonts w:hint="eastAsia" w:ascii="宋体" w:hAnsi="宋体" w:eastAsia="宋体" w:cs="宋体"/>
          <w:b/>
          <w:bCs/>
          <w:sz w:val="24"/>
          <w:szCs w:val="24"/>
          <w:lang w:eastAsia="zh-CN"/>
        </w:rPr>
        <w:t>）</w:t>
      </w:r>
      <w:r>
        <w:rPr>
          <w:rFonts w:hint="eastAsia" w:ascii="宋体" w:hAnsi="宋体" w:eastAsia="宋体" w:cs="宋体"/>
          <w:sz w:val="24"/>
          <w:szCs w:val="24"/>
        </w:rPr>
        <w:t>收送洗涤物品要求净物、污物分</w:t>
      </w:r>
      <w:r>
        <w:rPr>
          <w:rFonts w:hint="eastAsia" w:ascii="宋体" w:hAnsi="宋体" w:eastAsia="宋体" w:cs="宋体"/>
          <w:sz w:val="24"/>
          <w:szCs w:val="24"/>
          <w:lang w:eastAsia="zh-CN"/>
        </w:rPr>
        <w:t>车</w:t>
      </w:r>
      <w:r>
        <w:rPr>
          <w:rFonts w:hint="eastAsia" w:ascii="宋体" w:hAnsi="宋体" w:eastAsia="宋体" w:cs="宋体"/>
          <w:sz w:val="24"/>
          <w:szCs w:val="24"/>
        </w:rPr>
        <w:t>运输</w:t>
      </w:r>
      <w:r>
        <w:rPr>
          <w:rFonts w:hint="eastAsia" w:ascii="宋体" w:hAnsi="宋体" w:eastAsia="宋体" w:cs="宋体"/>
          <w:sz w:val="24"/>
          <w:szCs w:val="24"/>
          <w:lang w:eastAsia="zh-CN"/>
        </w:rPr>
        <w:t>、不得交叉使用，车辆使用后清洁消毒。</w:t>
      </w:r>
    </w:p>
    <w:p w14:paraId="521FE8F9">
      <w:pPr>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textAlignment w:val="auto"/>
        <w:rPr>
          <w:rFonts w:hint="eastAsia" w:ascii="宋体" w:hAnsi="宋体" w:eastAsia="宋体" w:cs="宋体"/>
          <w:sz w:val="24"/>
          <w:szCs w:val="24"/>
          <w:lang w:val="en-US" w:eastAsia="zh-CN"/>
        </w:rPr>
      </w:pPr>
      <w:r>
        <w:rPr>
          <w:rFonts w:hint="eastAsia" w:ascii="宋体" w:hAnsi="宋体" w:eastAsia="宋体" w:cs="宋体"/>
          <w:b/>
          <w:bCs/>
          <w:sz w:val="24"/>
          <w:szCs w:val="24"/>
          <w:lang w:eastAsia="zh-CN"/>
        </w:rPr>
        <w:t>（</w:t>
      </w:r>
      <w:r>
        <w:rPr>
          <w:rFonts w:hint="eastAsia" w:ascii="宋体" w:hAnsi="宋体" w:eastAsia="宋体" w:cs="宋体"/>
          <w:b/>
          <w:bCs/>
          <w:sz w:val="24"/>
          <w:szCs w:val="24"/>
          <w:lang w:val="en-US" w:eastAsia="zh-CN"/>
        </w:rPr>
        <w:t>十四</w:t>
      </w:r>
      <w:r>
        <w:rPr>
          <w:rFonts w:hint="eastAsia" w:ascii="宋体" w:hAnsi="宋体" w:eastAsia="宋体" w:cs="宋体"/>
          <w:b/>
          <w:bCs/>
          <w:sz w:val="24"/>
          <w:szCs w:val="24"/>
          <w:lang w:eastAsia="zh-CN"/>
        </w:rPr>
        <w:t>）</w:t>
      </w:r>
      <w:r>
        <w:rPr>
          <w:rFonts w:hint="eastAsia" w:ascii="宋体" w:hAnsi="宋体" w:eastAsia="宋体" w:cs="宋体"/>
          <w:sz w:val="24"/>
          <w:szCs w:val="24"/>
          <w:lang w:val="en-US" w:eastAsia="zh-CN"/>
        </w:rPr>
        <w:t>提供洁物运输包装袋，要求密闭、防尘、防渗、防虫，一用一清洁、消毒。</w:t>
      </w:r>
    </w:p>
    <w:p w14:paraId="5174381A">
      <w:pPr>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textAlignment w:val="auto"/>
        <w:rPr>
          <w:rFonts w:hint="eastAsia" w:ascii="宋体" w:hAnsi="宋体" w:eastAsia="宋体" w:cs="宋体"/>
          <w:sz w:val="24"/>
          <w:szCs w:val="24"/>
          <w:lang w:val="en-US" w:eastAsia="zh-CN"/>
        </w:rPr>
      </w:pPr>
      <w:r>
        <w:rPr>
          <w:rFonts w:hint="eastAsia" w:ascii="宋体" w:hAnsi="宋体" w:eastAsia="宋体" w:cs="宋体"/>
          <w:b/>
          <w:bCs/>
          <w:sz w:val="24"/>
          <w:szCs w:val="24"/>
          <w:lang w:eastAsia="zh-CN"/>
        </w:rPr>
        <w:t>（</w:t>
      </w:r>
      <w:r>
        <w:rPr>
          <w:rFonts w:hint="eastAsia" w:ascii="宋体" w:hAnsi="宋体" w:eastAsia="宋体" w:cs="宋体"/>
          <w:b/>
          <w:bCs/>
          <w:sz w:val="24"/>
          <w:szCs w:val="24"/>
          <w:lang w:val="en-US" w:eastAsia="zh-CN"/>
        </w:rPr>
        <w:t>十五</w:t>
      </w:r>
      <w:r>
        <w:rPr>
          <w:rFonts w:hint="eastAsia" w:ascii="宋体" w:hAnsi="宋体" w:eastAsia="宋体" w:cs="宋体"/>
          <w:b/>
          <w:bCs/>
          <w:sz w:val="24"/>
          <w:szCs w:val="24"/>
          <w:lang w:eastAsia="zh-CN"/>
        </w:rPr>
        <w:t>）</w:t>
      </w:r>
      <w:r>
        <w:rPr>
          <w:rFonts w:hint="eastAsia" w:ascii="宋体" w:hAnsi="宋体" w:eastAsia="宋体" w:cs="宋体"/>
          <w:sz w:val="24"/>
          <w:szCs w:val="24"/>
          <w:lang w:val="en-US" w:eastAsia="zh-CN"/>
        </w:rPr>
        <w:t>污物由</w:t>
      </w:r>
      <w:r>
        <w:rPr>
          <w:rFonts w:hint="eastAsia" w:ascii="宋体" w:hAnsi="宋体" w:eastAsia="宋体" w:cs="宋体"/>
          <w:sz w:val="24"/>
          <w:szCs w:val="24"/>
          <w:lang w:eastAsia="zh-CN"/>
        </w:rPr>
        <w:t>洗涤</w:t>
      </w:r>
      <w:r>
        <w:rPr>
          <w:rFonts w:hint="eastAsia" w:ascii="宋体" w:hAnsi="宋体" w:eastAsia="宋体" w:cs="宋体"/>
          <w:sz w:val="24"/>
          <w:szCs w:val="24"/>
        </w:rPr>
        <w:t>方每日上午</w:t>
      </w:r>
      <w:r>
        <w:rPr>
          <w:rFonts w:hint="eastAsia" w:ascii="宋体" w:hAnsi="宋体" w:eastAsia="宋体" w:cs="宋体"/>
          <w:sz w:val="24"/>
          <w:szCs w:val="24"/>
          <w:lang w:val="en-US" w:eastAsia="zh-CN"/>
        </w:rPr>
        <w:t>11：00前回收，</w:t>
      </w:r>
      <w:r>
        <w:rPr>
          <w:rFonts w:hint="eastAsia" w:ascii="宋体" w:hAnsi="宋体" w:eastAsia="宋体" w:cs="宋体"/>
          <w:sz w:val="24"/>
          <w:szCs w:val="24"/>
        </w:rPr>
        <w:t>需</w:t>
      </w:r>
      <w:r>
        <w:rPr>
          <w:rFonts w:hint="eastAsia" w:ascii="宋体" w:hAnsi="宋体" w:eastAsia="宋体" w:cs="宋体"/>
          <w:sz w:val="24"/>
          <w:szCs w:val="24"/>
          <w:lang w:eastAsia="zh-CN"/>
        </w:rPr>
        <w:t>在医院</w:t>
      </w:r>
      <w:r>
        <w:rPr>
          <w:rFonts w:hint="eastAsia" w:ascii="宋体" w:hAnsi="宋体" w:eastAsia="宋体" w:cs="宋体"/>
          <w:sz w:val="24"/>
          <w:szCs w:val="24"/>
        </w:rPr>
        <w:t>指定区域</w:t>
      </w:r>
      <w:r>
        <w:rPr>
          <w:rFonts w:hint="eastAsia" w:ascii="宋体" w:hAnsi="宋体" w:eastAsia="宋体" w:cs="宋体"/>
          <w:sz w:val="24"/>
          <w:szCs w:val="24"/>
          <w:lang w:eastAsia="zh-CN"/>
        </w:rPr>
        <w:t>清点、检查污物</w:t>
      </w:r>
      <w:r>
        <w:rPr>
          <w:rFonts w:hint="eastAsia" w:ascii="宋体" w:hAnsi="宋体" w:eastAsia="宋体" w:cs="宋体"/>
          <w:sz w:val="24"/>
          <w:szCs w:val="24"/>
        </w:rPr>
        <w:t>。</w:t>
      </w:r>
    </w:p>
    <w:p w14:paraId="7E7A5433">
      <w:pPr>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textAlignment w:val="auto"/>
        <w:rPr>
          <w:rFonts w:hint="eastAsia" w:ascii="宋体" w:hAnsi="宋体" w:eastAsia="宋体" w:cs="宋体"/>
          <w:sz w:val="24"/>
          <w:szCs w:val="24"/>
          <w:lang w:val="en-US" w:eastAsia="zh-CN"/>
        </w:rPr>
      </w:pPr>
      <w:r>
        <w:rPr>
          <w:rFonts w:hint="eastAsia" w:ascii="宋体" w:hAnsi="宋体" w:eastAsia="宋体" w:cs="宋体"/>
          <w:b/>
          <w:bCs/>
          <w:sz w:val="24"/>
          <w:szCs w:val="24"/>
          <w:lang w:eastAsia="zh-CN"/>
        </w:rPr>
        <w:t>（</w:t>
      </w:r>
      <w:r>
        <w:rPr>
          <w:rFonts w:hint="eastAsia" w:ascii="宋体" w:hAnsi="宋体" w:eastAsia="宋体" w:cs="宋体"/>
          <w:b/>
          <w:bCs/>
          <w:sz w:val="24"/>
          <w:szCs w:val="24"/>
          <w:lang w:val="en-US" w:eastAsia="zh-CN"/>
        </w:rPr>
        <w:t>十六</w:t>
      </w:r>
      <w:r>
        <w:rPr>
          <w:rFonts w:hint="eastAsia" w:ascii="宋体" w:hAnsi="宋体" w:eastAsia="宋体" w:cs="宋体"/>
          <w:b/>
          <w:bCs/>
          <w:sz w:val="24"/>
          <w:szCs w:val="24"/>
          <w:lang w:eastAsia="zh-CN"/>
        </w:rPr>
        <w:t>）</w:t>
      </w:r>
      <w:r>
        <w:rPr>
          <w:rFonts w:hint="eastAsia" w:ascii="宋体" w:hAnsi="宋体" w:eastAsia="宋体" w:cs="宋体"/>
          <w:sz w:val="24"/>
          <w:szCs w:val="24"/>
          <w:lang w:val="en-US" w:eastAsia="zh-CN"/>
        </w:rPr>
        <w:t>清洁物品由</w:t>
      </w:r>
      <w:r>
        <w:rPr>
          <w:rFonts w:hint="eastAsia" w:ascii="宋体" w:hAnsi="宋体" w:eastAsia="宋体" w:cs="宋体"/>
          <w:sz w:val="24"/>
          <w:szCs w:val="24"/>
          <w:lang w:eastAsia="zh-CN"/>
        </w:rPr>
        <w:t>洗涤</w:t>
      </w:r>
      <w:r>
        <w:rPr>
          <w:rFonts w:hint="eastAsia" w:ascii="宋体" w:hAnsi="宋体" w:eastAsia="宋体" w:cs="宋体"/>
          <w:sz w:val="24"/>
          <w:szCs w:val="24"/>
        </w:rPr>
        <w:t>方每日上午</w:t>
      </w:r>
      <w:r>
        <w:rPr>
          <w:rFonts w:hint="eastAsia" w:ascii="宋体" w:hAnsi="宋体" w:eastAsia="宋体" w:cs="宋体"/>
          <w:sz w:val="24"/>
          <w:szCs w:val="24"/>
          <w:lang w:val="en-US" w:eastAsia="zh-CN"/>
        </w:rPr>
        <w:t>11：00前</w:t>
      </w:r>
      <w:r>
        <w:rPr>
          <w:rFonts w:hint="eastAsia" w:ascii="宋体" w:hAnsi="宋体" w:eastAsia="宋体" w:cs="宋体"/>
          <w:sz w:val="24"/>
          <w:szCs w:val="24"/>
        </w:rPr>
        <w:t>送达</w:t>
      </w:r>
      <w:r>
        <w:rPr>
          <w:rFonts w:hint="eastAsia" w:ascii="宋体" w:hAnsi="宋体" w:eastAsia="宋体" w:cs="宋体"/>
          <w:sz w:val="24"/>
          <w:szCs w:val="24"/>
          <w:lang w:eastAsia="zh-CN"/>
        </w:rPr>
        <w:t>医院</w:t>
      </w:r>
      <w:r>
        <w:rPr>
          <w:rFonts w:hint="eastAsia" w:ascii="宋体" w:hAnsi="宋体" w:eastAsia="宋体" w:cs="宋体"/>
          <w:sz w:val="24"/>
          <w:szCs w:val="24"/>
        </w:rPr>
        <w:t>指定位置（医院洗涤物品发放中心），经</w:t>
      </w:r>
      <w:r>
        <w:rPr>
          <w:rFonts w:hint="eastAsia" w:ascii="宋体" w:hAnsi="宋体" w:eastAsia="宋体" w:cs="宋体"/>
          <w:sz w:val="24"/>
          <w:szCs w:val="24"/>
          <w:lang w:eastAsia="zh-CN"/>
        </w:rPr>
        <w:t>接收</w:t>
      </w:r>
      <w:r>
        <w:rPr>
          <w:rFonts w:hint="eastAsia" w:ascii="宋体" w:hAnsi="宋体" w:eastAsia="宋体" w:cs="宋体"/>
          <w:sz w:val="24"/>
          <w:szCs w:val="24"/>
        </w:rPr>
        <w:t>科室</w:t>
      </w:r>
      <w:r>
        <w:rPr>
          <w:rFonts w:hint="eastAsia" w:ascii="宋体" w:hAnsi="宋体" w:eastAsia="宋体" w:cs="宋体"/>
          <w:sz w:val="24"/>
          <w:szCs w:val="24"/>
          <w:lang w:eastAsia="zh-CN"/>
        </w:rPr>
        <w:t>、洗涤方共同</w:t>
      </w:r>
      <w:r>
        <w:rPr>
          <w:rFonts w:hint="eastAsia" w:ascii="宋体" w:hAnsi="宋体" w:eastAsia="宋体" w:cs="宋体"/>
          <w:sz w:val="24"/>
          <w:szCs w:val="24"/>
        </w:rPr>
        <w:t>清点无误后在物品收发单上填写数量并签字确认。</w:t>
      </w:r>
    </w:p>
    <w:p w14:paraId="476605E9">
      <w:pPr>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textAlignment w:val="auto"/>
        <w:rPr>
          <w:rFonts w:hint="eastAsia" w:ascii="宋体" w:hAnsi="宋体" w:eastAsia="宋体" w:cs="宋体"/>
          <w:sz w:val="24"/>
          <w:szCs w:val="24"/>
          <w:lang w:val="en-US" w:eastAsia="zh-CN"/>
        </w:rPr>
      </w:pPr>
      <w:r>
        <w:rPr>
          <w:rFonts w:hint="eastAsia" w:ascii="宋体" w:hAnsi="宋体" w:eastAsia="宋体" w:cs="宋体"/>
          <w:b/>
          <w:bCs/>
          <w:sz w:val="24"/>
          <w:szCs w:val="24"/>
          <w:lang w:eastAsia="zh-CN"/>
        </w:rPr>
        <w:t>（</w:t>
      </w:r>
      <w:r>
        <w:rPr>
          <w:rFonts w:hint="eastAsia" w:ascii="宋体" w:hAnsi="宋体" w:eastAsia="宋体" w:cs="宋体"/>
          <w:b/>
          <w:bCs/>
          <w:sz w:val="24"/>
          <w:szCs w:val="24"/>
          <w:lang w:val="en-US" w:eastAsia="zh-CN"/>
        </w:rPr>
        <w:t>十七</w:t>
      </w:r>
      <w:r>
        <w:rPr>
          <w:rFonts w:hint="eastAsia" w:ascii="宋体" w:hAnsi="宋体" w:eastAsia="宋体" w:cs="宋体"/>
          <w:b/>
          <w:bCs/>
          <w:sz w:val="24"/>
          <w:szCs w:val="24"/>
          <w:lang w:eastAsia="zh-CN"/>
        </w:rPr>
        <w:t>）</w:t>
      </w:r>
      <w:r>
        <w:rPr>
          <w:rFonts w:hint="eastAsia" w:ascii="宋体" w:hAnsi="宋体" w:eastAsia="宋体" w:cs="宋体"/>
          <w:sz w:val="24"/>
          <w:szCs w:val="24"/>
          <w:lang w:eastAsia="zh-CN"/>
        </w:rPr>
        <w:t>回收</w:t>
      </w:r>
      <w:r>
        <w:rPr>
          <w:rFonts w:hint="eastAsia" w:ascii="宋体" w:hAnsi="宋体" w:eastAsia="宋体" w:cs="宋体"/>
          <w:sz w:val="24"/>
          <w:szCs w:val="24"/>
        </w:rPr>
        <w:t>洗涤物品时</w:t>
      </w:r>
      <w:r>
        <w:rPr>
          <w:rFonts w:hint="eastAsia" w:ascii="宋体" w:hAnsi="宋体" w:eastAsia="宋体" w:cs="宋体"/>
          <w:sz w:val="24"/>
          <w:szCs w:val="24"/>
          <w:lang w:eastAsia="zh-CN"/>
        </w:rPr>
        <w:t>未反馈问题</w:t>
      </w:r>
      <w:r>
        <w:rPr>
          <w:rFonts w:hint="eastAsia" w:ascii="宋体" w:hAnsi="宋体" w:eastAsia="宋体" w:cs="宋体"/>
          <w:sz w:val="24"/>
          <w:szCs w:val="24"/>
        </w:rPr>
        <w:t>，洗涤后如洗涤物发生损</w:t>
      </w:r>
      <w:r>
        <w:rPr>
          <w:rFonts w:hint="eastAsia" w:ascii="宋体" w:hAnsi="宋体" w:eastAsia="宋体" w:cs="宋体"/>
          <w:sz w:val="24"/>
          <w:szCs w:val="24"/>
          <w:lang w:eastAsia="zh-CN"/>
        </w:rPr>
        <w:t>毁</w:t>
      </w:r>
      <w:r>
        <w:rPr>
          <w:rFonts w:hint="eastAsia" w:ascii="宋体" w:hAnsi="宋体" w:eastAsia="宋体" w:cs="宋体"/>
          <w:sz w:val="24"/>
          <w:szCs w:val="24"/>
        </w:rPr>
        <w:t>，</w:t>
      </w:r>
      <w:r>
        <w:rPr>
          <w:rFonts w:hint="eastAsia" w:ascii="宋体" w:hAnsi="宋体" w:eastAsia="宋体" w:cs="宋体"/>
          <w:sz w:val="24"/>
          <w:szCs w:val="24"/>
          <w:lang w:eastAsia="zh-CN"/>
        </w:rPr>
        <w:t>洗涤方按洗涤质量管理标准</w:t>
      </w:r>
      <w:r>
        <w:rPr>
          <w:rFonts w:hint="eastAsia" w:ascii="宋体" w:hAnsi="宋体" w:eastAsia="宋体" w:cs="宋体"/>
          <w:sz w:val="24"/>
          <w:szCs w:val="24"/>
        </w:rPr>
        <w:t>进行赔偿，如洗涤物品不洁净，</w:t>
      </w:r>
      <w:r>
        <w:rPr>
          <w:rFonts w:hint="eastAsia" w:ascii="宋体" w:hAnsi="宋体" w:eastAsia="宋体" w:cs="宋体"/>
          <w:sz w:val="24"/>
          <w:szCs w:val="24"/>
          <w:lang w:eastAsia="zh-CN"/>
        </w:rPr>
        <w:t>洗涤</w:t>
      </w:r>
      <w:r>
        <w:rPr>
          <w:rFonts w:hint="eastAsia" w:ascii="宋体" w:hAnsi="宋体" w:eastAsia="宋体" w:cs="宋体"/>
          <w:sz w:val="24"/>
          <w:szCs w:val="24"/>
        </w:rPr>
        <w:t>方</w:t>
      </w:r>
      <w:r>
        <w:rPr>
          <w:rFonts w:hint="eastAsia" w:ascii="宋体" w:hAnsi="宋体" w:eastAsia="宋体" w:cs="宋体"/>
          <w:sz w:val="24"/>
          <w:szCs w:val="24"/>
          <w:lang w:eastAsia="zh-CN"/>
        </w:rPr>
        <w:t>需</w:t>
      </w:r>
      <w:r>
        <w:rPr>
          <w:rFonts w:hint="eastAsia" w:ascii="宋体" w:hAnsi="宋体" w:eastAsia="宋体" w:cs="宋体"/>
          <w:sz w:val="24"/>
          <w:szCs w:val="24"/>
        </w:rPr>
        <w:t>进行</w:t>
      </w:r>
      <w:r>
        <w:rPr>
          <w:rFonts w:hint="eastAsia" w:ascii="宋体" w:hAnsi="宋体" w:eastAsia="宋体" w:cs="宋体"/>
          <w:sz w:val="24"/>
          <w:szCs w:val="24"/>
          <w:lang w:eastAsia="zh-CN"/>
        </w:rPr>
        <w:t>免费返洗</w:t>
      </w:r>
      <w:r>
        <w:rPr>
          <w:rFonts w:hint="eastAsia" w:ascii="宋体" w:hAnsi="宋体" w:eastAsia="宋体" w:cs="宋体"/>
          <w:sz w:val="24"/>
          <w:szCs w:val="24"/>
        </w:rPr>
        <w:t>。</w:t>
      </w:r>
    </w:p>
    <w:p w14:paraId="0B5C8901">
      <w:pPr>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textAlignment w:val="auto"/>
        <w:rPr>
          <w:rFonts w:hint="eastAsia" w:ascii="宋体" w:hAnsi="宋体" w:eastAsia="宋体" w:cs="宋体"/>
          <w:sz w:val="24"/>
          <w:szCs w:val="24"/>
          <w:lang w:val="en-US" w:eastAsia="zh-CN"/>
        </w:rPr>
      </w:pPr>
      <w:r>
        <w:rPr>
          <w:rFonts w:hint="eastAsia" w:ascii="宋体" w:hAnsi="宋体" w:eastAsia="宋体" w:cs="宋体"/>
          <w:b/>
          <w:bCs/>
          <w:sz w:val="24"/>
          <w:szCs w:val="24"/>
          <w:lang w:eastAsia="zh-CN"/>
        </w:rPr>
        <w:t>（</w:t>
      </w:r>
      <w:r>
        <w:rPr>
          <w:rFonts w:hint="eastAsia" w:ascii="宋体" w:hAnsi="宋体" w:eastAsia="宋体" w:cs="宋体"/>
          <w:b/>
          <w:bCs/>
          <w:sz w:val="24"/>
          <w:szCs w:val="24"/>
          <w:lang w:val="en-US" w:eastAsia="zh-CN"/>
        </w:rPr>
        <w:t>十八</w:t>
      </w:r>
      <w:r>
        <w:rPr>
          <w:rFonts w:hint="eastAsia" w:ascii="宋体" w:hAnsi="宋体" w:eastAsia="宋体" w:cs="宋体"/>
          <w:b/>
          <w:bCs/>
          <w:sz w:val="24"/>
          <w:szCs w:val="24"/>
          <w:lang w:eastAsia="zh-CN"/>
        </w:rPr>
        <w:t>）</w:t>
      </w:r>
      <w:r>
        <w:rPr>
          <w:rFonts w:hint="eastAsia" w:ascii="宋体" w:hAnsi="宋体" w:eastAsia="宋体" w:cs="宋体"/>
          <w:sz w:val="24"/>
          <w:szCs w:val="24"/>
          <w:lang w:val="en-US" w:eastAsia="zh-CN"/>
        </w:rPr>
        <w:t>洗涤方应持续改进清洗质量，有效清除织物上的各类印渍（包括血渍、油渍、药渍、墨渍等），达到医用织物洗涤标准。</w:t>
      </w:r>
    </w:p>
    <w:p w14:paraId="581DED3A">
      <w:pPr>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textAlignment w:val="auto"/>
        <w:rPr>
          <w:rFonts w:hint="eastAsia" w:ascii="宋体" w:hAnsi="宋体" w:eastAsia="宋体" w:cs="宋体"/>
          <w:sz w:val="24"/>
          <w:szCs w:val="24"/>
          <w:lang w:val="en-US" w:eastAsia="zh-CN"/>
        </w:rPr>
      </w:pPr>
      <w:r>
        <w:rPr>
          <w:rFonts w:hint="eastAsia" w:ascii="宋体" w:hAnsi="宋体" w:eastAsia="宋体" w:cs="宋体"/>
          <w:b/>
          <w:bCs/>
          <w:sz w:val="24"/>
          <w:szCs w:val="24"/>
          <w:lang w:eastAsia="zh-CN"/>
        </w:rPr>
        <w:t>（</w:t>
      </w:r>
      <w:r>
        <w:rPr>
          <w:rFonts w:hint="eastAsia" w:ascii="宋体" w:hAnsi="宋体" w:eastAsia="宋体" w:cs="宋体"/>
          <w:b/>
          <w:bCs/>
          <w:sz w:val="24"/>
          <w:szCs w:val="24"/>
          <w:lang w:val="en-US" w:eastAsia="zh-CN"/>
        </w:rPr>
        <w:t>十九</w:t>
      </w:r>
      <w:r>
        <w:rPr>
          <w:rFonts w:hint="eastAsia" w:ascii="宋体" w:hAnsi="宋体" w:eastAsia="宋体" w:cs="宋体"/>
          <w:b/>
          <w:bCs/>
          <w:sz w:val="24"/>
          <w:szCs w:val="24"/>
          <w:lang w:eastAsia="zh-CN"/>
        </w:rPr>
        <w:t>）</w:t>
      </w:r>
      <w:r>
        <w:rPr>
          <w:rFonts w:hint="eastAsia" w:ascii="宋体" w:hAnsi="宋体" w:eastAsia="宋体" w:cs="宋体"/>
          <w:sz w:val="24"/>
          <w:szCs w:val="24"/>
          <w:lang w:val="en-US" w:eastAsia="zh-CN"/>
        </w:rPr>
        <w:t>洗涤方在质检过程中发现脱落纽扣、脱线、缺少系带、毛边、正常磨损、手术衣螺纹袖口松紧失效、裤腰松紧失效，应进行处理及更换，并承担所需耗材。</w:t>
      </w:r>
    </w:p>
    <w:p w14:paraId="62011F76">
      <w:pPr>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textAlignment w:val="auto"/>
        <w:rPr>
          <w:rFonts w:hint="eastAsia" w:ascii="宋体" w:hAnsi="宋体" w:eastAsia="宋体" w:cs="宋体"/>
          <w:sz w:val="24"/>
          <w:szCs w:val="24"/>
          <w:lang w:eastAsia="zh-CN"/>
        </w:rPr>
      </w:pPr>
      <w:r>
        <w:rPr>
          <w:rFonts w:hint="eastAsia" w:ascii="宋体" w:hAnsi="宋体" w:eastAsia="宋体" w:cs="宋体"/>
          <w:b/>
          <w:bCs/>
          <w:sz w:val="24"/>
          <w:szCs w:val="24"/>
          <w:lang w:eastAsia="zh-CN"/>
        </w:rPr>
        <w:t>（</w:t>
      </w:r>
      <w:r>
        <w:rPr>
          <w:rFonts w:hint="eastAsia" w:ascii="宋体" w:hAnsi="宋体" w:eastAsia="宋体" w:cs="宋体"/>
          <w:b/>
          <w:bCs/>
          <w:sz w:val="24"/>
          <w:szCs w:val="24"/>
          <w:lang w:val="en-US" w:eastAsia="zh-CN"/>
        </w:rPr>
        <w:t>二十</w:t>
      </w:r>
      <w:r>
        <w:rPr>
          <w:rFonts w:hint="eastAsia" w:ascii="宋体" w:hAnsi="宋体" w:eastAsia="宋体" w:cs="宋体"/>
          <w:b/>
          <w:bCs/>
          <w:sz w:val="24"/>
          <w:szCs w:val="24"/>
          <w:lang w:eastAsia="zh-CN"/>
        </w:rPr>
        <w:t>）</w:t>
      </w:r>
      <w:r>
        <w:rPr>
          <w:rFonts w:hint="eastAsia" w:ascii="宋体" w:hAnsi="宋体" w:eastAsia="宋体" w:cs="宋体"/>
          <w:sz w:val="24"/>
          <w:szCs w:val="24"/>
          <w:lang w:eastAsia="zh-CN"/>
        </w:rPr>
        <w:t>洗涤</w:t>
      </w:r>
      <w:r>
        <w:rPr>
          <w:rFonts w:hint="eastAsia" w:ascii="宋体" w:hAnsi="宋体" w:eastAsia="宋体" w:cs="宋体"/>
          <w:sz w:val="24"/>
          <w:szCs w:val="24"/>
        </w:rPr>
        <w:t>方必须保证</w:t>
      </w:r>
      <w:r>
        <w:rPr>
          <w:rFonts w:hint="eastAsia" w:ascii="宋体" w:hAnsi="宋体" w:eastAsia="宋体" w:cs="宋体"/>
          <w:sz w:val="24"/>
          <w:szCs w:val="24"/>
          <w:lang w:eastAsia="zh-CN"/>
        </w:rPr>
        <w:t>医院</w:t>
      </w:r>
      <w:r>
        <w:rPr>
          <w:rFonts w:hint="eastAsia" w:ascii="宋体" w:hAnsi="宋体" w:eastAsia="宋体" w:cs="宋体"/>
          <w:sz w:val="24"/>
          <w:szCs w:val="24"/>
        </w:rPr>
        <w:t>临床所需的各种医疗洗涤用品的正常供应</w:t>
      </w:r>
      <w:r>
        <w:rPr>
          <w:rFonts w:hint="eastAsia" w:ascii="宋体" w:hAnsi="宋体" w:eastAsia="宋体" w:cs="宋体"/>
          <w:sz w:val="24"/>
          <w:szCs w:val="24"/>
          <w:lang w:eastAsia="zh-CN"/>
        </w:rPr>
        <w:t>，包括所有节假日正常供应、</w:t>
      </w:r>
      <w:r>
        <w:rPr>
          <w:rFonts w:hint="eastAsia" w:ascii="宋体" w:hAnsi="宋体" w:eastAsia="宋体" w:cs="宋体"/>
          <w:sz w:val="24"/>
          <w:szCs w:val="24"/>
        </w:rPr>
        <w:t>不得以任何理由延迟、延误洗涤</w:t>
      </w:r>
      <w:r>
        <w:rPr>
          <w:rFonts w:hint="eastAsia" w:ascii="宋体" w:hAnsi="宋体" w:eastAsia="宋体" w:cs="宋体"/>
          <w:sz w:val="24"/>
          <w:szCs w:val="24"/>
          <w:lang w:eastAsia="zh-CN"/>
        </w:rPr>
        <w:t>，停电、停水等提前通知，无条件提供应急情况下洗涤需求。</w:t>
      </w:r>
    </w:p>
    <w:p w14:paraId="57814647">
      <w:pPr>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textAlignment w:val="auto"/>
        <w:rPr>
          <w:rFonts w:hint="eastAsia" w:ascii="宋体" w:hAnsi="宋体" w:eastAsia="宋体" w:cs="宋体"/>
          <w:sz w:val="24"/>
          <w:szCs w:val="24"/>
          <w:lang w:val="en-US" w:eastAsia="zh-CN"/>
        </w:rPr>
      </w:pPr>
      <w:r>
        <w:rPr>
          <w:rFonts w:hint="eastAsia" w:ascii="宋体" w:hAnsi="宋体" w:eastAsia="宋体" w:cs="宋体"/>
          <w:b/>
          <w:bCs/>
          <w:sz w:val="24"/>
          <w:szCs w:val="24"/>
          <w:lang w:eastAsia="zh-CN"/>
        </w:rPr>
        <w:t>（</w:t>
      </w:r>
      <w:r>
        <w:rPr>
          <w:rFonts w:hint="eastAsia" w:ascii="宋体" w:hAnsi="宋体" w:eastAsia="宋体" w:cs="宋体"/>
          <w:b/>
          <w:bCs/>
          <w:sz w:val="24"/>
          <w:szCs w:val="24"/>
          <w:lang w:val="en-US" w:eastAsia="zh-CN"/>
        </w:rPr>
        <w:t>二十一</w:t>
      </w:r>
      <w:r>
        <w:rPr>
          <w:rFonts w:hint="eastAsia" w:ascii="宋体" w:hAnsi="宋体" w:eastAsia="宋体" w:cs="宋体"/>
          <w:b/>
          <w:bCs/>
          <w:sz w:val="24"/>
          <w:szCs w:val="24"/>
          <w:lang w:eastAsia="zh-CN"/>
        </w:rPr>
        <w:t>）</w:t>
      </w:r>
      <w:r>
        <w:rPr>
          <w:rFonts w:hint="eastAsia" w:ascii="宋体" w:hAnsi="宋体" w:eastAsia="宋体" w:cs="宋体"/>
          <w:sz w:val="24"/>
          <w:szCs w:val="24"/>
          <w:lang w:val="en-US" w:eastAsia="zh-CN"/>
        </w:rPr>
        <w:t>进入院区的洗涤方工作人员必须遵守医院感染管理规定及科室设施、环境管理要求，</w:t>
      </w:r>
      <w:r>
        <w:rPr>
          <w:rFonts w:hint="eastAsia" w:ascii="宋体" w:hAnsi="宋体" w:eastAsia="宋体" w:cs="宋体"/>
          <w:sz w:val="24"/>
          <w:szCs w:val="24"/>
        </w:rPr>
        <w:t>损坏物品、设施，维修原价赔偿</w:t>
      </w:r>
      <w:r>
        <w:rPr>
          <w:rFonts w:hint="eastAsia" w:ascii="宋体" w:hAnsi="宋体" w:eastAsia="宋体" w:cs="宋体"/>
          <w:sz w:val="24"/>
          <w:szCs w:val="24"/>
          <w:lang w:val="en-US" w:eastAsia="zh-CN"/>
        </w:rPr>
        <w:t>。</w:t>
      </w:r>
    </w:p>
    <w:p w14:paraId="2CF792B2">
      <w:pPr>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textAlignment w:val="auto"/>
        <w:rPr>
          <w:rFonts w:hint="eastAsia" w:ascii="宋体" w:hAnsi="宋体" w:eastAsia="宋体" w:cs="宋体"/>
          <w:b/>
          <w:bCs/>
          <w:sz w:val="24"/>
          <w:szCs w:val="24"/>
          <w:lang w:eastAsia="zh-CN"/>
        </w:rPr>
      </w:pPr>
      <w:r>
        <w:rPr>
          <w:rFonts w:hint="eastAsia" w:ascii="宋体" w:hAnsi="宋体" w:eastAsia="宋体" w:cs="宋体"/>
          <w:b/>
          <w:bCs/>
          <w:sz w:val="24"/>
          <w:szCs w:val="24"/>
          <w:lang w:val="en-US" w:eastAsia="zh-CN"/>
        </w:rPr>
        <w:t>三、</w:t>
      </w:r>
      <w:r>
        <w:rPr>
          <w:rFonts w:hint="eastAsia" w:ascii="宋体" w:hAnsi="宋体" w:eastAsia="宋体" w:cs="宋体"/>
          <w:b/>
          <w:bCs/>
          <w:sz w:val="24"/>
          <w:szCs w:val="24"/>
        </w:rPr>
        <w:t>洗涤质量管理标准</w:t>
      </w:r>
    </w:p>
    <w:p w14:paraId="6B1093C2">
      <w:pPr>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textAlignment w:val="auto"/>
        <w:rPr>
          <w:rFonts w:hint="eastAsia" w:ascii="宋体" w:hAnsi="宋体" w:eastAsia="宋体" w:cs="宋体"/>
          <w:sz w:val="24"/>
          <w:szCs w:val="24"/>
        </w:rPr>
      </w:pPr>
      <w:r>
        <w:rPr>
          <w:rFonts w:hint="eastAsia" w:ascii="宋体" w:hAnsi="宋体" w:eastAsia="宋体" w:cs="宋体"/>
          <w:b/>
          <w:bCs/>
          <w:sz w:val="24"/>
          <w:szCs w:val="24"/>
          <w:lang w:eastAsia="zh-CN"/>
        </w:rPr>
        <w:t>（</w:t>
      </w:r>
      <w:r>
        <w:rPr>
          <w:rFonts w:hint="eastAsia" w:ascii="宋体" w:hAnsi="宋体" w:eastAsia="宋体" w:cs="宋体"/>
          <w:b/>
          <w:bCs/>
          <w:sz w:val="24"/>
          <w:szCs w:val="24"/>
          <w:lang w:val="en-US" w:eastAsia="zh-CN"/>
        </w:rPr>
        <w:t>一</w:t>
      </w:r>
      <w:r>
        <w:rPr>
          <w:rFonts w:hint="eastAsia" w:ascii="宋体" w:hAnsi="宋体" w:eastAsia="宋体" w:cs="宋体"/>
          <w:b/>
          <w:bCs/>
          <w:sz w:val="24"/>
          <w:szCs w:val="24"/>
          <w:lang w:eastAsia="zh-CN"/>
        </w:rPr>
        <w:t>）</w:t>
      </w:r>
      <w:r>
        <w:rPr>
          <w:rFonts w:hint="eastAsia" w:ascii="宋体" w:hAnsi="宋体" w:eastAsia="宋体" w:cs="宋体"/>
          <w:sz w:val="24"/>
          <w:szCs w:val="24"/>
          <w:lang w:eastAsia="zh-CN"/>
        </w:rPr>
        <w:t>质控</w:t>
      </w:r>
      <w:r>
        <w:rPr>
          <w:rFonts w:hint="eastAsia" w:ascii="宋体" w:hAnsi="宋体" w:eastAsia="宋体" w:cs="宋体"/>
          <w:sz w:val="24"/>
          <w:szCs w:val="24"/>
        </w:rPr>
        <w:t>扣分标准，1分100元。</w:t>
      </w:r>
    </w:p>
    <w:p w14:paraId="4EFFE1EA">
      <w:pPr>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textAlignment w:val="auto"/>
        <w:rPr>
          <w:rFonts w:hint="eastAsia" w:ascii="宋体" w:hAnsi="宋体" w:eastAsia="宋体" w:cs="宋体"/>
          <w:sz w:val="24"/>
          <w:szCs w:val="24"/>
        </w:rPr>
      </w:pPr>
      <w:r>
        <w:rPr>
          <w:rFonts w:hint="eastAsia" w:ascii="宋体" w:hAnsi="宋体" w:eastAsia="宋体" w:cs="宋体"/>
          <w:b/>
          <w:bCs/>
          <w:sz w:val="24"/>
          <w:szCs w:val="24"/>
          <w:lang w:eastAsia="zh-CN"/>
        </w:rPr>
        <w:t>（</w:t>
      </w:r>
      <w:r>
        <w:rPr>
          <w:rFonts w:hint="eastAsia" w:ascii="宋体" w:hAnsi="宋体" w:eastAsia="宋体" w:cs="宋体"/>
          <w:b/>
          <w:bCs/>
          <w:sz w:val="24"/>
          <w:szCs w:val="24"/>
          <w:lang w:val="en-US" w:eastAsia="zh-CN"/>
        </w:rPr>
        <w:t>二</w:t>
      </w:r>
      <w:r>
        <w:rPr>
          <w:rFonts w:hint="eastAsia" w:ascii="宋体" w:hAnsi="宋体" w:eastAsia="宋体" w:cs="宋体"/>
          <w:b/>
          <w:bCs/>
          <w:sz w:val="24"/>
          <w:szCs w:val="24"/>
          <w:lang w:eastAsia="zh-CN"/>
        </w:rPr>
        <w:t>）</w:t>
      </w:r>
      <w:r>
        <w:rPr>
          <w:rFonts w:hint="eastAsia" w:ascii="宋体" w:hAnsi="宋体" w:eastAsia="宋体" w:cs="宋体"/>
          <w:sz w:val="24"/>
          <w:szCs w:val="24"/>
        </w:rPr>
        <w:t>运送及收送员工遵守医院方区域及院感管理规定，违反一次扣1-5分。</w:t>
      </w:r>
    </w:p>
    <w:p w14:paraId="0203388B">
      <w:pPr>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textAlignment w:val="auto"/>
        <w:rPr>
          <w:rFonts w:hint="eastAsia" w:ascii="宋体" w:hAnsi="宋体" w:eastAsia="宋体" w:cs="宋体"/>
          <w:sz w:val="24"/>
          <w:szCs w:val="24"/>
        </w:rPr>
      </w:pPr>
      <w:r>
        <w:rPr>
          <w:rFonts w:hint="eastAsia" w:ascii="宋体" w:hAnsi="宋体" w:eastAsia="宋体" w:cs="宋体"/>
          <w:b/>
          <w:bCs/>
          <w:sz w:val="24"/>
          <w:szCs w:val="24"/>
          <w:lang w:eastAsia="zh-CN"/>
        </w:rPr>
        <w:t>（</w:t>
      </w:r>
      <w:r>
        <w:rPr>
          <w:rFonts w:hint="eastAsia" w:ascii="宋体" w:hAnsi="宋体" w:eastAsia="宋体" w:cs="宋体"/>
          <w:b/>
          <w:bCs/>
          <w:sz w:val="24"/>
          <w:szCs w:val="24"/>
          <w:lang w:val="en-US" w:eastAsia="zh-CN"/>
        </w:rPr>
        <w:t>三</w:t>
      </w:r>
      <w:r>
        <w:rPr>
          <w:rFonts w:hint="eastAsia" w:ascii="宋体" w:hAnsi="宋体" w:eastAsia="宋体" w:cs="宋体"/>
          <w:b/>
          <w:bCs/>
          <w:sz w:val="24"/>
          <w:szCs w:val="24"/>
          <w:lang w:eastAsia="zh-CN"/>
        </w:rPr>
        <w:t>）</w:t>
      </w:r>
      <w:r>
        <w:rPr>
          <w:rFonts w:hint="eastAsia" w:ascii="宋体" w:hAnsi="宋体" w:eastAsia="宋体" w:cs="宋体"/>
          <w:sz w:val="24"/>
          <w:szCs w:val="24"/>
        </w:rPr>
        <w:t>清洗物品检测菌群不得超标，</w:t>
      </w:r>
      <w:r>
        <w:rPr>
          <w:rFonts w:hint="eastAsia" w:ascii="宋体" w:hAnsi="宋体" w:eastAsia="宋体" w:cs="宋体"/>
          <w:sz w:val="24"/>
          <w:szCs w:val="24"/>
          <w:lang w:eastAsia="zh-CN"/>
        </w:rPr>
        <w:t>洗涤物品</w:t>
      </w:r>
      <w:r>
        <w:rPr>
          <w:rFonts w:hint="eastAsia" w:ascii="宋体" w:hAnsi="宋体" w:eastAsia="宋体" w:cs="宋体"/>
          <w:sz w:val="24"/>
          <w:szCs w:val="24"/>
        </w:rPr>
        <w:t>检测超标</w:t>
      </w:r>
      <w:r>
        <w:rPr>
          <w:rFonts w:hint="eastAsia" w:ascii="宋体" w:hAnsi="宋体" w:eastAsia="宋体" w:cs="宋体"/>
          <w:sz w:val="24"/>
          <w:szCs w:val="24"/>
          <w:lang w:eastAsia="zh-CN"/>
        </w:rPr>
        <w:t>俺检测项目</w:t>
      </w:r>
      <w:r>
        <w:rPr>
          <w:rFonts w:hint="eastAsia" w:ascii="宋体" w:hAnsi="宋体" w:eastAsia="宋体" w:cs="宋体"/>
          <w:sz w:val="24"/>
          <w:szCs w:val="24"/>
        </w:rPr>
        <w:t>一次扣款</w:t>
      </w:r>
      <w:r>
        <w:rPr>
          <w:rFonts w:hint="eastAsia" w:ascii="宋体" w:hAnsi="宋体" w:eastAsia="宋体" w:cs="宋体"/>
          <w:sz w:val="24"/>
          <w:szCs w:val="24"/>
          <w:lang w:val="en-US" w:eastAsia="zh-CN"/>
        </w:rPr>
        <w:t>1-10</w:t>
      </w:r>
      <w:r>
        <w:rPr>
          <w:rFonts w:hint="eastAsia" w:ascii="宋体" w:hAnsi="宋体" w:eastAsia="宋体" w:cs="宋体"/>
          <w:sz w:val="24"/>
          <w:szCs w:val="24"/>
        </w:rPr>
        <w:t>分。（我院季度采样培养监测）</w:t>
      </w:r>
    </w:p>
    <w:p w14:paraId="095B7E4B">
      <w:pPr>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textAlignment w:val="auto"/>
        <w:rPr>
          <w:rFonts w:hint="eastAsia" w:ascii="宋体" w:hAnsi="宋体" w:eastAsia="宋体" w:cs="宋体"/>
          <w:sz w:val="24"/>
          <w:szCs w:val="24"/>
        </w:rPr>
      </w:pPr>
      <w:r>
        <w:rPr>
          <w:rFonts w:hint="eastAsia" w:ascii="宋体" w:hAnsi="宋体" w:eastAsia="宋体" w:cs="宋体"/>
          <w:b/>
          <w:bCs/>
          <w:sz w:val="24"/>
          <w:szCs w:val="24"/>
          <w:lang w:eastAsia="zh-CN"/>
        </w:rPr>
        <w:t>（</w:t>
      </w:r>
      <w:r>
        <w:rPr>
          <w:rFonts w:hint="eastAsia" w:ascii="宋体" w:hAnsi="宋体" w:eastAsia="宋体" w:cs="宋体"/>
          <w:b/>
          <w:bCs/>
          <w:sz w:val="24"/>
          <w:szCs w:val="24"/>
          <w:lang w:val="en-US" w:eastAsia="zh-CN"/>
        </w:rPr>
        <w:t>四</w:t>
      </w:r>
      <w:r>
        <w:rPr>
          <w:rFonts w:hint="eastAsia" w:ascii="宋体" w:hAnsi="宋体" w:eastAsia="宋体" w:cs="宋体"/>
          <w:b/>
          <w:bCs/>
          <w:sz w:val="24"/>
          <w:szCs w:val="24"/>
          <w:lang w:eastAsia="zh-CN"/>
        </w:rPr>
        <w:t>）</w:t>
      </w:r>
      <w:r>
        <w:rPr>
          <w:rFonts w:hint="eastAsia" w:ascii="宋体" w:hAnsi="宋体" w:eastAsia="宋体" w:cs="宋体"/>
          <w:sz w:val="24"/>
          <w:szCs w:val="24"/>
        </w:rPr>
        <w:t>把好清洗质量关，供应物品清洗质量符合标准。</w:t>
      </w:r>
    </w:p>
    <w:p w14:paraId="593CC977">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少送、漏送：大批量漏送物品当日送回，未影响使用的不扣分，返洗物品三日内送回，超期一次扣1分。</w:t>
      </w:r>
    </w:p>
    <w:p w14:paraId="41221C90">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错送其他医院物品：错送1件扣</w:t>
      </w:r>
      <w:r>
        <w:rPr>
          <w:rFonts w:hint="eastAsia" w:ascii="宋体" w:hAnsi="宋体" w:eastAsia="宋体" w:cs="宋体"/>
          <w:sz w:val="24"/>
          <w:szCs w:val="24"/>
          <w:lang w:val="en-US" w:eastAsia="zh-CN"/>
        </w:rPr>
        <w:t>0.5</w:t>
      </w:r>
      <w:r>
        <w:rPr>
          <w:rFonts w:hint="eastAsia" w:ascii="宋体" w:hAnsi="宋体" w:eastAsia="宋体" w:cs="宋体"/>
          <w:sz w:val="24"/>
          <w:szCs w:val="24"/>
        </w:rPr>
        <w:t>分，并于1周内换回，超过1周，加扣</w:t>
      </w:r>
      <w:r>
        <w:rPr>
          <w:rFonts w:hint="eastAsia" w:ascii="宋体" w:hAnsi="宋体" w:eastAsia="宋体" w:cs="宋体"/>
          <w:sz w:val="24"/>
          <w:szCs w:val="24"/>
          <w:lang w:val="en-US" w:eastAsia="zh-CN"/>
        </w:rPr>
        <w:t>0.5</w:t>
      </w:r>
      <w:r>
        <w:rPr>
          <w:rFonts w:hint="eastAsia" w:ascii="宋体" w:hAnsi="宋体" w:eastAsia="宋体" w:cs="宋体"/>
          <w:sz w:val="24"/>
          <w:szCs w:val="24"/>
        </w:rPr>
        <w:t>分。</w:t>
      </w:r>
    </w:p>
    <w:p w14:paraId="7311BE89">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丢失物品：</w:t>
      </w:r>
      <w:r>
        <w:rPr>
          <w:rFonts w:hint="eastAsia" w:ascii="宋体" w:hAnsi="宋体" w:eastAsia="宋体" w:cs="宋体"/>
          <w:sz w:val="24"/>
          <w:szCs w:val="24"/>
          <w:lang w:val="en-US" w:eastAsia="zh-CN"/>
        </w:rPr>
        <w:t>2</w:t>
      </w:r>
      <w:r>
        <w:rPr>
          <w:rFonts w:hint="eastAsia" w:ascii="宋体" w:hAnsi="宋体" w:eastAsia="宋体" w:cs="宋体"/>
          <w:sz w:val="24"/>
          <w:szCs w:val="24"/>
        </w:rPr>
        <w:t>周内查找，超过</w:t>
      </w:r>
      <w:r>
        <w:rPr>
          <w:rFonts w:hint="eastAsia" w:ascii="宋体" w:hAnsi="宋体" w:eastAsia="宋体" w:cs="宋体"/>
          <w:sz w:val="24"/>
          <w:szCs w:val="24"/>
          <w:lang w:val="en-US" w:eastAsia="zh-CN"/>
        </w:rPr>
        <w:t>2</w:t>
      </w:r>
      <w:r>
        <w:rPr>
          <w:rFonts w:hint="eastAsia" w:ascii="宋体" w:hAnsi="宋体" w:eastAsia="宋体" w:cs="宋体"/>
          <w:sz w:val="24"/>
          <w:szCs w:val="24"/>
        </w:rPr>
        <w:t>周丢失物品按原价100%扣款赔偿。</w:t>
      </w:r>
    </w:p>
    <w:p w14:paraId="4D9C148A">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rPr>
        <w:t>物品损坏：回收做好检查，回收时发现损坏由医院方负责，送回医院清洁物品损坏由洗涤方负责。</w:t>
      </w:r>
    </w:p>
    <w:p w14:paraId="1918235C">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a.</w:t>
      </w:r>
      <w:r>
        <w:rPr>
          <w:rFonts w:hint="eastAsia" w:ascii="宋体" w:hAnsi="宋体" w:eastAsia="宋体" w:cs="宋体"/>
          <w:sz w:val="24"/>
          <w:szCs w:val="24"/>
        </w:rPr>
        <w:t>除包布以外物品六成新以上物品损坏按100%原价扣款。</w:t>
      </w:r>
    </w:p>
    <w:p w14:paraId="143BC976">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b.</w:t>
      </w:r>
      <w:r>
        <w:rPr>
          <w:rFonts w:hint="eastAsia" w:ascii="宋体" w:hAnsi="宋体" w:eastAsia="宋体" w:cs="宋体"/>
          <w:sz w:val="24"/>
          <w:szCs w:val="24"/>
        </w:rPr>
        <w:t>六成新以上物品损坏按100%原价扣款。</w:t>
      </w:r>
    </w:p>
    <w:p w14:paraId="2FF8DFC2">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c.</w:t>
      </w:r>
      <w:r>
        <w:rPr>
          <w:rFonts w:hint="eastAsia" w:ascii="宋体" w:hAnsi="宋体" w:eastAsia="宋体" w:cs="宋体"/>
          <w:sz w:val="24"/>
          <w:szCs w:val="24"/>
        </w:rPr>
        <w:t>五成新以下物品按50%原价扣款。</w:t>
      </w:r>
    </w:p>
    <w:p w14:paraId="5A1C0FB1">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d.</w:t>
      </w:r>
      <w:r>
        <w:rPr>
          <w:rFonts w:hint="eastAsia" w:ascii="宋体" w:hAnsi="宋体" w:eastAsia="宋体" w:cs="宋体"/>
          <w:sz w:val="24"/>
          <w:szCs w:val="24"/>
        </w:rPr>
        <w:t>包布损坏即报废按100%原价扣款。</w:t>
      </w:r>
    </w:p>
    <w:p w14:paraId="4F4D7AAE">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e.</w:t>
      </w:r>
      <w:r>
        <w:rPr>
          <w:rFonts w:hint="eastAsia" w:ascii="宋体" w:hAnsi="宋体" w:eastAsia="宋体" w:cs="宋体"/>
          <w:sz w:val="24"/>
          <w:szCs w:val="24"/>
        </w:rPr>
        <w:t>接近报损物品损坏不扣分。</w:t>
      </w:r>
    </w:p>
    <w:p w14:paraId="6A634D84">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f.</w:t>
      </w:r>
      <w:r>
        <w:rPr>
          <w:rFonts w:hint="eastAsia" w:ascii="宋体" w:hAnsi="宋体" w:eastAsia="宋体" w:cs="宋体"/>
          <w:sz w:val="24"/>
          <w:szCs w:val="24"/>
        </w:rPr>
        <w:t>折旧：使用1年内布制品按六成新以上范围，超过1年按五成新范围。</w:t>
      </w:r>
    </w:p>
    <w:p w14:paraId="50AA7E9F">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5.</w:t>
      </w:r>
      <w:r>
        <w:rPr>
          <w:rFonts w:hint="eastAsia" w:ascii="宋体" w:hAnsi="宋体" w:eastAsia="宋体" w:cs="宋体"/>
          <w:sz w:val="24"/>
          <w:szCs w:val="24"/>
        </w:rPr>
        <w:t>物品未按要求修整、缝补、折叠：</w:t>
      </w:r>
    </w:p>
    <w:p w14:paraId="148802CC">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a.</w:t>
      </w:r>
      <w:r>
        <w:rPr>
          <w:rFonts w:hint="eastAsia" w:ascii="宋体" w:hAnsi="宋体" w:eastAsia="宋体" w:cs="宋体"/>
          <w:sz w:val="24"/>
          <w:szCs w:val="24"/>
        </w:rPr>
        <w:t>毛边、脱线、烂边未处理，1件扣0. 2分。</w:t>
      </w:r>
    </w:p>
    <w:p w14:paraId="47D0D7D6">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b.</w:t>
      </w:r>
      <w:r>
        <w:rPr>
          <w:rFonts w:hint="eastAsia" w:ascii="宋体" w:hAnsi="宋体" w:eastAsia="宋体" w:cs="宋体"/>
          <w:sz w:val="24"/>
          <w:szCs w:val="24"/>
        </w:rPr>
        <w:t>衣服缺少纽扣、系带，1</w:t>
      </w:r>
      <w:r>
        <w:rPr>
          <w:rFonts w:hint="eastAsia" w:ascii="宋体" w:hAnsi="宋体" w:eastAsia="宋体" w:cs="宋体"/>
          <w:sz w:val="24"/>
          <w:szCs w:val="24"/>
          <w:lang w:eastAsia="zh-CN"/>
        </w:rPr>
        <w:t>件</w:t>
      </w:r>
      <w:r>
        <w:rPr>
          <w:rFonts w:hint="eastAsia" w:ascii="宋体" w:hAnsi="宋体" w:eastAsia="宋体" w:cs="宋体"/>
          <w:sz w:val="24"/>
          <w:szCs w:val="24"/>
        </w:rPr>
        <w:t>扣0. 1分。</w:t>
      </w:r>
    </w:p>
    <w:p w14:paraId="0186039A">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c.</w:t>
      </w:r>
      <w:r>
        <w:rPr>
          <w:rFonts w:hint="eastAsia" w:ascii="宋体" w:hAnsi="宋体" w:eastAsia="宋体" w:cs="宋体"/>
          <w:sz w:val="24"/>
          <w:szCs w:val="24"/>
        </w:rPr>
        <w:t>折叠凌乱、未按要求折叠，1件扣0. 1分。</w:t>
      </w:r>
    </w:p>
    <w:p w14:paraId="55C1D23A">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6.</w:t>
      </w:r>
      <w:r>
        <w:rPr>
          <w:rFonts w:hint="eastAsia" w:ascii="宋体" w:hAnsi="宋体" w:eastAsia="宋体" w:cs="宋体"/>
          <w:sz w:val="24"/>
          <w:szCs w:val="24"/>
        </w:rPr>
        <w:t>清洗未达到质量标准的：</w:t>
      </w:r>
    </w:p>
    <w:p w14:paraId="0ABB4C12">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a.</w:t>
      </w:r>
      <w:r>
        <w:rPr>
          <w:rFonts w:hint="eastAsia" w:ascii="宋体" w:hAnsi="宋体" w:eastAsia="宋体" w:cs="宋体"/>
          <w:sz w:val="24"/>
          <w:szCs w:val="24"/>
        </w:rPr>
        <w:t>明显大片血迹、污渍未清洗干净，1件扣1分。</w:t>
      </w:r>
    </w:p>
    <w:p w14:paraId="594886FF">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b.</w:t>
      </w:r>
      <w:r>
        <w:rPr>
          <w:rFonts w:hint="eastAsia" w:ascii="宋体" w:hAnsi="宋体" w:eastAsia="宋体" w:cs="宋体"/>
          <w:sz w:val="24"/>
          <w:szCs w:val="24"/>
        </w:rPr>
        <w:t>较为隐形血迹、污迹，1件扣0. 2分。</w:t>
      </w:r>
    </w:p>
    <w:p w14:paraId="14568B99">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c.</w:t>
      </w:r>
      <w:r>
        <w:rPr>
          <w:rFonts w:hint="eastAsia" w:ascii="宋体" w:hAnsi="宋体" w:eastAsia="宋体" w:cs="宋体"/>
          <w:sz w:val="24"/>
          <w:szCs w:val="24"/>
        </w:rPr>
        <w:t>清洗剂残留，未清洗干净，1件扣0. 1分。</w:t>
      </w:r>
    </w:p>
    <w:p w14:paraId="6FFDD2C2">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d.血渍、油渍、药渍、墨渍</w:t>
      </w:r>
      <w:r>
        <w:rPr>
          <w:rFonts w:hint="eastAsia" w:ascii="宋体" w:hAnsi="宋体" w:eastAsia="宋体" w:cs="宋体"/>
          <w:sz w:val="24"/>
          <w:szCs w:val="24"/>
        </w:rPr>
        <w:t xml:space="preserve">未清洗干净，1件扣0. </w:t>
      </w:r>
      <w:r>
        <w:rPr>
          <w:rFonts w:hint="eastAsia" w:ascii="宋体" w:hAnsi="宋体" w:eastAsia="宋体" w:cs="宋体"/>
          <w:sz w:val="24"/>
          <w:szCs w:val="24"/>
          <w:lang w:val="en-US" w:eastAsia="zh-CN"/>
        </w:rPr>
        <w:t>2</w:t>
      </w:r>
      <w:r>
        <w:rPr>
          <w:rFonts w:hint="eastAsia" w:ascii="宋体" w:hAnsi="宋体" w:eastAsia="宋体" w:cs="宋体"/>
          <w:sz w:val="24"/>
          <w:szCs w:val="24"/>
        </w:rPr>
        <w:t>分。</w:t>
      </w:r>
    </w:p>
    <w:p w14:paraId="023781A9">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e.</w:t>
      </w:r>
      <w:r>
        <w:rPr>
          <w:rFonts w:hint="eastAsia" w:ascii="宋体" w:hAnsi="宋体" w:eastAsia="宋体" w:cs="宋体"/>
          <w:sz w:val="24"/>
          <w:szCs w:val="24"/>
        </w:rPr>
        <w:t>敷料内混杂毛絮、毛发、碎纸屑</w:t>
      </w:r>
      <w:r>
        <w:rPr>
          <w:rFonts w:hint="eastAsia" w:ascii="宋体" w:hAnsi="宋体" w:eastAsia="宋体" w:cs="宋体"/>
          <w:sz w:val="24"/>
          <w:szCs w:val="24"/>
          <w:lang w:eastAsia="zh-CN"/>
        </w:rPr>
        <w:t>等</w:t>
      </w:r>
      <w:r>
        <w:rPr>
          <w:rFonts w:hint="eastAsia" w:ascii="宋体" w:hAnsi="宋体" w:eastAsia="宋体" w:cs="宋体"/>
          <w:sz w:val="24"/>
          <w:szCs w:val="24"/>
        </w:rPr>
        <w:t>，1件扣0. 2分。</w:t>
      </w:r>
    </w:p>
    <w:p w14:paraId="347856B2">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f.</w:t>
      </w:r>
      <w:r>
        <w:rPr>
          <w:rFonts w:hint="eastAsia" w:ascii="宋体" w:hAnsi="宋体" w:eastAsia="宋体" w:cs="宋体"/>
          <w:sz w:val="24"/>
          <w:szCs w:val="24"/>
        </w:rPr>
        <w:t>敷料内混杂昆虫、泥土、树叶等外部环境杂物，1件扣5分。</w:t>
      </w:r>
    </w:p>
    <w:p w14:paraId="7F49F639">
      <w:pPr>
        <w:pStyle w:val="28"/>
        <w:spacing w:after="0" w:line="360" w:lineRule="auto"/>
        <w:ind w:left="0" w:leftChars="0" w:firstLine="0" w:firstLineChars="0"/>
        <w:rPr>
          <w:rFonts w:hint="eastAsia" w:ascii="宋体" w:hAnsi="宋体" w:eastAsia="宋体" w:cs="宋体"/>
          <w:sz w:val="24"/>
          <w:szCs w:val="24"/>
        </w:rPr>
      </w:pPr>
    </w:p>
    <w:p w14:paraId="3D72CB6A">
      <w:pPr>
        <w:pStyle w:val="28"/>
        <w:spacing w:after="0" w:line="360" w:lineRule="auto"/>
        <w:ind w:left="0" w:leftChars="0" w:firstLine="0" w:firstLineChars="0"/>
        <w:rPr>
          <w:rFonts w:hint="eastAsia" w:ascii="宋体" w:hAnsi="宋体" w:eastAsia="宋体" w:cs="宋体"/>
          <w:sz w:val="24"/>
          <w:szCs w:val="24"/>
        </w:rPr>
      </w:pPr>
    </w:p>
    <w:p w14:paraId="6D6CE524">
      <w:pPr>
        <w:pStyle w:val="28"/>
        <w:spacing w:after="0" w:line="360" w:lineRule="auto"/>
        <w:ind w:left="0" w:leftChars="0" w:firstLine="0" w:firstLineChars="0"/>
        <w:rPr>
          <w:rFonts w:hint="eastAsia" w:ascii="宋体" w:hAnsi="宋体" w:eastAsia="宋体" w:cs="宋体"/>
          <w:sz w:val="24"/>
          <w:szCs w:val="24"/>
        </w:rPr>
      </w:pPr>
    </w:p>
    <w:p w14:paraId="0EE47953">
      <w:pPr>
        <w:pStyle w:val="28"/>
        <w:spacing w:after="0" w:line="360" w:lineRule="auto"/>
        <w:ind w:left="0" w:leftChars="0" w:firstLine="0" w:firstLineChars="0"/>
        <w:rPr>
          <w:rFonts w:hint="eastAsia" w:ascii="宋体" w:hAnsi="宋体" w:eastAsia="宋体" w:cs="宋体"/>
          <w:sz w:val="24"/>
          <w:szCs w:val="24"/>
        </w:rPr>
      </w:pPr>
    </w:p>
    <w:p w14:paraId="798C594C">
      <w:pPr>
        <w:pStyle w:val="28"/>
        <w:spacing w:after="0" w:line="360" w:lineRule="auto"/>
        <w:ind w:left="0" w:leftChars="0" w:firstLine="0" w:firstLineChars="0"/>
        <w:rPr>
          <w:rFonts w:hint="eastAsia" w:ascii="宋体" w:hAnsi="宋体" w:eastAsia="宋体" w:cs="宋体"/>
          <w:sz w:val="24"/>
          <w:szCs w:val="24"/>
        </w:rPr>
      </w:pPr>
    </w:p>
    <w:p w14:paraId="376446BC">
      <w:pPr>
        <w:pStyle w:val="28"/>
        <w:spacing w:after="0" w:line="360" w:lineRule="auto"/>
        <w:ind w:left="0" w:leftChars="0" w:firstLine="0" w:firstLineChars="0"/>
        <w:rPr>
          <w:rFonts w:hint="eastAsia" w:ascii="宋体" w:hAnsi="宋体" w:eastAsia="宋体" w:cs="宋体"/>
          <w:sz w:val="24"/>
          <w:szCs w:val="24"/>
        </w:rPr>
      </w:pPr>
    </w:p>
    <w:p w14:paraId="19B69816">
      <w:pPr>
        <w:pStyle w:val="28"/>
        <w:spacing w:after="0" w:line="360" w:lineRule="auto"/>
        <w:ind w:left="0" w:leftChars="0" w:firstLine="0" w:firstLineChars="0"/>
        <w:rPr>
          <w:rFonts w:hint="eastAsia" w:ascii="宋体" w:hAnsi="宋体" w:eastAsia="宋体" w:cs="宋体"/>
          <w:sz w:val="24"/>
          <w:szCs w:val="24"/>
        </w:rPr>
      </w:pPr>
    </w:p>
    <w:p w14:paraId="0AF06387">
      <w:pPr>
        <w:pStyle w:val="28"/>
        <w:spacing w:after="0" w:line="360" w:lineRule="auto"/>
        <w:ind w:left="0" w:leftChars="0" w:firstLine="0" w:firstLineChars="0"/>
        <w:rPr>
          <w:rFonts w:hint="eastAsia" w:ascii="宋体" w:hAnsi="宋体" w:eastAsia="宋体" w:cs="宋体"/>
          <w:sz w:val="24"/>
          <w:szCs w:val="24"/>
        </w:rPr>
      </w:pPr>
    </w:p>
    <w:p w14:paraId="3F52BDF6">
      <w:pPr>
        <w:pStyle w:val="28"/>
        <w:spacing w:after="0" w:line="360" w:lineRule="auto"/>
        <w:ind w:left="0" w:leftChars="0" w:firstLine="0" w:firstLineChars="0"/>
        <w:rPr>
          <w:rFonts w:hint="eastAsia" w:ascii="宋体" w:hAnsi="宋体" w:eastAsia="宋体" w:cs="宋体"/>
          <w:sz w:val="24"/>
          <w:szCs w:val="24"/>
        </w:rPr>
      </w:pPr>
    </w:p>
    <w:p w14:paraId="7C7BB08E">
      <w:pPr>
        <w:pStyle w:val="28"/>
        <w:spacing w:after="0" w:line="360" w:lineRule="auto"/>
        <w:ind w:left="0" w:leftChars="0" w:firstLine="0" w:firstLineChars="0"/>
        <w:rPr>
          <w:rFonts w:hint="eastAsia" w:ascii="宋体" w:hAnsi="宋体" w:eastAsia="宋体" w:cs="宋体"/>
          <w:sz w:val="24"/>
          <w:szCs w:val="24"/>
        </w:rPr>
      </w:pPr>
    </w:p>
    <w:p w14:paraId="670C4C42">
      <w:pPr>
        <w:pStyle w:val="28"/>
        <w:spacing w:after="0" w:line="360" w:lineRule="auto"/>
        <w:ind w:left="0" w:leftChars="0" w:firstLine="0" w:firstLineChars="0"/>
        <w:rPr>
          <w:rFonts w:hint="eastAsia" w:ascii="宋体" w:hAnsi="宋体" w:eastAsia="宋体" w:cs="宋体"/>
          <w:sz w:val="24"/>
          <w:szCs w:val="24"/>
        </w:rPr>
      </w:pPr>
    </w:p>
    <w:p w14:paraId="643B92DA">
      <w:pPr>
        <w:pStyle w:val="28"/>
        <w:spacing w:after="0" w:line="240" w:lineRule="auto"/>
        <w:ind w:left="0" w:leftChars="0" w:firstLine="0" w:firstLineChars="0"/>
        <w:jc w:val="center"/>
        <w:rPr>
          <w:rFonts w:hint="eastAsia" w:ascii="宋体" w:hAnsi="宋体" w:eastAsia="宋体" w:cs="宋体"/>
          <w:b/>
          <w:bCs/>
          <w:sz w:val="24"/>
          <w:szCs w:val="24"/>
        </w:rPr>
      </w:pPr>
      <w:r>
        <w:rPr>
          <w:rFonts w:hint="eastAsia" w:ascii="宋体" w:hAnsi="宋体" w:eastAsia="宋体" w:cs="宋体"/>
          <w:b/>
          <w:bCs/>
          <w:sz w:val="24"/>
          <w:szCs w:val="24"/>
        </w:rPr>
        <w:t>洗涤物品招标价格</w:t>
      </w:r>
    </w:p>
    <w:tbl>
      <w:tblPr>
        <w:tblStyle w:val="29"/>
        <w:tblpPr w:leftFromText="180" w:rightFromText="180" w:vertAnchor="text" w:horzAnchor="page" w:tblpX="1177" w:tblpY="413"/>
        <w:tblOverlap w:val="never"/>
        <w:tblW w:w="94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418"/>
        <w:gridCol w:w="1559"/>
        <w:gridCol w:w="962"/>
        <w:gridCol w:w="780"/>
        <w:gridCol w:w="1702"/>
        <w:gridCol w:w="1234"/>
        <w:gridCol w:w="1134"/>
      </w:tblGrid>
      <w:tr w14:paraId="0742D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4" w:hRule="atLeast"/>
        </w:trPr>
        <w:tc>
          <w:tcPr>
            <w:tcW w:w="709" w:type="dxa"/>
            <w:tcBorders>
              <w:top w:val="single" w:color="auto" w:sz="4" w:space="0"/>
              <w:left w:val="single" w:color="auto" w:sz="4" w:space="0"/>
              <w:bottom w:val="single" w:color="auto" w:sz="4" w:space="0"/>
              <w:right w:val="single" w:color="auto" w:sz="4" w:space="0"/>
            </w:tcBorders>
            <w:noWrap/>
            <w:vAlign w:val="center"/>
          </w:tcPr>
          <w:p w14:paraId="21163F01">
            <w:pPr>
              <w:spacing w:line="240" w:lineRule="auto"/>
              <w:jc w:val="center"/>
              <w:rPr>
                <w:rFonts w:hint="eastAsia" w:ascii="宋体" w:hAnsi="宋体" w:eastAsia="宋体" w:cs="宋体"/>
                <w:b/>
                <w:sz w:val="22"/>
                <w:szCs w:val="22"/>
              </w:rPr>
            </w:pPr>
            <w:r>
              <w:rPr>
                <w:rFonts w:hint="eastAsia" w:ascii="宋体" w:hAnsi="宋体" w:eastAsia="宋体" w:cs="宋体"/>
                <w:b/>
                <w:sz w:val="22"/>
                <w:szCs w:val="22"/>
              </w:rPr>
              <w:t>序号</w:t>
            </w:r>
          </w:p>
        </w:tc>
        <w:tc>
          <w:tcPr>
            <w:tcW w:w="1418" w:type="dxa"/>
            <w:tcBorders>
              <w:top w:val="single" w:color="auto" w:sz="4" w:space="0"/>
              <w:left w:val="single" w:color="auto" w:sz="4" w:space="0"/>
              <w:bottom w:val="single" w:color="auto" w:sz="4" w:space="0"/>
              <w:right w:val="single" w:color="auto" w:sz="4" w:space="0"/>
            </w:tcBorders>
            <w:noWrap/>
            <w:vAlign w:val="center"/>
          </w:tcPr>
          <w:p w14:paraId="6CE46743">
            <w:pPr>
              <w:spacing w:line="240" w:lineRule="auto"/>
              <w:jc w:val="center"/>
              <w:rPr>
                <w:rFonts w:hint="eastAsia" w:ascii="宋体" w:hAnsi="宋体" w:eastAsia="宋体" w:cs="宋体"/>
                <w:b/>
                <w:sz w:val="22"/>
                <w:szCs w:val="22"/>
              </w:rPr>
            </w:pPr>
            <w:r>
              <w:rPr>
                <w:rFonts w:hint="eastAsia" w:ascii="宋体" w:hAnsi="宋体" w:eastAsia="宋体" w:cs="宋体"/>
                <w:b/>
                <w:sz w:val="22"/>
                <w:szCs w:val="22"/>
              </w:rPr>
              <w:t>名称</w:t>
            </w:r>
          </w:p>
        </w:tc>
        <w:tc>
          <w:tcPr>
            <w:tcW w:w="1559" w:type="dxa"/>
            <w:tcBorders>
              <w:top w:val="single" w:color="auto" w:sz="4" w:space="0"/>
              <w:left w:val="single" w:color="auto" w:sz="4" w:space="0"/>
              <w:bottom w:val="single" w:color="auto" w:sz="4" w:space="0"/>
              <w:right w:val="single" w:color="auto" w:sz="4" w:space="0"/>
            </w:tcBorders>
            <w:noWrap/>
            <w:vAlign w:val="center"/>
          </w:tcPr>
          <w:p w14:paraId="30E4DDD1">
            <w:pPr>
              <w:spacing w:line="240" w:lineRule="auto"/>
              <w:jc w:val="center"/>
              <w:rPr>
                <w:rFonts w:hint="eastAsia" w:ascii="宋体" w:hAnsi="宋体" w:eastAsia="宋体" w:cs="宋体"/>
                <w:b/>
                <w:sz w:val="22"/>
                <w:szCs w:val="22"/>
              </w:rPr>
            </w:pPr>
            <w:r>
              <w:rPr>
                <w:rFonts w:hint="eastAsia" w:ascii="宋体" w:hAnsi="宋体" w:eastAsia="宋体" w:cs="宋体"/>
                <w:b/>
                <w:sz w:val="22"/>
                <w:szCs w:val="22"/>
              </w:rPr>
              <w:t>收物品数量（件、条、个）</w:t>
            </w:r>
          </w:p>
        </w:tc>
        <w:tc>
          <w:tcPr>
            <w:tcW w:w="962" w:type="dxa"/>
            <w:tcBorders>
              <w:top w:val="single" w:color="auto" w:sz="4" w:space="0"/>
              <w:left w:val="single" w:color="auto" w:sz="4" w:space="0"/>
              <w:bottom w:val="single" w:color="auto" w:sz="4" w:space="0"/>
              <w:right w:val="single" w:color="auto" w:sz="4" w:space="0"/>
            </w:tcBorders>
            <w:noWrap/>
            <w:vAlign w:val="center"/>
          </w:tcPr>
          <w:p w14:paraId="3842BEF3">
            <w:pPr>
              <w:spacing w:line="240" w:lineRule="auto"/>
              <w:jc w:val="center"/>
              <w:rPr>
                <w:rFonts w:hint="eastAsia" w:ascii="宋体" w:hAnsi="宋体" w:eastAsia="宋体" w:cs="宋体"/>
                <w:b/>
                <w:sz w:val="22"/>
                <w:szCs w:val="22"/>
              </w:rPr>
            </w:pPr>
            <w:r>
              <w:rPr>
                <w:rFonts w:hint="eastAsia" w:ascii="宋体" w:hAnsi="宋体" w:eastAsia="宋体" w:cs="宋体"/>
                <w:b/>
                <w:sz w:val="22"/>
                <w:szCs w:val="22"/>
              </w:rPr>
              <w:t>单价</w:t>
            </w:r>
          </w:p>
        </w:tc>
        <w:tc>
          <w:tcPr>
            <w:tcW w:w="780" w:type="dxa"/>
            <w:tcBorders>
              <w:top w:val="single" w:color="auto" w:sz="4" w:space="0"/>
              <w:left w:val="single" w:color="auto" w:sz="4" w:space="0"/>
              <w:bottom w:val="single" w:color="auto" w:sz="4" w:space="0"/>
              <w:right w:val="single" w:color="auto" w:sz="4" w:space="0"/>
            </w:tcBorders>
            <w:noWrap/>
            <w:vAlign w:val="center"/>
          </w:tcPr>
          <w:p w14:paraId="3F5FD3B8">
            <w:pPr>
              <w:spacing w:line="240" w:lineRule="auto"/>
              <w:jc w:val="center"/>
              <w:rPr>
                <w:rFonts w:hint="eastAsia" w:ascii="宋体" w:hAnsi="宋体" w:eastAsia="宋体" w:cs="宋体"/>
                <w:b/>
                <w:sz w:val="22"/>
                <w:szCs w:val="22"/>
              </w:rPr>
            </w:pPr>
            <w:r>
              <w:rPr>
                <w:rFonts w:hint="eastAsia" w:ascii="宋体" w:hAnsi="宋体" w:eastAsia="宋体" w:cs="宋体"/>
                <w:b/>
                <w:sz w:val="22"/>
                <w:szCs w:val="22"/>
              </w:rPr>
              <w:t>序号</w:t>
            </w:r>
          </w:p>
        </w:tc>
        <w:tc>
          <w:tcPr>
            <w:tcW w:w="1702" w:type="dxa"/>
            <w:tcBorders>
              <w:top w:val="single" w:color="auto" w:sz="4" w:space="0"/>
              <w:left w:val="single" w:color="auto" w:sz="4" w:space="0"/>
              <w:bottom w:val="single" w:color="auto" w:sz="4" w:space="0"/>
              <w:right w:val="single" w:color="auto" w:sz="4" w:space="0"/>
            </w:tcBorders>
            <w:noWrap/>
            <w:vAlign w:val="center"/>
          </w:tcPr>
          <w:p w14:paraId="0BF88E2A">
            <w:pPr>
              <w:spacing w:line="240" w:lineRule="auto"/>
              <w:jc w:val="center"/>
              <w:rPr>
                <w:rFonts w:hint="eastAsia" w:ascii="宋体" w:hAnsi="宋体" w:eastAsia="宋体" w:cs="宋体"/>
                <w:b/>
                <w:sz w:val="22"/>
                <w:szCs w:val="22"/>
              </w:rPr>
            </w:pPr>
            <w:r>
              <w:rPr>
                <w:rFonts w:hint="eastAsia" w:ascii="宋体" w:hAnsi="宋体" w:eastAsia="宋体" w:cs="宋体"/>
                <w:b/>
                <w:sz w:val="22"/>
                <w:szCs w:val="22"/>
              </w:rPr>
              <w:t>名称</w:t>
            </w:r>
          </w:p>
        </w:tc>
        <w:tc>
          <w:tcPr>
            <w:tcW w:w="1234" w:type="dxa"/>
            <w:tcBorders>
              <w:top w:val="single" w:color="auto" w:sz="4" w:space="0"/>
              <w:left w:val="single" w:color="auto" w:sz="4" w:space="0"/>
              <w:bottom w:val="single" w:color="auto" w:sz="4" w:space="0"/>
              <w:right w:val="single" w:color="auto" w:sz="4" w:space="0"/>
            </w:tcBorders>
            <w:noWrap/>
            <w:vAlign w:val="center"/>
          </w:tcPr>
          <w:p w14:paraId="414518E2">
            <w:pPr>
              <w:spacing w:line="240" w:lineRule="auto"/>
              <w:jc w:val="center"/>
              <w:rPr>
                <w:rFonts w:hint="eastAsia" w:ascii="宋体" w:hAnsi="宋体" w:eastAsia="宋体" w:cs="宋体"/>
                <w:b/>
                <w:sz w:val="22"/>
                <w:szCs w:val="22"/>
              </w:rPr>
            </w:pPr>
            <w:r>
              <w:rPr>
                <w:rFonts w:hint="eastAsia" w:ascii="宋体" w:hAnsi="宋体" w:eastAsia="宋体" w:cs="宋体"/>
                <w:b/>
                <w:sz w:val="22"/>
                <w:szCs w:val="22"/>
              </w:rPr>
              <w:t>收物品数量（件、条、个）</w:t>
            </w:r>
          </w:p>
        </w:tc>
        <w:tc>
          <w:tcPr>
            <w:tcW w:w="1134" w:type="dxa"/>
            <w:tcBorders>
              <w:top w:val="single" w:color="auto" w:sz="4" w:space="0"/>
              <w:left w:val="single" w:color="auto" w:sz="4" w:space="0"/>
              <w:bottom w:val="single" w:color="auto" w:sz="4" w:space="0"/>
              <w:right w:val="single" w:color="auto" w:sz="4" w:space="0"/>
            </w:tcBorders>
            <w:noWrap/>
            <w:vAlign w:val="center"/>
          </w:tcPr>
          <w:p w14:paraId="23377D81">
            <w:pPr>
              <w:spacing w:line="240" w:lineRule="auto"/>
              <w:jc w:val="center"/>
              <w:rPr>
                <w:rFonts w:hint="eastAsia" w:ascii="宋体" w:hAnsi="宋体" w:eastAsia="宋体" w:cs="宋体"/>
                <w:b/>
                <w:sz w:val="22"/>
                <w:szCs w:val="22"/>
              </w:rPr>
            </w:pPr>
            <w:r>
              <w:rPr>
                <w:rFonts w:hint="eastAsia" w:ascii="宋体" w:hAnsi="宋体" w:eastAsia="宋体" w:cs="宋体"/>
                <w:b/>
                <w:sz w:val="22"/>
                <w:szCs w:val="22"/>
              </w:rPr>
              <w:t>单价</w:t>
            </w:r>
          </w:p>
        </w:tc>
      </w:tr>
      <w:tr w14:paraId="4915F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0" w:hRule="atLeast"/>
        </w:trPr>
        <w:tc>
          <w:tcPr>
            <w:tcW w:w="709" w:type="dxa"/>
            <w:tcBorders>
              <w:top w:val="single" w:color="auto" w:sz="4" w:space="0"/>
              <w:left w:val="single" w:color="auto" w:sz="4" w:space="0"/>
              <w:bottom w:val="single" w:color="auto" w:sz="4" w:space="0"/>
              <w:right w:val="single" w:color="auto" w:sz="4" w:space="0"/>
            </w:tcBorders>
            <w:noWrap/>
            <w:vAlign w:val="center"/>
          </w:tcPr>
          <w:p w14:paraId="67E9624E">
            <w:pPr>
              <w:spacing w:line="240" w:lineRule="auto"/>
              <w:jc w:val="center"/>
              <w:rPr>
                <w:rFonts w:hint="eastAsia" w:ascii="宋体" w:hAnsi="宋体" w:eastAsia="宋体" w:cs="宋体"/>
                <w:b/>
                <w:color w:val="000000"/>
                <w:kern w:val="0"/>
                <w:sz w:val="22"/>
                <w:szCs w:val="22"/>
              </w:rPr>
            </w:pPr>
            <w:r>
              <w:rPr>
                <w:rFonts w:hint="eastAsia" w:ascii="宋体" w:hAnsi="宋体" w:eastAsia="宋体" w:cs="宋体"/>
                <w:b/>
                <w:color w:val="000000"/>
                <w:kern w:val="0"/>
                <w:sz w:val="22"/>
                <w:szCs w:val="22"/>
              </w:rPr>
              <w:t>1</w:t>
            </w:r>
          </w:p>
        </w:tc>
        <w:tc>
          <w:tcPr>
            <w:tcW w:w="1418" w:type="dxa"/>
            <w:tcBorders>
              <w:top w:val="single" w:color="auto" w:sz="4" w:space="0"/>
              <w:left w:val="single" w:color="auto" w:sz="4" w:space="0"/>
              <w:bottom w:val="single" w:color="auto" w:sz="4" w:space="0"/>
              <w:right w:val="single" w:color="auto" w:sz="4" w:space="0"/>
            </w:tcBorders>
            <w:noWrap/>
            <w:vAlign w:val="center"/>
          </w:tcPr>
          <w:p w14:paraId="3E731C1D">
            <w:pPr>
              <w:autoSpaceDE w:val="0"/>
              <w:autoSpaceDN w:val="0"/>
              <w:adjustRightInd w:val="0"/>
              <w:spacing w:line="240" w:lineRule="auto"/>
              <w:ind w:firstLine="433" w:firstLineChars="196"/>
              <w:rPr>
                <w:rFonts w:hint="eastAsia" w:ascii="宋体" w:hAnsi="宋体" w:eastAsia="宋体" w:cs="宋体"/>
                <w:b/>
                <w:color w:val="000000"/>
                <w:kern w:val="0"/>
                <w:sz w:val="22"/>
                <w:szCs w:val="22"/>
              </w:rPr>
            </w:pPr>
            <w:r>
              <w:rPr>
                <w:rFonts w:hint="eastAsia" w:ascii="宋体" w:hAnsi="宋体" w:eastAsia="宋体" w:cs="宋体"/>
                <w:b/>
                <w:color w:val="000000"/>
                <w:kern w:val="0"/>
                <w:sz w:val="22"/>
                <w:szCs w:val="22"/>
              </w:rPr>
              <w:t>被套</w:t>
            </w:r>
          </w:p>
        </w:tc>
        <w:tc>
          <w:tcPr>
            <w:tcW w:w="1559" w:type="dxa"/>
            <w:tcBorders>
              <w:top w:val="single" w:color="auto" w:sz="4" w:space="0"/>
              <w:left w:val="single" w:color="auto" w:sz="4" w:space="0"/>
              <w:bottom w:val="single" w:color="auto" w:sz="4" w:space="0"/>
              <w:right w:val="single" w:color="auto" w:sz="4" w:space="0"/>
            </w:tcBorders>
            <w:noWrap/>
            <w:vAlign w:val="center"/>
          </w:tcPr>
          <w:p w14:paraId="679606B6">
            <w:pPr>
              <w:pStyle w:val="77"/>
              <w:spacing w:line="240" w:lineRule="auto"/>
              <w:ind w:left="-342" w:right="-354"/>
              <w:jc w:val="center"/>
              <w:rPr>
                <w:rFonts w:hint="eastAsia" w:ascii="宋体" w:hAnsi="宋体" w:eastAsia="宋体" w:cs="宋体"/>
                <w:b/>
                <w:sz w:val="22"/>
                <w:szCs w:val="22"/>
              </w:rPr>
            </w:pPr>
            <w:r>
              <w:rPr>
                <w:rFonts w:hint="eastAsia" w:ascii="宋体" w:hAnsi="宋体" w:eastAsia="宋体" w:cs="宋体"/>
                <w:b/>
                <w:sz w:val="22"/>
                <w:szCs w:val="22"/>
              </w:rPr>
              <w:t>1</w:t>
            </w:r>
          </w:p>
        </w:tc>
        <w:tc>
          <w:tcPr>
            <w:tcW w:w="962" w:type="dxa"/>
            <w:tcBorders>
              <w:top w:val="single" w:color="auto" w:sz="4" w:space="0"/>
              <w:left w:val="single" w:color="auto" w:sz="4" w:space="0"/>
              <w:bottom w:val="single" w:color="auto" w:sz="4" w:space="0"/>
              <w:right w:val="single" w:color="auto" w:sz="4" w:space="0"/>
            </w:tcBorders>
            <w:noWrap/>
            <w:vAlign w:val="center"/>
          </w:tcPr>
          <w:p w14:paraId="2B0A0C1B">
            <w:pPr>
              <w:pStyle w:val="77"/>
              <w:spacing w:line="240" w:lineRule="auto"/>
              <w:ind w:left="-342" w:right="-354"/>
              <w:jc w:val="center"/>
              <w:rPr>
                <w:rFonts w:hint="eastAsia" w:ascii="宋体" w:hAnsi="宋体" w:eastAsia="宋体" w:cs="宋体"/>
                <w:b/>
                <w:sz w:val="22"/>
                <w:szCs w:val="22"/>
                <w:lang w:val="en-US" w:eastAsia="zh-CN"/>
              </w:rPr>
            </w:pPr>
            <w:r>
              <w:rPr>
                <w:rFonts w:hint="eastAsia" w:ascii="宋体" w:hAnsi="宋体" w:eastAsia="宋体" w:cs="宋体"/>
                <w:b/>
                <w:sz w:val="22"/>
                <w:szCs w:val="22"/>
                <w:lang w:val="en-US" w:eastAsia="zh-CN"/>
              </w:rPr>
              <w:t>3.80</w:t>
            </w:r>
          </w:p>
        </w:tc>
        <w:tc>
          <w:tcPr>
            <w:tcW w:w="780" w:type="dxa"/>
            <w:tcBorders>
              <w:top w:val="single" w:color="auto" w:sz="4" w:space="0"/>
              <w:left w:val="single" w:color="auto" w:sz="4" w:space="0"/>
              <w:bottom w:val="single" w:color="auto" w:sz="4" w:space="0"/>
              <w:right w:val="single" w:color="auto" w:sz="4" w:space="0"/>
            </w:tcBorders>
            <w:noWrap/>
            <w:vAlign w:val="center"/>
          </w:tcPr>
          <w:p w14:paraId="30883D90">
            <w:pPr>
              <w:pStyle w:val="77"/>
              <w:spacing w:line="240" w:lineRule="auto"/>
              <w:ind w:right="-354" w:firstLine="221" w:firstLineChars="100"/>
              <w:jc w:val="both"/>
              <w:rPr>
                <w:rFonts w:hint="eastAsia" w:ascii="宋体" w:hAnsi="宋体" w:eastAsia="宋体" w:cs="宋体"/>
                <w:b/>
                <w:sz w:val="22"/>
                <w:szCs w:val="22"/>
              </w:rPr>
            </w:pPr>
            <w:r>
              <w:rPr>
                <w:rFonts w:hint="eastAsia" w:ascii="宋体" w:hAnsi="宋体" w:eastAsia="宋体" w:cs="宋体"/>
                <w:b/>
                <w:sz w:val="22"/>
                <w:szCs w:val="22"/>
              </w:rPr>
              <w:t>23</w:t>
            </w:r>
          </w:p>
        </w:tc>
        <w:tc>
          <w:tcPr>
            <w:tcW w:w="1702" w:type="dxa"/>
            <w:tcBorders>
              <w:top w:val="single" w:color="auto" w:sz="4" w:space="0"/>
              <w:left w:val="single" w:color="auto" w:sz="4" w:space="0"/>
              <w:bottom w:val="single" w:color="auto" w:sz="4" w:space="0"/>
              <w:right w:val="single" w:color="auto" w:sz="4" w:space="0"/>
            </w:tcBorders>
            <w:noWrap/>
            <w:vAlign w:val="center"/>
          </w:tcPr>
          <w:p w14:paraId="1CAF91DA">
            <w:pPr>
              <w:spacing w:line="240" w:lineRule="auto"/>
              <w:jc w:val="center"/>
              <w:rPr>
                <w:rFonts w:hint="eastAsia" w:ascii="宋体" w:hAnsi="宋体" w:eastAsia="宋体" w:cs="宋体"/>
                <w:b/>
                <w:color w:val="000000"/>
                <w:kern w:val="0"/>
                <w:sz w:val="22"/>
                <w:szCs w:val="22"/>
              </w:rPr>
            </w:pPr>
            <w:r>
              <w:rPr>
                <w:rFonts w:hint="eastAsia" w:ascii="宋体" w:hAnsi="宋体" w:eastAsia="宋体" w:cs="宋体"/>
                <w:b/>
                <w:color w:val="000000"/>
                <w:kern w:val="0"/>
                <w:sz w:val="22"/>
                <w:szCs w:val="22"/>
              </w:rPr>
              <w:t>单层包布150*150</w:t>
            </w:r>
          </w:p>
        </w:tc>
        <w:tc>
          <w:tcPr>
            <w:tcW w:w="1234" w:type="dxa"/>
            <w:tcBorders>
              <w:top w:val="single" w:color="auto" w:sz="4" w:space="0"/>
              <w:left w:val="single" w:color="auto" w:sz="4" w:space="0"/>
              <w:bottom w:val="single" w:color="auto" w:sz="4" w:space="0"/>
              <w:right w:val="single" w:color="auto" w:sz="4" w:space="0"/>
            </w:tcBorders>
            <w:noWrap/>
            <w:vAlign w:val="center"/>
          </w:tcPr>
          <w:p w14:paraId="6AA660EA">
            <w:pPr>
              <w:pStyle w:val="77"/>
              <w:spacing w:line="240" w:lineRule="auto"/>
              <w:ind w:left="-342" w:right="-354"/>
              <w:jc w:val="center"/>
              <w:rPr>
                <w:rFonts w:hint="eastAsia" w:ascii="宋体" w:hAnsi="宋体" w:eastAsia="宋体" w:cs="宋体"/>
                <w:b/>
                <w:sz w:val="22"/>
                <w:szCs w:val="22"/>
              </w:rPr>
            </w:pPr>
            <w:r>
              <w:rPr>
                <w:rFonts w:hint="eastAsia" w:ascii="宋体" w:hAnsi="宋体" w:eastAsia="宋体" w:cs="宋体"/>
                <w:b/>
                <w:sz w:val="22"/>
                <w:szCs w:val="22"/>
              </w:rPr>
              <w:t>1</w:t>
            </w:r>
          </w:p>
        </w:tc>
        <w:tc>
          <w:tcPr>
            <w:tcW w:w="1134" w:type="dxa"/>
            <w:tcBorders>
              <w:top w:val="single" w:color="auto" w:sz="4" w:space="0"/>
              <w:left w:val="single" w:color="auto" w:sz="4" w:space="0"/>
              <w:bottom w:val="single" w:color="auto" w:sz="4" w:space="0"/>
              <w:right w:val="single" w:color="auto" w:sz="4" w:space="0"/>
            </w:tcBorders>
            <w:noWrap/>
            <w:vAlign w:val="center"/>
          </w:tcPr>
          <w:p w14:paraId="1CCCC4CF">
            <w:pPr>
              <w:spacing w:line="240" w:lineRule="auto"/>
              <w:jc w:val="center"/>
              <w:rPr>
                <w:rFonts w:hint="eastAsia" w:ascii="宋体" w:hAnsi="宋体" w:eastAsia="宋体" w:cs="宋体"/>
                <w:b/>
                <w:color w:val="000000"/>
                <w:kern w:val="0"/>
                <w:sz w:val="22"/>
                <w:szCs w:val="22"/>
                <w:lang w:val="en-US" w:eastAsia="zh-CN"/>
              </w:rPr>
            </w:pPr>
            <w:r>
              <w:rPr>
                <w:rFonts w:hint="eastAsia" w:ascii="宋体" w:hAnsi="宋体" w:eastAsia="宋体" w:cs="宋体"/>
                <w:b/>
                <w:color w:val="000000"/>
                <w:kern w:val="0"/>
                <w:sz w:val="22"/>
                <w:szCs w:val="22"/>
                <w:lang w:val="en-US" w:eastAsia="zh-CN"/>
              </w:rPr>
              <w:t>1.20</w:t>
            </w:r>
          </w:p>
        </w:tc>
      </w:tr>
      <w:tr w14:paraId="64DD6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709" w:type="dxa"/>
            <w:tcBorders>
              <w:top w:val="single" w:color="auto" w:sz="4" w:space="0"/>
              <w:left w:val="single" w:color="auto" w:sz="4" w:space="0"/>
              <w:bottom w:val="single" w:color="auto" w:sz="4" w:space="0"/>
              <w:right w:val="single" w:color="auto" w:sz="4" w:space="0"/>
            </w:tcBorders>
            <w:noWrap/>
            <w:vAlign w:val="center"/>
          </w:tcPr>
          <w:p w14:paraId="7FC71AB3">
            <w:pPr>
              <w:spacing w:line="240" w:lineRule="auto"/>
              <w:jc w:val="center"/>
              <w:rPr>
                <w:rFonts w:hint="eastAsia" w:ascii="宋体" w:hAnsi="宋体" w:eastAsia="宋体" w:cs="宋体"/>
                <w:b/>
                <w:color w:val="000000"/>
                <w:kern w:val="0"/>
                <w:sz w:val="22"/>
                <w:szCs w:val="22"/>
              </w:rPr>
            </w:pPr>
            <w:r>
              <w:rPr>
                <w:rFonts w:hint="eastAsia" w:ascii="宋体" w:hAnsi="宋体" w:eastAsia="宋体" w:cs="宋体"/>
                <w:b/>
                <w:color w:val="000000"/>
                <w:kern w:val="0"/>
                <w:sz w:val="22"/>
                <w:szCs w:val="22"/>
              </w:rPr>
              <w:t>2</w:t>
            </w:r>
          </w:p>
        </w:tc>
        <w:tc>
          <w:tcPr>
            <w:tcW w:w="1418" w:type="dxa"/>
            <w:tcBorders>
              <w:top w:val="single" w:color="auto" w:sz="4" w:space="0"/>
              <w:left w:val="single" w:color="auto" w:sz="4" w:space="0"/>
              <w:bottom w:val="single" w:color="auto" w:sz="4" w:space="0"/>
              <w:right w:val="single" w:color="auto" w:sz="4" w:space="0"/>
            </w:tcBorders>
            <w:noWrap/>
            <w:vAlign w:val="center"/>
          </w:tcPr>
          <w:p w14:paraId="10F0D6B3">
            <w:pPr>
              <w:pStyle w:val="77"/>
              <w:tabs>
                <w:tab w:val="left" w:pos="4032"/>
              </w:tabs>
              <w:spacing w:line="240" w:lineRule="auto"/>
              <w:ind w:left="-342" w:right="-354"/>
              <w:jc w:val="center"/>
              <w:rPr>
                <w:rFonts w:hint="eastAsia" w:ascii="宋体" w:hAnsi="宋体" w:eastAsia="宋体" w:cs="宋体"/>
                <w:b/>
                <w:sz w:val="22"/>
                <w:szCs w:val="22"/>
              </w:rPr>
            </w:pPr>
            <w:r>
              <w:rPr>
                <w:rFonts w:hint="eastAsia" w:ascii="宋体" w:hAnsi="宋体" w:eastAsia="宋体" w:cs="宋体"/>
                <w:b/>
                <w:sz w:val="22"/>
                <w:szCs w:val="22"/>
              </w:rPr>
              <w:t>褥套</w:t>
            </w:r>
          </w:p>
        </w:tc>
        <w:tc>
          <w:tcPr>
            <w:tcW w:w="1559" w:type="dxa"/>
            <w:tcBorders>
              <w:top w:val="single" w:color="auto" w:sz="4" w:space="0"/>
              <w:left w:val="single" w:color="auto" w:sz="4" w:space="0"/>
              <w:bottom w:val="single" w:color="auto" w:sz="4" w:space="0"/>
              <w:right w:val="single" w:color="auto" w:sz="4" w:space="0"/>
            </w:tcBorders>
            <w:noWrap/>
            <w:vAlign w:val="center"/>
          </w:tcPr>
          <w:p w14:paraId="2A0A1F27">
            <w:pPr>
              <w:pStyle w:val="77"/>
              <w:spacing w:line="240" w:lineRule="auto"/>
              <w:ind w:left="-342" w:right="-354"/>
              <w:jc w:val="center"/>
              <w:rPr>
                <w:rFonts w:hint="eastAsia" w:ascii="宋体" w:hAnsi="宋体" w:eastAsia="宋体" w:cs="宋体"/>
                <w:b/>
                <w:sz w:val="22"/>
                <w:szCs w:val="22"/>
              </w:rPr>
            </w:pPr>
            <w:r>
              <w:rPr>
                <w:rFonts w:hint="eastAsia" w:ascii="宋体" w:hAnsi="宋体" w:eastAsia="宋体" w:cs="宋体"/>
                <w:b/>
                <w:sz w:val="22"/>
                <w:szCs w:val="22"/>
              </w:rPr>
              <w:t>1</w:t>
            </w:r>
          </w:p>
        </w:tc>
        <w:tc>
          <w:tcPr>
            <w:tcW w:w="962" w:type="dxa"/>
            <w:tcBorders>
              <w:top w:val="single" w:color="auto" w:sz="4" w:space="0"/>
              <w:left w:val="single" w:color="auto" w:sz="4" w:space="0"/>
              <w:bottom w:val="single" w:color="auto" w:sz="4" w:space="0"/>
              <w:right w:val="single" w:color="auto" w:sz="4" w:space="0"/>
            </w:tcBorders>
            <w:noWrap/>
            <w:vAlign w:val="center"/>
          </w:tcPr>
          <w:p w14:paraId="1C615F16">
            <w:pPr>
              <w:pStyle w:val="77"/>
              <w:spacing w:line="240" w:lineRule="auto"/>
              <w:ind w:left="-342" w:right="-354"/>
              <w:jc w:val="center"/>
              <w:rPr>
                <w:rFonts w:hint="eastAsia" w:ascii="宋体" w:hAnsi="宋体" w:eastAsia="宋体" w:cs="宋体"/>
                <w:b/>
                <w:sz w:val="22"/>
                <w:szCs w:val="22"/>
                <w:lang w:val="en-US" w:eastAsia="zh-CN"/>
              </w:rPr>
            </w:pPr>
            <w:r>
              <w:rPr>
                <w:rFonts w:hint="eastAsia" w:ascii="宋体" w:hAnsi="宋体" w:eastAsia="宋体" w:cs="宋体"/>
                <w:b/>
                <w:sz w:val="22"/>
                <w:szCs w:val="22"/>
                <w:lang w:val="en-US" w:eastAsia="zh-CN"/>
              </w:rPr>
              <w:t>3.40</w:t>
            </w:r>
          </w:p>
        </w:tc>
        <w:tc>
          <w:tcPr>
            <w:tcW w:w="780" w:type="dxa"/>
            <w:tcBorders>
              <w:top w:val="single" w:color="auto" w:sz="4" w:space="0"/>
              <w:left w:val="single" w:color="auto" w:sz="4" w:space="0"/>
              <w:bottom w:val="single" w:color="auto" w:sz="4" w:space="0"/>
              <w:right w:val="single" w:color="auto" w:sz="4" w:space="0"/>
            </w:tcBorders>
            <w:noWrap/>
            <w:vAlign w:val="center"/>
          </w:tcPr>
          <w:p w14:paraId="3E4DC250">
            <w:pPr>
              <w:pStyle w:val="77"/>
              <w:spacing w:line="240" w:lineRule="auto"/>
              <w:ind w:right="-354" w:firstLine="221" w:firstLineChars="100"/>
              <w:jc w:val="both"/>
              <w:rPr>
                <w:rFonts w:hint="eastAsia" w:ascii="宋体" w:hAnsi="宋体" w:eastAsia="宋体" w:cs="宋体"/>
                <w:b/>
                <w:sz w:val="22"/>
                <w:szCs w:val="22"/>
              </w:rPr>
            </w:pPr>
            <w:r>
              <w:rPr>
                <w:rFonts w:hint="eastAsia" w:ascii="宋体" w:hAnsi="宋体" w:eastAsia="宋体" w:cs="宋体"/>
                <w:b/>
                <w:sz w:val="22"/>
                <w:szCs w:val="22"/>
              </w:rPr>
              <w:t>24</w:t>
            </w:r>
          </w:p>
        </w:tc>
        <w:tc>
          <w:tcPr>
            <w:tcW w:w="1702" w:type="dxa"/>
            <w:tcBorders>
              <w:top w:val="single" w:color="auto" w:sz="4" w:space="0"/>
              <w:left w:val="single" w:color="auto" w:sz="4" w:space="0"/>
              <w:bottom w:val="single" w:color="auto" w:sz="4" w:space="0"/>
              <w:right w:val="single" w:color="auto" w:sz="4" w:space="0"/>
            </w:tcBorders>
            <w:noWrap/>
            <w:vAlign w:val="center"/>
          </w:tcPr>
          <w:p w14:paraId="41139E84">
            <w:pPr>
              <w:pStyle w:val="77"/>
              <w:tabs>
                <w:tab w:val="left" w:pos="4032"/>
              </w:tabs>
              <w:spacing w:line="240" w:lineRule="auto"/>
              <w:ind w:left="-342" w:right="-354"/>
              <w:jc w:val="center"/>
              <w:rPr>
                <w:rFonts w:hint="eastAsia" w:ascii="宋体" w:hAnsi="宋体" w:eastAsia="宋体" w:cs="宋体"/>
                <w:b/>
                <w:sz w:val="22"/>
                <w:szCs w:val="22"/>
              </w:rPr>
            </w:pPr>
            <w:r>
              <w:rPr>
                <w:rFonts w:hint="eastAsia" w:ascii="宋体" w:hAnsi="宋体" w:eastAsia="宋体" w:cs="宋体"/>
                <w:b/>
                <w:sz w:val="22"/>
                <w:szCs w:val="22"/>
              </w:rPr>
              <w:t xml:space="preserve">双层包布               </w:t>
            </w:r>
          </w:p>
          <w:p w14:paraId="2EB8B723">
            <w:pPr>
              <w:pStyle w:val="77"/>
              <w:tabs>
                <w:tab w:val="left" w:pos="4032"/>
              </w:tabs>
              <w:spacing w:line="240" w:lineRule="auto"/>
              <w:ind w:left="-342" w:right="-354"/>
              <w:jc w:val="center"/>
              <w:rPr>
                <w:rFonts w:hint="eastAsia" w:ascii="宋体" w:hAnsi="宋体" w:eastAsia="宋体" w:cs="宋体"/>
                <w:b/>
                <w:sz w:val="22"/>
                <w:szCs w:val="22"/>
              </w:rPr>
            </w:pPr>
            <w:r>
              <w:rPr>
                <w:rFonts w:hint="eastAsia" w:ascii="宋体" w:hAnsi="宋体" w:eastAsia="宋体" w:cs="宋体"/>
                <w:b/>
                <w:sz w:val="22"/>
                <w:szCs w:val="22"/>
              </w:rPr>
              <w:t>150*150</w:t>
            </w:r>
          </w:p>
        </w:tc>
        <w:tc>
          <w:tcPr>
            <w:tcW w:w="1234" w:type="dxa"/>
            <w:tcBorders>
              <w:top w:val="single" w:color="auto" w:sz="4" w:space="0"/>
              <w:left w:val="single" w:color="auto" w:sz="4" w:space="0"/>
              <w:bottom w:val="single" w:color="auto" w:sz="4" w:space="0"/>
              <w:right w:val="single" w:color="auto" w:sz="4" w:space="0"/>
            </w:tcBorders>
            <w:noWrap/>
            <w:vAlign w:val="center"/>
          </w:tcPr>
          <w:p w14:paraId="7A73F239">
            <w:pPr>
              <w:pStyle w:val="77"/>
              <w:spacing w:line="240" w:lineRule="auto"/>
              <w:ind w:left="-342" w:right="-354"/>
              <w:jc w:val="center"/>
              <w:rPr>
                <w:rFonts w:hint="eastAsia" w:ascii="宋体" w:hAnsi="宋体" w:eastAsia="宋体" w:cs="宋体"/>
                <w:b/>
                <w:sz w:val="22"/>
                <w:szCs w:val="22"/>
              </w:rPr>
            </w:pPr>
            <w:r>
              <w:rPr>
                <w:rFonts w:hint="eastAsia" w:ascii="宋体" w:hAnsi="宋体" w:eastAsia="宋体" w:cs="宋体"/>
                <w:b/>
                <w:sz w:val="22"/>
                <w:szCs w:val="22"/>
              </w:rPr>
              <w:t>1</w:t>
            </w:r>
          </w:p>
        </w:tc>
        <w:tc>
          <w:tcPr>
            <w:tcW w:w="1134" w:type="dxa"/>
            <w:tcBorders>
              <w:top w:val="single" w:color="auto" w:sz="4" w:space="0"/>
              <w:left w:val="single" w:color="auto" w:sz="4" w:space="0"/>
              <w:bottom w:val="single" w:color="auto" w:sz="4" w:space="0"/>
              <w:right w:val="single" w:color="auto" w:sz="4" w:space="0"/>
            </w:tcBorders>
            <w:noWrap/>
            <w:vAlign w:val="center"/>
          </w:tcPr>
          <w:p w14:paraId="535F7C27">
            <w:pPr>
              <w:spacing w:line="240" w:lineRule="auto"/>
              <w:jc w:val="center"/>
              <w:rPr>
                <w:rFonts w:hint="eastAsia" w:ascii="宋体" w:hAnsi="宋体" w:eastAsia="宋体" w:cs="宋体"/>
                <w:b/>
                <w:color w:val="000000"/>
                <w:kern w:val="0"/>
                <w:sz w:val="22"/>
                <w:szCs w:val="22"/>
                <w:lang w:val="en-US" w:eastAsia="zh-CN"/>
              </w:rPr>
            </w:pPr>
            <w:r>
              <w:rPr>
                <w:rFonts w:hint="eastAsia" w:ascii="宋体" w:hAnsi="宋体" w:eastAsia="宋体" w:cs="宋体"/>
                <w:b/>
                <w:color w:val="000000"/>
                <w:kern w:val="0"/>
                <w:sz w:val="22"/>
                <w:szCs w:val="22"/>
                <w:lang w:val="en-US" w:eastAsia="zh-CN"/>
              </w:rPr>
              <w:t>2.30</w:t>
            </w:r>
          </w:p>
        </w:tc>
      </w:tr>
      <w:tr w14:paraId="688705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2" w:hRule="atLeast"/>
        </w:trPr>
        <w:tc>
          <w:tcPr>
            <w:tcW w:w="709" w:type="dxa"/>
            <w:tcBorders>
              <w:top w:val="single" w:color="auto" w:sz="4" w:space="0"/>
              <w:left w:val="single" w:color="auto" w:sz="4" w:space="0"/>
              <w:bottom w:val="single" w:color="auto" w:sz="4" w:space="0"/>
              <w:right w:val="single" w:color="auto" w:sz="4" w:space="0"/>
            </w:tcBorders>
            <w:noWrap/>
            <w:vAlign w:val="center"/>
          </w:tcPr>
          <w:p w14:paraId="288FC331">
            <w:pPr>
              <w:spacing w:line="240" w:lineRule="auto"/>
              <w:jc w:val="center"/>
              <w:rPr>
                <w:rFonts w:hint="eastAsia" w:ascii="宋体" w:hAnsi="宋体" w:eastAsia="宋体" w:cs="宋体"/>
                <w:b/>
                <w:color w:val="000000"/>
                <w:kern w:val="0"/>
                <w:sz w:val="22"/>
                <w:szCs w:val="22"/>
              </w:rPr>
            </w:pPr>
            <w:r>
              <w:rPr>
                <w:rFonts w:hint="eastAsia" w:ascii="宋体" w:hAnsi="宋体" w:eastAsia="宋体" w:cs="宋体"/>
                <w:b/>
                <w:color w:val="000000"/>
                <w:kern w:val="0"/>
                <w:sz w:val="22"/>
                <w:szCs w:val="22"/>
              </w:rPr>
              <w:t>3</w:t>
            </w:r>
          </w:p>
        </w:tc>
        <w:tc>
          <w:tcPr>
            <w:tcW w:w="1418" w:type="dxa"/>
            <w:tcBorders>
              <w:top w:val="single" w:color="auto" w:sz="4" w:space="0"/>
              <w:left w:val="single" w:color="auto" w:sz="4" w:space="0"/>
              <w:bottom w:val="single" w:color="auto" w:sz="4" w:space="0"/>
              <w:right w:val="single" w:color="auto" w:sz="4" w:space="0"/>
            </w:tcBorders>
            <w:noWrap/>
            <w:vAlign w:val="center"/>
          </w:tcPr>
          <w:p w14:paraId="57D0911B">
            <w:pPr>
              <w:pStyle w:val="77"/>
              <w:tabs>
                <w:tab w:val="left" w:pos="4032"/>
              </w:tabs>
              <w:spacing w:line="240" w:lineRule="auto"/>
              <w:ind w:left="-342" w:right="-354"/>
              <w:jc w:val="center"/>
              <w:rPr>
                <w:rFonts w:hint="eastAsia" w:ascii="宋体" w:hAnsi="宋体" w:eastAsia="宋体" w:cs="宋体"/>
                <w:b/>
                <w:sz w:val="22"/>
                <w:szCs w:val="22"/>
              </w:rPr>
            </w:pPr>
            <w:r>
              <w:rPr>
                <w:rFonts w:hint="eastAsia" w:ascii="宋体" w:hAnsi="宋体" w:eastAsia="宋体" w:cs="宋体"/>
                <w:b/>
                <w:sz w:val="22"/>
                <w:szCs w:val="22"/>
              </w:rPr>
              <w:t>床单</w:t>
            </w:r>
          </w:p>
        </w:tc>
        <w:tc>
          <w:tcPr>
            <w:tcW w:w="1559" w:type="dxa"/>
            <w:tcBorders>
              <w:top w:val="single" w:color="auto" w:sz="4" w:space="0"/>
              <w:left w:val="single" w:color="auto" w:sz="4" w:space="0"/>
              <w:bottom w:val="single" w:color="auto" w:sz="4" w:space="0"/>
              <w:right w:val="single" w:color="auto" w:sz="4" w:space="0"/>
            </w:tcBorders>
            <w:noWrap/>
            <w:vAlign w:val="center"/>
          </w:tcPr>
          <w:p w14:paraId="62CB09F8">
            <w:pPr>
              <w:pStyle w:val="77"/>
              <w:spacing w:line="240" w:lineRule="auto"/>
              <w:ind w:left="-342" w:right="-354"/>
              <w:jc w:val="center"/>
              <w:rPr>
                <w:rFonts w:hint="eastAsia" w:ascii="宋体" w:hAnsi="宋体" w:eastAsia="宋体" w:cs="宋体"/>
                <w:b/>
                <w:sz w:val="22"/>
                <w:szCs w:val="22"/>
              </w:rPr>
            </w:pPr>
            <w:r>
              <w:rPr>
                <w:rFonts w:hint="eastAsia" w:ascii="宋体" w:hAnsi="宋体" w:eastAsia="宋体" w:cs="宋体"/>
                <w:b/>
                <w:sz w:val="22"/>
                <w:szCs w:val="22"/>
              </w:rPr>
              <w:t>1</w:t>
            </w:r>
          </w:p>
        </w:tc>
        <w:tc>
          <w:tcPr>
            <w:tcW w:w="962" w:type="dxa"/>
            <w:tcBorders>
              <w:top w:val="single" w:color="auto" w:sz="4" w:space="0"/>
              <w:left w:val="single" w:color="auto" w:sz="4" w:space="0"/>
              <w:bottom w:val="single" w:color="auto" w:sz="4" w:space="0"/>
              <w:right w:val="single" w:color="auto" w:sz="4" w:space="0"/>
            </w:tcBorders>
            <w:noWrap/>
            <w:vAlign w:val="center"/>
          </w:tcPr>
          <w:p w14:paraId="0950F3E2">
            <w:pPr>
              <w:pStyle w:val="77"/>
              <w:spacing w:line="240" w:lineRule="auto"/>
              <w:ind w:left="-342" w:right="-354"/>
              <w:jc w:val="center"/>
              <w:rPr>
                <w:rFonts w:hint="eastAsia" w:ascii="宋体" w:hAnsi="宋体" w:eastAsia="宋体" w:cs="宋体"/>
                <w:b/>
                <w:sz w:val="22"/>
                <w:szCs w:val="22"/>
                <w:lang w:val="en-US" w:eastAsia="zh-CN"/>
              </w:rPr>
            </w:pPr>
            <w:r>
              <w:rPr>
                <w:rFonts w:hint="eastAsia" w:ascii="宋体" w:hAnsi="宋体" w:eastAsia="宋体" w:cs="宋体"/>
                <w:b/>
                <w:sz w:val="22"/>
                <w:szCs w:val="22"/>
                <w:lang w:val="en-US" w:eastAsia="zh-CN"/>
              </w:rPr>
              <w:t>3.50</w:t>
            </w:r>
          </w:p>
        </w:tc>
        <w:tc>
          <w:tcPr>
            <w:tcW w:w="780" w:type="dxa"/>
            <w:tcBorders>
              <w:top w:val="single" w:color="auto" w:sz="4" w:space="0"/>
              <w:left w:val="single" w:color="auto" w:sz="4" w:space="0"/>
              <w:bottom w:val="single" w:color="auto" w:sz="4" w:space="0"/>
              <w:right w:val="single" w:color="auto" w:sz="4" w:space="0"/>
            </w:tcBorders>
            <w:noWrap/>
            <w:vAlign w:val="center"/>
          </w:tcPr>
          <w:p w14:paraId="572F8FE8">
            <w:pPr>
              <w:pStyle w:val="77"/>
              <w:spacing w:line="240" w:lineRule="auto"/>
              <w:ind w:right="-354" w:firstLine="221" w:firstLineChars="100"/>
              <w:jc w:val="both"/>
              <w:rPr>
                <w:rFonts w:hint="eastAsia" w:ascii="宋体" w:hAnsi="宋体" w:eastAsia="宋体" w:cs="宋体"/>
                <w:b/>
                <w:sz w:val="22"/>
                <w:szCs w:val="22"/>
              </w:rPr>
            </w:pPr>
            <w:r>
              <w:rPr>
                <w:rFonts w:hint="eastAsia" w:ascii="宋体" w:hAnsi="宋体" w:eastAsia="宋体" w:cs="宋体"/>
                <w:b/>
                <w:sz w:val="22"/>
                <w:szCs w:val="22"/>
              </w:rPr>
              <w:t>25</w:t>
            </w:r>
          </w:p>
        </w:tc>
        <w:tc>
          <w:tcPr>
            <w:tcW w:w="1702" w:type="dxa"/>
            <w:tcBorders>
              <w:top w:val="single" w:color="auto" w:sz="4" w:space="0"/>
              <w:left w:val="single" w:color="auto" w:sz="4" w:space="0"/>
              <w:bottom w:val="single" w:color="auto" w:sz="4" w:space="0"/>
              <w:right w:val="single" w:color="auto" w:sz="4" w:space="0"/>
            </w:tcBorders>
            <w:noWrap/>
            <w:vAlign w:val="center"/>
          </w:tcPr>
          <w:p w14:paraId="74BC7F12">
            <w:pPr>
              <w:pStyle w:val="77"/>
              <w:tabs>
                <w:tab w:val="left" w:pos="4032"/>
              </w:tabs>
              <w:spacing w:line="240" w:lineRule="auto"/>
              <w:ind w:left="-342" w:right="-354"/>
              <w:jc w:val="center"/>
              <w:rPr>
                <w:rFonts w:hint="eastAsia" w:ascii="宋体" w:hAnsi="宋体" w:eastAsia="宋体" w:cs="宋体"/>
                <w:b/>
                <w:sz w:val="22"/>
                <w:szCs w:val="22"/>
              </w:rPr>
            </w:pPr>
            <w:r>
              <w:rPr>
                <w:rFonts w:hint="eastAsia" w:ascii="宋体" w:hAnsi="宋体" w:eastAsia="宋体" w:cs="宋体"/>
                <w:b/>
                <w:sz w:val="22"/>
                <w:szCs w:val="22"/>
              </w:rPr>
              <w:t>病员服</w:t>
            </w:r>
          </w:p>
        </w:tc>
        <w:tc>
          <w:tcPr>
            <w:tcW w:w="1234" w:type="dxa"/>
            <w:tcBorders>
              <w:top w:val="single" w:color="auto" w:sz="4" w:space="0"/>
              <w:left w:val="single" w:color="auto" w:sz="4" w:space="0"/>
              <w:bottom w:val="single" w:color="auto" w:sz="4" w:space="0"/>
              <w:right w:val="single" w:color="auto" w:sz="4" w:space="0"/>
            </w:tcBorders>
            <w:noWrap/>
            <w:vAlign w:val="center"/>
          </w:tcPr>
          <w:p w14:paraId="35A8FC44">
            <w:pPr>
              <w:pStyle w:val="77"/>
              <w:spacing w:line="240" w:lineRule="auto"/>
              <w:ind w:left="-342" w:right="-354"/>
              <w:jc w:val="center"/>
              <w:rPr>
                <w:rFonts w:hint="eastAsia" w:ascii="宋体" w:hAnsi="宋体" w:eastAsia="宋体" w:cs="宋体"/>
                <w:b/>
                <w:sz w:val="22"/>
                <w:szCs w:val="22"/>
              </w:rPr>
            </w:pPr>
            <w:r>
              <w:rPr>
                <w:rFonts w:hint="eastAsia" w:ascii="宋体" w:hAnsi="宋体" w:eastAsia="宋体" w:cs="宋体"/>
                <w:b/>
                <w:sz w:val="22"/>
                <w:szCs w:val="22"/>
              </w:rPr>
              <w:t>1</w:t>
            </w:r>
          </w:p>
        </w:tc>
        <w:tc>
          <w:tcPr>
            <w:tcW w:w="1134" w:type="dxa"/>
            <w:tcBorders>
              <w:top w:val="single" w:color="auto" w:sz="4" w:space="0"/>
              <w:left w:val="single" w:color="auto" w:sz="4" w:space="0"/>
              <w:bottom w:val="single" w:color="auto" w:sz="4" w:space="0"/>
              <w:right w:val="single" w:color="auto" w:sz="4" w:space="0"/>
            </w:tcBorders>
            <w:noWrap/>
            <w:vAlign w:val="center"/>
          </w:tcPr>
          <w:p w14:paraId="398C6CCB">
            <w:pPr>
              <w:pStyle w:val="77"/>
              <w:spacing w:line="240" w:lineRule="auto"/>
              <w:ind w:left="-342" w:right="-354"/>
              <w:jc w:val="center"/>
              <w:rPr>
                <w:rFonts w:hint="eastAsia" w:ascii="宋体" w:hAnsi="宋体" w:eastAsia="宋体" w:cs="宋体"/>
                <w:b/>
                <w:color w:val="auto"/>
                <w:sz w:val="22"/>
                <w:szCs w:val="22"/>
                <w:lang w:val="en-US" w:eastAsia="zh-CN"/>
              </w:rPr>
            </w:pPr>
            <w:r>
              <w:rPr>
                <w:rFonts w:hint="eastAsia" w:ascii="宋体" w:hAnsi="宋体" w:eastAsia="宋体" w:cs="宋体"/>
                <w:b/>
                <w:color w:val="auto"/>
                <w:sz w:val="22"/>
                <w:szCs w:val="22"/>
                <w:lang w:val="en-US" w:eastAsia="zh-CN"/>
              </w:rPr>
              <w:t>1.60</w:t>
            </w:r>
          </w:p>
        </w:tc>
      </w:tr>
      <w:tr w14:paraId="5E8834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2" w:hRule="atLeast"/>
        </w:trPr>
        <w:tc>
          <w:tcPr>
            <w:tcW w:w="709" w:type="dxa"/>
            <w:tcBorders>
              <w:top w:val="single" w:color="auto" w:sz="4" w:space="0"/>
              <w:left w:val="single" w:color="auto" w:sz="4" w:space="0"/>
              <w:bottom w:val="single" w:color="auto" w:sz="4" w:space="0"/>
              <w:right w:val="single" w:color="auto" w:sz="4" w:space="0"/>
            </w:tcBorders>
            <w:noWrap/>
            <w:vAlign w:val="center"/>
          </w:tcPr>
          <w:p w14:paraId="7073BFEC">
            <w:pPr>
              <w:spacing w:line="240" w:lineRule="auto"/>
              <w:jc w:val="center"/>
              <w:rPr>
                <w:rFonts w:hint="eastAsia" w:ascii="宋体" w:hAnsi="宋体" w:eastAsia="宋体" w:cs="宋体"/>
                <w:b/>
                <w:color w:val="000000"/>
                <w:kern w:val="0"/>
                <w:sz w:val="22"/>
                <w:szCs w:val="22"/>
              </w:rPr>
            </w:pPr>
            <w:r>
              <w:rPr>
                <w:rFonts w:hint="eastAsia" w:ascii="宋体" w:hAnsi="宋体" w:eastAsia="宋体" w:cs="宋体"/>
                <w:b/>
                <w:color w:val="000000"/>
                <w:kern w:val="0"/>
                <w:sz w:val="22"/>
                <w:szCs w:val="22"/>
              </w:rPr>
              <w:t>4</w:t>
            </w:r>
          </w:p>
        </w:tc>
        <w:tc>
          <w:tcPr>
            <w:tcW w:w="1418" w:type="dxa"/>
            <w:tcBorders>
              <w:top w:val="single" w:color="auto" w:sz="4" w:space="0"/>
              <w:left w:val="single" w:color="auto" w:sz="4" w:space="0"/>
              <w:bottom w:val="single" w:color="auto" w:sz="4" w:space="0"/>
              <w:right w:val="single" w:color="auto" w:sz="4" w:space="0"/>
            </w:tcBorders>
            <w:noWrap/>
            <w:vAlign w:val="center"/>
          </w:tcPr>
          <w:p w14:paraId="349FC4EF">
            <w:pPr>
              <w:pStyle w:val="77"/>
              <w:tabs>
                <w:tab w:val="left" w:pos="4032"/>
              </w:tabs>
              <w:spacing w:line="240" w:lineRule="auto"/>
              <w:ind w:left="-342" w:right="-354"/>
              <w:jc w:val="center"/>
              <w:rPr>
                <w:rFonts w:hint="eastAsia" w:ascii="宋体" w:hAnsi="宋体" w:eastAsia="宋体" w:cs="宋体"/>
                <w:b/>
                <w:sz w:val="22"/>
                <w:szCs w:val="22"/>
              </w:rPr>
            </w:pPr>
            <w:r>
              <w:rPr>
                <w:rFonts w:hint="eastAsia" w:ascii="宋体" w:hAnsi="宋体" w:eastAsia="宋体" w:cs="宋体"/>
                <w:b/>
                <w:sz w:val="22"/>
                <w:szCs w:val="22"/>
              </w:rPr>
              <w:t>枕套/枕巾</w:t>
            </w:r>
          </w:p>
        </w:tc>
        <w:tc>
          <w:tcPr>
            <w:tcW w:w="1559" w:type="dxa"/>
            <w:tcBorders>
              <w:top w:val="single" w:color="auto" w:sz="4" w:space="0"/>
              <w:left w:val="single" w:color="auto" w:sz="4" w:space="0"/>
              <w:bottom w:val="single" w:color="auto" w:sz="4" w:space="0"/>
              <w:right w:val="single" w:color="auto" w:sz="4" w:space="0"/>
            </w:tcBorders>
            <w:noWrap/>
            <w:vAlign w:val="center"/>
          </w:tcPr>
          <w:p w14:paraId="4705077B">
            <w:pPr>
              <w:pStyle w:val="77"/>
              <w:spacing w:line="240" w:lineRule="auto"/>
              <w:ind w:left="-342" w:right="-354"/>
              <w:jc w:val="center"/>
              <w:rPr>
                <w:rFonts w:hint="eastAsia" w:ascii="宋体" w:hAnsi="宋体" w:eastAsia="宋体" w:cs="宋体"/>
                <w:b/>
                <w:sz w:val="22"/>
                <w:szCs w:val="22"/>
              </w:rPr>
            </w:pPr>
            <w:r>
              <w:rPr>
                <w:rFonts w:hint="eastAsia" w:ascii="宋体" w:hAnsi="宋体" w:eastAsia="宋体" w:cs="宋体"/>
                <w:b/>
                <w:sz w:val="22"/>
                <w:szCs w:val="22"/>
              </w:rPr>
              <w:t>1</w:t>
            </w:r>
          </w:p>
        </w:tc>
        <w:tc>
          <w:tcPr>
            <w:tcW w:w="962" w:type="dxa"/>
            <w:tcBorders>
              <w:top w:val="single" w:color="auto" w:sz="4" w:space="0"/>
              <w:left w:val="single" w:color="auto" w:sz="4" w:space="0"/>
              <w:bottom w:val="single" w:color="auto" w:sz="4" w:space="0"/>
              <w:right w:val="single" w:color="auto" w:sz="4" w:space="0"/>
            </w:tcBorders>
            <w:noWrap/>
            <w:vAlign w:val="center"/>
          </w:tcPr>
          <w:p w14:paraId="086734FD">
            <w:pPr>
              <w:pStyle w:val="77"/>
              <w:spacing w:line="240" w:lineRule="auto"/>
              <w:ind w:left="-342" w:right="-354"/>
              <w:jc w:val="center"/>
              <w:rPr>
                <w:rFonts w:hint="eastAsia" w:ascii="宋体" w:hAnsi="宋体" w:eastAsia="宋体" w:cs="宋体"/>
                <w:b/>
                <w:sz w:val="22"/>
                <w:szCs w:val="22"/>
                <w:lang w:val="en-US" w:eastAsia="zh-CN"/>
              </w:rPr>
            </w:pPr>
            <w:r>
              <w:rPr>
                <w:rFonts w:hint="eastAsia" w:ascii="宋体" w:hAnsi="宋体" w:eastAsia="宋体" w:cs="宋体"/>
                <w:b/>
                <w:sz w:val="22"/>
                <w:szCs w:val="22"/>
                <w:lang w:val="en-US" w:eastAsia="zh-CN"/>
              </w:rPr>
              <w:t>1.70</w:t>
            </w:r>
          </w:p>
        </w:tc>
        <w:tc>
          <w:tcPr>
            <w:tcW w:w="780" w:type="dxa"/>
            <w:tcBorders>
              <w:top w:val="single" w:color="auto" w:sz="4" w:space="0"/>
              <w:left w:val="single" w:color="auto" w:sz="4" w:space="0"/>
              <w:bottom w:val="single" w:color="auto" w:sz="4" w:space="0"/>
              <w:right w:val="single" w:color="auto" w:sz="4" w:space="0"/>
            </w:tcBorders>
            <w:noWrap/>
            <w:vAlign w:val="center"/>
          </w:tcPr>
          <w:p w14:paraId="13D2AD8D">
            <w:pPr>
              <w:pStyle w:val="77"/>
              <w:spacing w:line="240" w:lineRule="auto"/>
              <w:ind w:right="-354" w:firstLine="221" w:firstLineChars="100"/>
              <w:jc w:val="both"/>
              <w:rPr>
                <w:rFonts w:hint="eastAsia" w:ascii="宋体" w:hAnsi="宋体" w:eastAsia="宋体" w:cs="宋体"/>
                <w:b/>
                <w:sz w:val="22"/>
                <w:szCs w:val="22"/>
              </w:rPr>
            </w:pPr>
            <w:r>
              <w:rPr>
                <w:rFonts w:hint="eastAsia" w:ascii="宋体" w:hAnsi="宋体" w:eastAsia="宋体" w:cs="宋体"/>
                <w:b/>
                <w:sz w:val="22"/>
                <w:szCs w:val="22"/>
              </w:rPr>
              <w:t>26</w:t>
            </w:r>
          </w:p>
        </w:tc>
        <w:tc>
          <w:tcPr>
            <w:tcW w:w="1702" w:type="dxa"/>
            <w:tcBorders>
              <w:top w:val="single" w:color="auto" w:sz="4" w:space="0"/>
              <w:left w:val="single" w:color="auto" w:sz="4" w:space="0"/>
              <w:bottom w:val="single" w:color="auto" w:sz="4" w:space="0"/>
              <w:right w:val="single" w:color="auto" w:sz="4" w:space="0"/>
            </w:tcBorders>
            <w:noWrap/>
            <w:vAlign w:val="center"/>
          </w:tcPr>
          <w:p w14:paraId="3AA12687">
            <w:pPr>
              <w:pStyle w:val="77"/>
              <w:tabs>
                <w:tab w:val="left" w:pos="4032"/>
              </w:tabs>
              <w:spacing w:line="240" w:lineRule="auto"/>
              <w:ind w:left="-342" w:right="-354"/>
              <w:jc w:val="center"/>
              <w:rPr>
                <w:rFonts w:hint="eastAsia" w:ascii="宋体" w:hAnsi="宋体" w:eastAsia="宋体" w:cs="宋体"/>
                <w:b/>
                <w:sz w:val="22"/>
                <w:szCs w:val="22"/>
              </w:rPr>
            </w:pPr>
            <w:r>
              <w:rPr>
                <w:rFonts w:hint="eastAsia" w:ascii="宋体" w:hAnsi="宋体" w:eastAsia="宋体" w:cs="宋体"/>
                <w:b/>
                <w:sz w:val="22"/>
                <w:szCs w:val="22"/>
              </w:rPr>
              <w:t>病员裤</w:t>
            </w:r>
          </w:p>
        </w:tc>
        <w:tc>
          <w:tcPr>
            <w:tcW w:w="1234" w:type="dxa"/>
            <w:tcBorders>
              <w:top w:val="single" w:color="auto" w:sz="4" w:space="0"/>
              <w:left w:val="single" w:color="auto" w:sz="4" w:space="0"/>
              <w:bottom w:val="single" w:color="auto" w:sz="4" w:space="0"/>
              <w:right w:val="single" w:color="auto" w:sz="4" w:space="0"/>
            </w:tcBorders>
            <w:noWrap/>
            <w:vAlign w:val="center"/>
          </w:tcPr>
          <w:p w14:paraId="45A29B87">
            <w:pPr>
              <w:pStyle w:val="77"/>
              <w:spacing w:line="240" w:lineRule="auto"/>
              <w:ind w:left="-342" w:right="-354"/>
              <w:jc w:val="center"/>
              <w:rPr>
                <w:rFonts w:hint="eastAsia" w:ascii="宋体" w:hAnsi="宋体" w:eastAsia="宋体" w:cs="宋体"/>
                <w:b/>
                <w:sz w:val="22"/>
                <w:szCs w:val="22"/>
              </w:rPr>
            </w:pPr>
            <w:r>
              <w:rPr>
                <w:rFonts w:hint="eastAsia" w:ascii="宋体" w:hAnsi="宋体" w:eastAsia="宋体" w:cs="宋体"/>
                <w:b/>
                <w:sz w:val="22"/>
                <w:szCs w:val="22"/>
              </w:rPr>
              <w:t>1</w:t>
            </w:r>
          </w:p>
        </w:tc>
        <w:tc>
          <w:tcPr>
            <w:tcW w:w="1134" w:type="dxa"/>
            <w:tcBorders>
              <w:top w:val="single" w:color="auto" w:sz="4" w:space="0"/>
              <w:left w:val="single" w:color="auto" w:sz="4" w:space="0"/>
              <w:bottom w:val="single" w:color="auto" w:sz="4" w:space="0"/>
              <w:right w:val="single" w:color="auto" w:sz="4" w:space="0"/>
            </w:tcBorders>
            <w:noWrap/>
            <w:vAlign w:val="center"/>
          </w:tcPr>
          <w:p w14:paraId="6047BFFD">
            <w:pPr>
              <w:pStyle w:val="77"/>
              <w:spacing w:line="240" w:lineRule="auto"/>
              <w:ind w:left="-342" w:right="-354"/>
              <w:jc w:val="center"/>
              <w:rPr>
                <w:rFonts w:hint="eastAsia" w:ascii="宋体" w:hAnsi="宋体" w:eastAsia="宋体" w:cs="宋体"/>
                <w:b/>
                <w:color w:val="auto"/>
                <w:sz w:val="22"/>
                <w:szCs w:val="22"/>
                <w:lang w:val="en-US" w:eastAsia="zh-CN"/>
              </w:rPr>
            </w:pPr>
            <w:r>
              <w:rPr>
                <w:rFonts w:hint="eastAsia" w:ascii="宋体" w:hAnsi="宋体" w:eastAsia="宋体" w:cs="宋体"/>
                <w:b/>
                <w:color w:val="auto"/>
                <w:sz w:val="22"/>
                <w:szCs w:val="22"/>
                <w:lang w:val="en-US" w:eastAsia="zh-CN"/>
              </w:rPr>
              <w:t>1.10</w:t>
            </w:r>
          </w:p>
        </w:tc>
      </w:tr>
      <w:tr w14:paraId="32C20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2" w:hRule="atLeast"/>
        </w:trPr>
        <w:tc>
          <w:tcPr>
            <w:tcW w:w="709" w:type="dxa"/>
            <w:tcBorders>
              <w:top w:val="single" w:color="auto" w:sz="4" w:space="0"/>
              <w:left w:val="single" w:color="auto" w:sz="4" w:space="0"/>
              <w:bottom w:val="single" w:color="auto" w:sz="4" w:space="0"/>
              <w:right w:val="single" w:color="auto" w:sz="4" w:space="0"/>
            </w:tcBorders>
            <w:noWrap/>
            <w:vAlign w:val="center"/>
          </w:tcPr>
          <w:p w14:paraId="2526E877">
            <w:pPr>
              <w:spacing w:line="240" w:lineRule="auto"/>
              <w:jc w:val="center"/>
              <w:rPr>
                <w:rFonts w:hint="eastAsia" w:ascii="宋体" w:hAnsi="宋体" w:eastAsia="宋体" w:cs="宋体"/>
                <w:b/>
                <w:color w:val="000000"/>
                <w:kern w:val="0"/>
                <w:sz w:val="22"/>
                <w:szCs w:val="22"/>
              </w:rPr>
            </w:pPr>
            <w:r>
              <w:rPr>
                <w:rFonts w:hint="eastAsia" w:ascii="宋体" w:hAnsi="宋体" w:eastAsia="宋体" w:cs="宋体"/>
                <w:b/>
                <w:color w:val="000000"/>
                <w:kern w:val="0"/>
                <w:sz w:val="22"/>
                <w:szCs w:val="22"/>
              </w:rPr>
              <w:t>5</w:t>
            </w:r>
          </w:p>
        </w:tc>
        <w:tc>
          <w:tcPr>
            <w:tcW w:w="1418" w:type="dxa"/>
            <w:tcBorders>
              <w:top w:val="single" w:color="auto" w:sz="4" w:space="0"/>
              <w:left w:val="single" w:color="auto" w:sz="4" w:space="0"/>
              <w:bottom w:val="single" w:color="auto" w:sz="4" w:space="0"/>
              <w:right w:val="single" w:color="auto" w:sz="4" w:space="0"/>
            </w:tcBorders>
            <w:noWrap/>
            <w:vAlign w:val="center"/>
          </w:tcPr>
          <w:p w14:paraId="6D3D6498">
            <w:pPr>
              <w:pStyle w:val="77"/>
              <w:tabs>
                <w:tab w:val="left" w:pos="4032"/>
              </w:tabs>
              <w:spacing w:line="240" w:lineRule="auto"/>
              <w:ind w:left="-342" w:right="-354"/>
              <w:jc w:val="center"/>
              <w:rPr>
                <w:rFonts w:hint="eastAsia" w:ascii="宋体" w:hAnsi="宋体" w:eastAsia="宋体" w:cs="宋体"/>
                <w:b/>
                <w:sz w:val="22"/>
                <w:szCs w:val="22"/>
              </w:rPr>
            </w:pPr>
            <w:r>
              <w:rPr>
                <w:rFonts w:hint="eastAsia" w:ascii="宋体" w:hAnsi="宋体" w:eastAsia="宋体" w:cs="宋体"/>
                <w:b/>
                <w:sz w:val="22"/>
                <w:szCs w:val="22"/>
              </w:rPr>
              <w:t>婴儿被褥套</w:t>
            </w:r>
          </w:p>
        </w:tc>
        <w:tc>
          <w:tcPr>
            <w:tcW w:w="1559" w:type="dxa"/>
            <w:tcBorders>
              <w:top w:val="single" w:color="auto" w:sz="4" w:space="0"/>
              <w:left w:val="single" w:color="auto" w:sz="4" w:space="0"/>
              <w:bottom w:val="single" w:color="auto" w:sz="4" w:space="0"/>
              <w:right w:val="single" w:color="auto" w:sz="4" w:space="0"/>
            </w:tcBorders>
            <w:noWrap/>
            <w:vAlign w:val="center"/>
          </w:tcPr>
          <w:p w14:paraId="3DBFF6AE">
            <w:pPr>
              <w:pStyle w:val="77"/>
              <w:spacing w:line="240" w:lineRule="auto"/>
              <w:ind w:left="-342" w:right="-354"/>
              <w:jc w:val="center"/>
              <w:rPr>
                <w:rFonts w:hint="eastAsia" w:ascii="宋体" w:hAnsi="宋体" w:eastAsia="宋体" w:cs="宋体"/>
                <w:b/>
                <w:sz w:val="22"/>
                <w:szCs w:val="22"/>
              </w:rPr>
            </w:pPr>
            <w:r>
              <w:rPr>
                <w:rFonts w:hint="eastAsia" w:ascii="宋体" w:hAnsi="宋体" w:eastAsia="宋体" w:cs="宋体"/>
                <w:b/>
                <w:sz w:val="22"/>
                <w:szCs w:val="22"/>
              </w:rPr>
              <w:t>1</w:t>
            </w:r>
          </w:p>
        </w:tc>
        <w:tc>
          <w:tcPr>
            <w:tcW w:w="962" w:type="dxa"/>
            <w:tcBorders>
              <w:top w:val="single" w:color="auto" w:sz="4" w:space="0"/>
              <w:left w:val="single" w:color="auto" w:sz="4" w:space="0"/>
              <w:bottom w:val="single" w:color="auto" w:sz="4" w:space="0"/>
              <w:right w:val="single" w:color="auto" w:sz="4" w:space="0"/>
            </w:tcBorders>
            <w:noWrap/>
            <w:vAlign w:val="center"/>
          </w:tcPr>
          <w:p w14:paraId="4A6FA5E2">
            <w:pPr>
              <w:pStyle w:val="77"/>
              <w:spacing w:line="240" w:lineRule="auto"/>
              <w:ind w:left="-342" w:right="-354"/>
              <w:jc w:val="center"/>
              <w:rPr>
                <w:rFonts w:hint="eastAsia" w:ascii="宋体" w:hAnsi="宋体" w:eastAsia="宋体" w:cs="宋体"/>
                <w:b/>
                <w:sz w:val="22"/>
                <w:szCs w:val="22"/>
                <w:lang w:val="en-US" w:eastAsia="zh-CN"/>
              </w:rPr>
            </w:pPr>
            <w:r>
              <w:rPr>
                <w:rFonts w:hint="eastAsia" w:ascii="宋体" w:hAnsi="宋体" w:eastAsia="宋体" w:cs="宋体"/>
                <w:b/>
                <w:sz w:val="22"/>
                <w:szCs w:val="22"/>
                <w:lang w:val="en-US" w:eastAsia="zh-CN"/>
              </w:rPr>
              <w:t>1.70</w:t>
            </w:r>
          </w:p>
        </w:tc>
        <w:tc>
          <w:tcPr>
            <w:tcW w:w="780" w:type="dxa"/>
            <w:tcBorders>
              <w:top w:val="single" w:color="auto" w:sz="4" w:space="0"/>
              <w:left w:val="single" w:color="auto" w:sz="4" w:space="0"/>
              <w:bottom w:val="single" w:color="auto" w:sz="4" w:space="0"/>
              <w:right w:val="single" w:color="auto" w:sz="4" w:space="0"/>
            </w:tcBorders>
            <w:noWrap/>
            <w:vAlign w:val="center"/>
          </w:tcPr>
          <w:p w14:paraId="5C3D73D6">
            <w:pPr>
              <w:pStyle w:val="77"/>
              <w:spacing w:line="240" w:lineRule="auto"/>
              <w:ind w:right="-354" w:firstLine="221" w:firstLineChars="100"/>
              <w:jc w:val="both"/>
              <w:rPr>
                <w:rFonts w:hint="eastAsia" w:ascii="宋体" w:hAnsi="宋体" w:eastAsia="宋体" w:cs="宋体"/>
                <w:b/>
                <w:sz w:val="22"/>
                <w:szCs w:val="22"/>
              </w:rPr>
            </w:pPr>
            <w:r>
              <w:rPr>
                <w:rFonts w:hint="eastAsia" w:ascii="宋体" w:hAnsi="宋体" w:eastAsia="宋体" w:cs="宋体"/>
                <w:b/>
                <w:sz w:val="22"/>
                <w:szCs w:val="22"/>
              </w:rPr>
              <w:t>27</w:t>
            </w:r>
          </w:p>
        </w:tc>
        <w:tc>
          <w:tcPr>
            <w:tcW w:w="1702" w:type="dxa"/>
            <w:tcBorders>
              <w:top w:val="single" w:color="auto" w:sz="4" w:space="0"/>
              <w:left w:val="single" w:color="auto" w:sz="4" w:space="0"/>
              <w:bottom w:val="single" w:color="auto" w:sz="4" w:space="0"/>
              <w:right w:val="single" w:color="auto" w:sz="4" w:space="0"/>
            </w:tcBorders>
            <w:noWrap/>
            <w:vAlign w:val="center"/>
          </w:tcPr>
          <w:p w14:paraId="6411A69F">
            <w:pPr>
              <w:spacing w:line="240" w:lineRule="auto"/>
              <w:jc w:val="center"/>
              <w:rPr>
                <w:rFonts w:hint="eastAsia" w:ascii="宋体" w:hAnsi="宋体" w:eastAsia="宋体" w:cs="宋体"/>
                <w:b/>
                <w:color w:val="000000"/>
                <w:kern w:val="0"/>
                <w:sz w:val="22"/>
                <w:szCs w:val="22"/>
              </w:rPr>
            </w:pPr>
            <w:r>
              <w:rPr>
                <w:rFonts w:hint="eastAsia" w:ascii="宋体" w:hAnsi="宋体" w:eastAsia="宋体" w:cs="宋体"/>
                <w:b/>
                <w:color w:val="000000"/>
                <w:kern w:val="0"/>
                <w:sz w:val="22"/>
                <w:szCs w:val="22"/>
              </w:rPr>
              <w:t>工作服</w:t>
            </w:r>
          </w:p>
        </w:tc>
        <w:tc>
          <w:tcPr>
            <w:tcW w:w="1234" w:type="dxa"/>
            <w:tcBorders>
              <w:top w:val="single" w:color="auto" w:sz="4" w:space="0"/>
              <w:left w:val="single" w:color="auto" w:sz="4" w:space="0"/>
              <w:bottom w:val="single" w:color="auto" w:sz="4" w:space="0"/>
              <w:right w:val="single" w:color="auto" w:sz="4" w:space="0"/>
            </w:tcBorders>
            <w:noWrap/>
            <w:vAlign w:val="center"/>
          </w:tcPr>
          <w:p w14:paraId="4E620F53">
            <w:pPr>
              <w:pStyle w:val="77"/>
              <w:spacing w:line="240" w:lineRule="auto"/>
              <w:ind w:left="-342" w:right="-354"/>
              <w:jc w:val="center"/>
              <w:rPr>
                <w:rFonts w:hint="eastAsia" w:ascii="宋体" w:hAnsi="宋体" w:eastAsia="宋体" w:cs="宋体"/>
                <w:b/>
                <w:sz w:val="22"/>
                <w:szCs w:val="22"/>
              </w:rPr>
            </w:pPr>
            <w:r>
              <w:rPr>
                <w:rFonts w:hint="eastAsia" w:ascii="宋体" w:hAnsi="宋体" w:eastAsia="宋体" w:cs="宋体"/>
                <w:b/>
                <w:sz w:val="22"/>
                <w:szCs w:val="22"/>
              </w:rPr>
              <w:t>1</w:t>
            </w:r>
          </w:p>
        </w:tc>
        <w:tc>
          <w:tcPr>
            <w:tcW w:w="1134" w:type="dxa"/>
            <w:tcBorders>
              <w:top w:val="single" w:color="auto" w:sz="4" w:space="0"/>
              <w:left w:val="single" w:color="auto" w:sz="4" w:space="0"/>
              <w:bottom w:val="single" w:color="auto" w:sz="4" w:space="0"/>
              <w:right w:val="single" w:color="auto" w:sz="4" w:space="0"/>
            </w:tcBorders>
            <w:noWrap/>
            <w:vAlign w:val="center"/>
          </w:tcPr>
          <w:p w14:paraId="67A0A075">
            <w:pPr>
              <w:spacing w:line="240" w:lineRule="auto"/>
              <w:jc w:val="center"/>
              <w:rPr>
                <w:rFonts w:hint="eastAsia" w:ascii="宋体" w:hAnsi="宋体" w:eastAsia="宋体" w:cs="宋体"/>
                <w:b/>
                <w:color w:val="000000"/>
                <w:kern w:val="0"/>
                <w:sz w:val="22"/>
                <w:szCs w:val="22"/>
                <w:lang w:val="en-US" w:eastAsia="zh-CN"/>
              </w:rPr>
            </w:pPr>
            <w:r>
              <w:rPr>
                <w:rFonts w:hint="eastAsia" w:ascii="宋体" w:hAnsi="宋体" w:eastAsia="宋体" w:cs="宋体"/>
                <w:b/>
                <w:color w:val="000000"/>
                <w:kern w:val="0"/>
                <w:sz w:val="22"/>
                <w:szCs w:val="22"/>
                <w:lang w:val="en-US" w:eastAsia="zh-CN"/>
              </w:rPr>
              <w:t>3.70</w:t>
            </w:r>
          </w:p>
        </w:tc>
      </w:tr>
      <w:tr w14:paraId="119F4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2" w:hRule="atLeast"/>
        </w:trPr>
        <w:tc>
          <w:tcPr>
            <w:tcW w:w="709" w:type="dxa"/>
            <w:tcBorders>
              <w:top w:val="single" w:color="auto" w:sz="4" w:space="0"/>
              <w:left w:val="single" w:color="auto" w:sz="4" w:space="0"/>
              <w:bottom w:val="single" w:color="auto" w:sz="4" w:space="0"/>
              <w:right w:val="single" w:color="auto" w:sz="4" w:space="0"/>
            </w:tcBorders>
            <w:noWrap/>
            <w:vAlign w:val="center"/>
          </w:tcPr>
          <w:p w14:paraId="6ED62EE9">
            <w:pPr>
              <w:spacing w:line="240" w:lineRule="auto"/>
              <w:jc w:val="center"/>
              <w:rPr>
                <w:rFonts w:hint="eastAsia" w:ascii="宋体" w:hAnsi="宋体" w:eastAsia="宋体" w:cs="宋体"/>
                <w:b/>
                <w:color w:val="000000"/>
                <w:kern w:val="0"/>
                <w:sz w:val="22"/>
                <w:szCs w:val="22"/>
              </w:rPr>
            </w:pPr>
            <w:r>
              <w:rPr>
                <w:rFonts w:hint="eastAsia" w:ascii="宋体" w:hAnsi="宋体" w:eastAsia="宋体" w:cs="宋体"/>
                <w:b/>
                <w:color w:val="000000"/>
                <w:kern w:val="0"/>
                <w:sz w:val="22"/>
                <w:szCs w:val="22"/>
              </w:rPr>
              <w:t>6</w:t>
            </w:r>
          </w:p>
        </w:tc>
        <w:tc>
          <w:tcPr>
            <w:tcW w:w="1418" w:type="dxa"/>
            <w:tcBorders>
              <w:top w:val="single" w:color="auto" w:sz="4" w:space="0"/>
              <w:left w:val="single" w:color="auto" w:sz="4" w:space="0"/>
              <w:bottom w:val="single" w:color="auto" w:sz="4" w:space="0"/>
              <w:right w:val="single" w:color="auto" w:sz="4" w:space="0"/>
            </w:tcBorders>
            <w:noWrap/>
            <w:vAlign w:val="center"/>
          </w:tcPr>
          <w:p w14:paraId="1F7C0031">
            <w:pPr>
              <w:spacing w:line="240" w:lineRule="auto"/>
              <w:jc w:val="center"/>
              <w:rPr>
                <w:rFonts w:hint="eastAsia" w:ascii="宋体" w:hAnsi="宋体" w:eastAsia="宋体" w:cs="宋体"/>
                <w:b/>
                <w:color w:val="000000"/>
                <w:kern w:val="0"/>
                <w:sz w:val="22"/>
                <w:szCs w:val="22"/>
              </w:rPr>
            </w:pPr>
            <w:r>
              <w:rPr>
                <w:rFonts w:hint="eastAsia" w:ascii="宋体" w:hAnsi="宋体" w:eastAsia="宋体" w:cs="宋体"/>
                <w:b/>
                <w:color w:val="000000"/>
                <w:kern w:val="0"/>
                <w:sz w:val="22"/>
                <w:szCs w:val="22"/>
              </w:rPr>
              <w:t>床罩子</w:t>
            </w:r>
          </w:p>
        </w:tc>
        <w:tc>
          <w:tcPr>
            <w:tcW w:w="1559" w:type="dxa"/>
            <w:tcBorders>
              <w:top w:val="single" w:color="auto" w:sz="4" w:space="0"/>
              <w:left w:val="single" w:color="auto" w:sz="4" w:space="0"/>
              <w:bottom w:val="single" w:color="auto" w:sz="4" w:space="0"/>
              <w:right w:val="single" w:color="auto" w:sz="4" w:space="0"/>
            </w:tcBorders>
            <w:noWrap/>
            <w:vAlign w:val="center"/>
          </w:tcPr>
          <w:p w14:paraId="593A5F65">
            <w:pPr>
              <w:pStyle w:val="77"/>
              <w:spacing w:line="240" w:lineRule="auto"/>
              <w:ind w:left="-342" w:right="-354"/>
              <w:jc w:val="center"/>
              <w:rPr>
                <w:rFonts w:hint="eastAsia" w:ascii="宋体" w:hAnsi="宋体" w:eastAsia="宋体" w:cs="宋体"/>
                <w:b/>
                <w:sz w:val="22"/>
                <w:szCs w:val="22"/>
              </w:rPr>
            </w:pPr>
            <w:r>
              <w:rPr>
                <w:rFonts w:hint="eastAsia" w:ascii="宋体" w:hAnsi="宋体" w:eastAsia="宋体" w:cs="宋体"/>
                <w:b/>
                <w:sz w:val="22"/>
                <w:szCs w:val="22"/>
              </w:rPr>
              <w:t>1</w:t>
            </w:r>
          </w:p>
        </w:tc>
        <w:tc>
          <w:tcPr>
            <w:tcW w:w="962" w:type="dxa"/>
            <w:tcBorders>
              <w:top w:val="single" w:color="auto" w:sz="4" w:space="0"/>
              <w:left w:val="single" w:color="auto" w:sz="4" w:space="0"/>
              <w:bottom w:val="single" w:color="auto" w:sz="4" w:space="0"/>
              <w:right w:val="single" w:color="auto" w:sz="4" w:space="0"/>
            </w:tcBorders>
            <w:noWrap/>
            <w:vAlign w:val="center"/>
          </w:tcPr>
          <w:p w14:paraId="1337A2BE">
            <w:pPr>
              <w:spacing w:line="240" w:lineRule="auto"/>
              <w:jc w:val="center"/>
              <w:rPr>
                <w:rFonts w:hint="eastAsia" w:ascii="宋体" w:hAnsi="宋体" w:eastAsia="宋体" w:cs="宋体"/>
                <w:b/>
                <w:color w:val="000000"/>
                <w:kern w:val="0"/>
                <w:sz w:val="22"/>
                <w:szCs w:val="22"/>
                <w:lang w:val="en-US" w:eastAsia="zh-CN"/>
              </w:rPr>
            </w:pPr>
            <w:r>
              <w:rPr>
                <w:rFonts w:hint="eastAsia" w:ascii="宋体" w:hAnsi="宋体" w:eastAsia="宋体" w:cs="宋体"/>
                <w:b/>
                <w:color w:val="000000"/>
                <w:kern w:val="0"/>
                <w:sz w:val="22"/>
                <w:szCs w:val="22"/>
                <w:lang w:val="en-US" w:eastAsia="zh-CN"/>
              </w:rPr>
              <w:t>3.00</w:t>
            </w:r>
          </w:p>
        </w:tc>
        <w:tc>
          <w:tcPr>
            <w:tcW w:w="780" w:type="dxa"/>
            <w:tcBorders>
              <w:top w:val="single" w:color="auto" w:sz="4" w:space="0"/>
              <w:left w:val="single" w:color="auto" w:sz="4" w:space="0"/>
              <w:bottom w:val="single" w:color="auto" w:sz="4" w:space="0"/>
              <w:right w:val="single" w:color="auto" w:sz="4" w:space="0"/>
            </w:tcBorders>
            <w:noWrap/>
            <w:vAlign w:val="center"/>
          </w:tcPr>
          <w:p w14:paraId="0064A3B2">
            <w:pPr>
              <w:pStyle w:val="77"/>
              <w:spacing w:line="240" w:lineRule="auto"/>
              <w:ind w:right="-354" w:firstLine="221" w:firstLineChars="100"/>
              <w:jc w:val="both"/>
              <w:rPr>
                <w:rFonts w:hint="eastAsia" w:ascii="宋体" w:hAnsi="宋体" w:eastAsia="宋体" w:cs="宋体"/>
                <w:b/>
                <w:sz w:val="22"/>
                <w:szCs w:val="22"/>
              </w:rPr>
            </w:pPr>
            <w:r>
              <w:rPr>
                <w:rFonts w:hint="eastAsia" w:ascii="宋体" w:hAnsi="宋体" w:eastAsia="宋体" w:cs="宋体"/>
                <w:b/>
                <w:sz w:val="22"/>
                <w:szCs w:val="22"/>
              </w:rPr>
              <w:t>28</w:t>
            </w:r>
          </w:p>
        </w:tc>
        <w:tc>
          <w:tcPr>
            <w:tcW w:w="1702" w:type="dxa"/>
            <w:tcBorders>
              <w:top w:val="single" w:color="auto" w:sz="4" w:space="0"/>
              <w:left w:val="single" w:color="auto" w:sz="4" w:space="0"/>
              <w:bottom w:val="single" w:color="auto" w:sz="4" w:space="0"/>
              <w:right w:val="single" w:color="auto" w:sz="4" w:space="0"/>
            </w:tcBorders>
            <w:noWrap/>
            <w:vAlign w:val="center"/>
          </w:tcPr>
          <w:p w14:paraId="51AEF300">
            <w:pPr>
              <w:pStyle w:val="77"/>
              <w:tabs>
                <w:tab w:val="left" w:pos="4032"/>
              </w:tabs>
              <w:spacing w:line="240" w:lineRule="auto"/>
              <w:ind w:left="-342" w:right="-354"/>
              <w:jc w:val="center"/>
              <w:rPr>
                <w:rFonts w:hint="eastAsia" w:ascii="宋体" w:hAnsi="宋体" w:eastAsia="宋体" w:cs="宋体"/>
                <w:b/>
                <w:sz w:val="22"/>
                <w:szCs w:val="22"/>
              </w:rPr>
            </w:pPr>
            <w:r>
              <w:rPr>
                <w:rFonts w:hint="eastAsia" w:ascii="宋体" w:hAnsi="宋体" w:eastAsia="宋体" w:cs="宋体"/>
                <w:b/>
                <w:sz w:val="22"/>
                <w:szCs w:val="22"/>
              </w:rPr>
              <w:t>工作裤</w:t>
            </w:r>
          </w:p>
        </w:tc>
        <w:tc>
          <w:tcPr>
            <w:tcW w:w="1234" w:type="dxa"/>
            <w:tcBorders>
              <w:top w:val="single" w:color="auto" w:sz="4" w:space="0"/>
              <w:left w:val="single" w:color="auto" w:sz="4" w:space="0"/>
              <w:bottom w:val="single" w:color="auto" w:sz="4" w:space="0"/>
              <w:right w:val="single" w:color="auto" w:sz="4" w:space="0"/>
            </w:tcBorders>
            <w:noWrap/>
            <w:vAlign w:val="center"/>
          </w:tcPr>
          <w:p w14:paraId="1B2142B1">
            <w:pPr>
              <w:pStyle w:val="77"/>
              <w:spacing w:line="240" w:lineRule="auto"/>
              <w:ind w:left="-342" w:right="-354"/>
              <w:jc w:val="center"/>
              <w:rPr>
                <w:rFonts w:hint="eastAsia" w:ascii="宋体" w:hAnsi="宋体" w:eastAsia="宋体" w:cs="宋体"/>
                <w:b/>
                <w:sz w:val="22"/>
                <w:szCs w:val="22"/>
              </w:rPr>
            </w:pPr>
            <w:r>
              <w:rPr>
                <w:rFonts w:hint="eastAsia" w:ascii="宋体" w:hAnsi="宋体" w:eastAsia="宋体" w:cs="宋体"/>
                <w:b/>
                <w:sz w:val="22"/>
                <w:szCs w:val="22"/>
              </w:rPr>
              <w:t>1</w:t>
            </w:r>
          </w:p>
        </w:tc>
        <w:tc>
          <w:tcPr>
            <w:tcW w:w="1134" w:type="dxa"/>
            <w:tcBorders>
              <w:top w:val="single" w:color="auto" w:sz="4" w:space="0"/>
              <w:left w:val="single" w:color="auto" w:sz="4" w:space="0"/>
              <w:bottom w:val="single" w:color="auto" w:sz="4" w:space="0"/>
              <w:right w:val="single" w:color="auto" w:sz="4" w:space="0"/>
            </w:tcBorders>
            <w:noWrap/>
            <w:vAlign w:val="center"/>
          </w:tcPr>
          <w:p w14:paraId="1082F4FC">
            <w:pPr>
              <w:pStyle w:val="77"/>
              <w:spacing w:line="240" w:lineRule="auto"/>
              <w:ind w:left="-342" w:right="-354"/>
              <w:jc w:val="center"/>
              <w:rPr>
                <w:rFonts w:hint="eastAsia" w:ascii="宋体" w:hAnsi="宋体" w:eastAsia="宋体" w:cs="宋体"/>
                <w:b/>
                <w:sz w:val="22"/>
                <w:szCs w:val="22"/>
                <w:lang w:val="en-US" w:eastAsia="zh-CN"/>
              </w:rPr>
            </w:pPr>
            <w:r>
              <w:rPr>
                <w:rFonts w:hint="eastAsia" w:ascii="宋体" w:hAnsi="宋体" w:eastAsia="宋体" w:cs="宋体"/>
                <w:b/>
                <w:sz w:val="22"/>
                <w:szCs w:val="22"/>
                <w:lang w:val="en-US" w:eastAsia="zh-CN"/>
              </w:rPr>
              <w:t>2.30</w:t>
            </w:r>
          </w:p>
        </w:tc>
      </w:tr>
      <w:tr w14:paraId="11F9CB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2" w:hRule="atLeast"/>
        </w:trPr>
        <w:tc>
          <w:tcPr>
            <w:tcW w:w="709" w:type="dxa"/>
            <w:tcBorders>
              <w:top w:val="single" w:color="auto" w:sz="4" w:space="0"/>
              <w:left w:val="single" w:color="auto" w:sz="4" w:space="0"/>
              <w:bottom w:val="single" w:color="auto" w:sz="4" w:space="0"/>
              <w:right w:val="single" w:color="auto" w:sz="4" w:space="0"/>
            </w:tcBorders>
            <w:noWrap/>
            <w:vAlign w:val="center"/>
          </w:tcPr>
          <w:p w14:paraId="5F7CB3A7">
            <w:pPr>
              <w:spacing w:line="240" w:lineRule="auto"/>
              <w:jc w:val="center"/>
              <w:rPr>
                <w:rFonts w:hint="eastAsia" w:ascii="宋体" w:hAnsi="宋体" w:eastAsia="宋体" w:cs="宋体"/>
                <w:b/>
                <w:color w:val="000000"/>
                <w:kern w:val="0"/>
                <w:sz w:val="22"/>
                <w:szCs w:val="22"/>
              </w:rPr>
            </w:pPr>
            <w:r>
              <w:rPr>
                <w:rFonts w:hint="eastAsia" w:ascii="宋体" w:hAnsi="宋体" w:eastAsia="宋体" w:cs="宋体"/>
                <w:b/>
                <w:color w:val="000000"/>
                <w:kern w:val="0"/>
                <w:sz w:val="22"/>
                <w:szCs w:val="22"/>
              </w:rPr>
              <w:t>7</w:t>
            </w:r>
          </w:p>
        </w:tc>
        <w:tc>
          <w:tcPr>
            <w:tcW w:w="1418" w:type="dxa"/>
            <w:tcBorders>
              <w:top w:val="single" w:color="auto" w:sz="4" w:space="0"/>
              <w:left w:val="single" w:color="auto" w:sz="4" w:space="0"/>
              <w:bottom w:val="single" w:color="auto" w:sz="4" w:space="0"/>
              <w:right w:val="single" w:color="auto" w:sz="4" w:space="0"/>
            </w:tcBorders>
            <w:noWrap/>
            <w:vAlign w:val="center"/>
          </w:tcPr>
          <w:p w14:paraId="7ED93EE0">
            <w:pPr>
              <w:spacing w:line="240" w:lineRule="auto"/>
              <w:jc w:val="center"/>
              <w:rPr>
                <w:rFonts w:hint="eastAsia" w:ascii="宋体" w:hAnsi="宋体" w:eastAsia="宋体" w:cs="宋体"/>
                <w:b/>
                <w:color w:val="000000"/>
                <w:kern w:val="0"/>
                <w:sz w:val="22"/>
                <w:szCs w:val="22"/>
              </w:rPr>
            </w:pPr>
            <w:r>
              <w:rPr>
                <w:rFonts w:hint="eastAsia" w:ascii="宋体" w:hAnsi="宋体" w:eastAsia="宋体" w:cs="宋体"/>
                <w:b/>
                <w:color w:val="000000"/>
                <w:kern w:val="0"/>
                <w:sz w:val="22"/>
                <w:szCs w:val="22"/>
              </w:rPr>
              <w:t xml:space="preserve">婴儿推车套    </w:t>
            </w:r>
          </w:p>
        </w:tc>
        <w:tc>
          <w:tcPr>
            <w:tcW w:w="1559" w:type="dxa"/>
            <w:tcBorders>
              <w:top w:val="single" w:color="auto" w:sz="4" w:space="0"/>
              <w:left w:val="single" w:color="auto" w:sz="4" w:space="0"/>
              <w:bottom w:val="single" w:color="auto" w:sz="4" w:space="0"/>
              <w:right w:val="single" w:color="auto" w:sz="4" w:space="0"/>
            </w:tcBorders>
            <w:noWrap/>
            <w:vAlign w:val="center"/>
          </w:tcPr>
          <w:p w14:paraId="20FE1491">
            <w:pPr>
              <w:pStyle w:val="77"/>
              <w:spacing w:line="240" w:lineRule="auto"/>
              <w:ind w:left="-342" w:right="-354"/>
              <w:jc w:val="center"/>
              <w:rPr>
                <w:rFonts w:hint="eastAsia" w:ascii="宋体" w:hAnsi="宋体" w:eastAsia="宋体" w:cs="宋体"/>
                <w:b/>
                <w:sz w:val="22"/>
                <w:szCs w:val="22"/>
              </w:rPr>
            </w:pPr>
            <w:r>
              <w:rPr>
                <w:rFonts w:hint="eastAsia" w:ascii="宋体" w:hAnsi="宋体" w:eastAsia="宋体" w:cs="宋体"/>
                <w:b/>
                <w:sz w:val="22"/>
                <w:szCs w:val="22"/>
              </w:rPr>
              <w:t>1</w:t>
            </w:r>
          </w:p>
        </w:tc>
        <w:tc>
          <w:tcPr>
            <w:tcW w:w="962" w:type="dxa"/>
            <w:tcBorders>
              <w:top w:val="single" w:color="auto" w:sz="4" w:space="0"/>
              <w:left w:val="single" w:color="auto" w:sz="4" w:space="0"/>
              <w:bottom w:val="single" w:color="auto" w:sz="4" w:space="0"/>
              <w:right w:val="single" w:color="auto" w:sz="4" w:space="0"/>
            </w:tcBorders>
            <w:noWrap/>
            <w:vAlign w:val="center"/>
          </w:tcPr>
          <w:p w14:paraId="4F479781">
            <w:pPr>
              <w:spacing w:line="240" w:lineRule="auto"/>
              <w:jc w:val="center"/>
              <w:rPr>
                <w:rFonts w:hint="eastAsia" w:ascii="宋体" w:hAnsi="宋体" w:eastAsia="宋体" w:cs="宋体"/>
                <w:b/>
                <w:color w:val="000000"/>
                <w:kern w:val="0"/>
                <w:sz w:val="22"/>
                <w:szCs w:val="22"/>
                <w:lang w:val="en-US" w:eastAsia="zh-CN"/>
              </w:rPr>
            </w:pPr>
            <w:r>
              <w:rPr>
                <w:rFonts w:hint="eastAsia" w:ascii="宋体" w:hAnsi="宋体" w:eastAsia="宋体" w:cs="宋体"/>
                <w:b/>
                <w:color w:val="000000"/>
                <w:kern w:val="0"/>
                <w:sz w:val="22"/>
                <w:szCs w:val="22"/>
                <w:lang w:val="en-US" w:eastAsia="zh-CN"/>
              </w:rPr>
              <w:t>1.70</w:t>
            </w:r>
          </w:p>
        </w:tc>
        <w:tc>
          <w:tcPr>
            <w:tcW w:w="780" w:type="dxa"/>
            <w:tcBorders>
              <w:top w:val="single" w:color="auto" w:sz="4" w:space="0"/>
              <w:left w:val="single" w:color="auto" w:sz="4" w:space="0"/>
              <w:bottom w:val="single" w:color="auto" w:sz="4" w:space="0"/>
              <w:right w:val="single" w:color="auto" w:sz="4" w:space="0"/>
            </w:tcBorders>
            <w:noWrap/>
            <w:vAlign w:val="center"/>
          </w:tcPr>
          <w:p w14:paraId="0CA4698D">
            <w:pPr>
              <w:pStyle w:val="77"/>
              <w:spacing w:line="240" w:lineRule="auto"/>
              <w:ind w:right="-354" w:firstLine="221" w:firstLineChars="100"/>
              <w:jc w:val="both"/>
              <w:rPr>
                <w:rFonts w:hint="eastAsia" w:ascii="宋体" w:hAnsi="宋体" w:eastAsia="宋体" w:cs="宋体"/>
                <w:b/>
                <w:sz w:val="22"/>
                <w:szCs w:val="22"/>
              </w:rPr>
            </w:pPr>
            <w:r>
              <w:rPr>
                <w:rFonts w:hint="eastAsia" w:ascii="宋体" w:hAnsi="宋体" w:eastAsia="宋体" w:cs="宋体"/>
                <w:b/>
                <w:sz w:val="22"/>
                <w:szCs w:val="22"/>
              </w:rPr>
              <w:t>29</w:t>
            </w:r>
          </w:p>
        </w:tc>
        <w:tc>
          <w:tcPr>
            <w:tcW w:w="1702" w:type="dxa"/>
            <w:tcBorders>
              <w:top w:val="single" w:color="auto" w:sz="4" w:space="0"/>
              <w:left w:val="single" w:color="auto" w:sz="4" w:space="0"/>
              <w:bottom w:val="single" w:color="auto" w:sz="4" w:space="0"/>
              <w:right w:val="single" w:color="auto" w:sz="4" w:space="0"/>
            </w:tcBorders>
            <w:noWrap/>
            <w:vAlign w:val="center"/>
          </w:tcPr>
          <w:p w14:paraId="412FC9DE">
            <w:pPr>
              <w:pStyle w:val="77"/>
              <w:tabs>
                <w:tab w:val="left" w:pos="4032"/>
              </w:tabs>
              <w:spacing w:line="240" w:lineRule="auto"/>
              <w:ind w:left="-342" w:right="-354"/>
              <w:jc w:val="center"/>
              <w:rPr>
                <w:rFonts w:hint="eastAsia" w:ascii="宋体" w:hAnsi="宋体" w:eastAsia="宋体" w:cs="宋体"/>
                <w:b/>
                <w:sz w:val="22"/>
                <w:szCs w:val="22"/>
                <w:lang w:eastAsia="zh-CN"/>
              </w:rPr>
            </w:pPr>
            <w:r>
              <w:rPr>
                <w:rFonts w:hint="eastAsia" w:ascii="宋体" w:hAnsi="宋体" w:eastAsia="宋体" w:cs="宋体"/>
                <w:b/>
                <w:sz w:val="22"/>
                <w:szCs w:val="22"/>
              </w:rPr>
              <w:t>隔离</w:t>
            </w:r>
            <w:r>
              <w:rPr>
                <w:rFonts w:hint="eastAsia" w:ascii="宋体" w:hAnsi="宋体" w:eastAsia="宋体" w:cs="宋体"/>
                <w:b/>
                <w:sz w:val="22"/>
                <w:szCs w:val="22"/>
                <w:lang w:eastAsia="zh-CN"/>
              </w:rPr>
              <w:t>（反穿）</w:t>
            </w:r>
            <w:r>
              <w:rPr>
                <w:rFonts w:hint="eastAsia" w:ascii="宋体" w:hAnsi="宋体" w:eastAsia="宋体" w:cs="宋体"/>
                <w:b/>
                <w:sz w:val="22"/>
                <w:szCs w:val="22"/>
              </w:rPr>
              <w:t>衣</w:t>
            </w:r>
          </w:p>
        </w:tc>
        <w:tc>
          <w:tcPr>
            <w:tcW w:w="1234" w:type="dxa"/>
            <w:tcBorders>
              <w:top w:val="single" w:color="auto" w:sz="4" w:space="0"/>
              <w:left w:val="single" w:color="auto" w:sz="4" w:space="0"/>
              <w:bottom w:val="single" w:color="auto" w:sz="4" w:space="0"/>
              <w:right w:val="single" w:color="auto" w:sz="4" w:space="0"/>
            </w:tcBorders>
            <w:noWrap/>
            <w:vAlign w:val="center"/>
          </w:tcPr>
          <w:p w14:paraId="3A67E286">
            <w:pPr>
              <w:pStyle w:val="77"/>
              <w:spacing w:line="240" w:lineRule="auto"/>
              <w:ind w:left="-342" w:right="-354"/>
              <w:jc w:val="center"/>
              <w:rPr>
                <w:rFonts w:hint="eastAsia" w:ascii="宋体" w:hAnsi="宋体" w:eastAsia="宋体" w:cs="宋体"/>
                <w:b/>
                <w:sz w:val="22"/>
                <w:szCs w:val="22"/>
              </w:rPr>
            </w:pPr>
            <w:r>
              <w:rPr>
                <w:rFonts w:hint="eastAsia" w:ascii="宋体" w:hAnsi="宋体" w:eastAsia="宋体" w:cs="宋体"/>
                <w:b/>
                <w:sz w:val="22"/>
                <w:szCs w:val="22"/>
              </w:rPr>
              <w:t>1</w:t>
            </w:r>
          </w:p>
        </w:tc>
        <w:tc>
          <w:tcPr>
            <w:tcW w:w="1134" w:type="dxa"/>
            <w:tcBorders>
              <w:top w:val="single" w:color="auto" w:sz="4" w:space="0"/>
              <w:left w:val="single" w:color="auto" w:sz="4" w:space="0"/>
              <w:bottom w:val="single" w:color="auto" w:sz="4" w:space="0"/>
              <w:right w:val="single" w:color="auto" w:sz="4" w:space="0"/>
            </w:tcBorders>
            <w:noWrap/>
            <w:vAlign w:val="center"/>
          </w:tcPr>
          <w:p w14:paraId="2803E45D">
            <w:pPr>
              <w:pStyle w:val="77"/>
              <w:spacing w:line="240" w:lineRule="auto"/>
              <w:ind w:left="-342" w:right="-354"/>
              <w:jc w:val="center"/>
              <w:rPr>
                <w:rFonts w:hint="eastAsia" w:ascii="宋体" w:hAnsi="宋体" w:eastAsia="宋体" w:cs="宋体"/>
                <w:b/>
                <w:sz w:val="22"/>
                <w:szCs w:val="22"/>
                <w:lang w:val="en-US" w:eastAsia="zh-CN"/>
              </w:rPr>
            </w:pPr>
            <w:r>
              <w:rPr>
                <w:rFonts w:hint="eastAsia" w:ascii="宋体" w:hAnsi="宋体" w:eastAsia="宋体" w:cs="宋体"/>
                <w:b/>
                <w:sz w:val="22"/>
                <w:szCs w:val="22"/>
                <w:lang w:val="en-US" w:eastAsia="zh-CN"/>
              </w:rPr>
              <w:t>3.10</w:t>
            </w:r>
          </w:p>
        </w:tc>
      </w:tr>
      <w:tr w14:paraId="76203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2" w:hRule="atLeast"/>
        </w:trPr>
        <w:tc>
          <w:tcPr>
            <w:tcW w:w="709" w:type="dxa"/>
            <w:tcBorders>
              <w:top w:val="single" w:color="auto" w:sz="4" w:space="0"/>
              <w:left w:val="single" w:color="auto" w:sz="4" w:space="0"/>
              <w:bottom w:val="single" w:color="auto" w:sz="4" w:space="0"/>
              <w:right w:val="single" w:color="auto" w:sz="4" w:space="0"/>
            </w:tcBorders>
            <w:noWrap/>
            <w:vAlign w:val="center"/>
          </w:tcPr>
          <w:p w14:paraId="54A9ABDE">
            <w:pPr>
              <w:spacing w:line="240" w:lineRule="auto"/>
              <w:jc w:val="center"/>
              <w:rPr>
                <w:rFonts w:hint="eastAsia" w:ascii="宋体" w:hAnsi="宋体" w:eastAsia="宋体" w:cs="宋体"/>
                <w:b/>
                <w:color w:val="000000"/>
                <w:kern w:val="0"/>
                <w:sz w:val="22"/>
                <w:szCs w:val="22"/>
              </w:rPr>
            </w:pPr>
            <w:r>
              <w:rPr>
                <w:rFonts w:hint="eastAsia" w:ascii="宋体" w:hAnsi="宋体" w:eastAsia="宋体" w:cs="宋体"/>
                <w:b/>
                <w:color w:val="000000"/>
                <w:kern w:val="0"/>
                <w:sz w:val="22"/>
                <w:szCs w:val="22"/>
              </w:rPr>
              <w:t>8</w:t>
            </w:r>
          </w:p>
        </w:tc>
        <w:tc>
          <w:tcPr>
            <w:tcW w:w="1418" w:type="dxa"/>
            <w:tcBorders>
              <w:top w:val="single" w:color="auto" w:sz="4" w:space="0"/>
              <w:left w:val="single" w:color="auto" w:sz="4" w:space="0"/>
              <w:bottom w:val="single" w:color="auto" w:sz="4" w:space="0"/>
              <w:right w:val="single" w:color="auto" w:sz="4" w:space="0"/>
            </w:tcBorders>
            <w:noWrap/>
            <w:vAlign w:val="center"/>
          </w:tcPr>
          <w:p w14:paraId="5661CA07">
            <w:pPr>
              <w:spacing w:line="240" w:lineRule="auto"/>
              <w:jc w:val="center"/>
              <w:rPr>
                <w:rFonts w:hint="eastAsia" w:ascii="宋体" w:hAnsi="宋体" w:eastAsia="宋体" w:cs="宋体"/>
                <w:b/>
                <w:color w:val="000000"/>
                <w:kern w:val="0"/>
                <w:sz w:val="22"/>
                <w:szCs w:val="22"/>
              </w:rPr>
            </w:pPr>
            <w:r>
              <w:rPr>
                <w:rFonts w:hint="eastAsia" w:ascii="宋体" w:hAnsi="宋体" w:eastAsia="宋体" w:cs="宋体"/>
                <w:b/>
                <w:color w:val="000000"/>
                <w:kern w:val="0"/>
                <w:sz w:val="22"/>
                <w:szCs w:val="22"/>
              </w:rPr>
              <w:t xml:space="preserve">太空被        夏凉被   </w:t>
            </w:r>
          </w:p>
        </w:tc>
        <w:tc>
          <w:tcPr>
            <w:tcW w:w="1559" w:type="dxa"/>
            <w:tcBorders>
              <w:top w:val="single" w:color="auto" w:sz="4" w:space="0"/>
              <w:left w:val="single" w:color="auto" w:sz="4" w:space="0"/>
              <w:bottom w:val="single" w:color="auto" w:sz="4" w:space="0"/>
              <w:right w:val="single" w:color="auto" w:sz="4" w:space="0"/>
            </w:tcBorders>
            <w:noWrap/>
            <w:vAlign w:val="center"/>
          </w:tcPr>
          <w:p w14:paraId="4CE54D80">
            <w:pPr>
              <w:pStyle w:val="77"/>
              <w:spacing w:line="240" w:lineRule="auto"/>
              <w:ind w:left="-342" w:right="-354"/>
              <w:jc w:val="center"/>
              <w:rPr>
                <w:rFonts w:hint="eastAsia" w:ascii="宋体" w:hAnsi="宋体" w:eastAsia="宋体" w:cs="宋体"/>
                <w:b/>
                <w:sz w:val="22"/>
                <w:szCs w:val="22"/>
              </w:rPr>
            </w:pPr>
            <w:r>
              <w:rPr>
                <w:rFonts w:hint="eastAsia" w:ascii="宋体" w:hAnsi="宋体" w:eastAsia="宋体" w:cs="宋体"/>
                <w:b/>
                <w:sz w:val="22"/>
                <w:szCs w:val="22"/>
              </w:rPr>
              <w:t>1</w:t>
            </w:r>
          </w:p>
        </w:tc>
        <w:tc>
          <w:tcPr>
            <w:tcW w:w="962" w:type="dxa"/>
            <w:tcBorders>
              <w:top w:val="single" w:color="auto" w:sz="4" w:space="0"/>
              <w:left w:val="single" w:color="auto" w:sz="4" w:space="0"/>
              <w:bottom w:val="single" w:color="auto" w:sz="4" w:space="0"/>
              <w:right w:val="single" w:color="auto" w:sz="4" w:space="0"/>
            </w:tcBorders>
            <w:noWrap/>
            <w:vAlign w:val="center"/>
          </w:tcPr>
          <w:p w14:paraId="2B078058">
            <w:pPr>
              <w:spacing w:line="240" w:lineRule="auto"/>
              <w:jc w:val="center"/>
              <w:rPr>
                <w:rFonts w:hint="eastAsia" w:ascii="宋体" w:hAnsi="宋体" w:eastAsia="宋体" w:cs="宋体"/>
                <w:b/>
                <w:color w:val="000000"/>
                <w:kern w:val="0"/>
                <w:sz w:val="22"/>
                <w:szCs w:val="22"/>
                <w:lang w:val="en-US" w:eastAsia="zh-CN"/>
              </w:rPr>
            </w:pPr>
            <w:r>
              <w:rPr>
                <w:rFonts w:hint="eastAsia" w:ascii="宋体" w:hAnsi="宋体" w:eastAsia="宋体" w:cs="宋体"/>
                <w:b/>
                <w:color w:val="000000"/>
                <w:kern w:val="0"/>
                <w:sz w:val="22"/>
                <w:szCs w:val="22"/>
                <w:lang w:val="en-US" w:eastAsia="zh-CN"/>
              </w:rPr>
              <w:t>8.00</w:t>
            </w:r>
          </w:p>
        </w:tc>
        <w:tc>
          <w:tcPr>
            <w:tcW w:w="780" w:type="dxa"/>
            <w:tcBorders>
              <w:top w:val="single" w:color="auto" w:sz="4" w:space="0"/>
              <w:left w:val="single" w:color="auto" w:sz="4" w:space="0"/>
              <w:bottom w:val="single" w:color="auto" w:sz="4" w:space="0"/>
              <w:right w:val="single" w:color="auto" w:sz="4" w:space="0"/>
            </w:tcBorders>
            <w:noWrap/>
            <w:vAlign w:val="center"/>
          </w:tcPr>
          <w:p w14:paraId="51E661A7">
            <w:pPr>
              <w:pStyle w:val="77"/>
              <w:spacing w:line="240" w:lineRule="auto"/>
              <w:ind w:right="-354" w:firstLine="221" w:firstLineChars="100"/>
              <w:jc w:val="both"/>
              <w:rPr>
                <w:rFonts w:hint="eastAsia" w:ascii="宋体" w:hAnsi="宋体" w:eastAsia="宋体" w:cs="宋体"/>
                <w:b/>
                <w:sz w:val="22"/>
                <w:szCs w:val="22"/>
              </w:rPr>
            </w:pPr>
            <w:r>
              <w:rPr>
                <w:rFonts w:hint="eastAsia" w:ascii="宋体" w:hAnsi="宋体" w:eastAsia="宋体" w:cs="宋体"/>
                <w:b/>
                <w:sz w:val="22"/>
                <w:szCs w:val="22"/>
              </w:rPr>
              <w:t>30</w:t>
            </w:r>
          </w:p>
        </w:tc>
        <w:tc>
          <w:tcPr>
            <w:tcW w:w="1702" w:type="dxa"/>
            <w:tcBorders>
              <w:top w:val="single" w:color="auto" w:sz="4" w:space="0"/>
              <w:left w:val="single" w:color="auto" w:sz="4" w:space="0"/>
              <w:bottom w:val="single" w:color="auto" w:sz="4" w:space="0"/>
              <w:right w:val="single" w:color="auto" w:sz="4" w:space="0"/>
            </w:tcBorders>
            <w:noWrap/>
            <w:vAlign w:val="center"/>
          </w:tcPr>
          <w:p w14:paraId="5509663B">
            <w:pPr>
              <w:pStyle w:val="77"/>
              <w:tabs>
                <w:tab w:val="left" w:pos="4032"/>
              </w:tabs>
              <w:spacing w:line="240" w:lineRule="auto"/>
              <w:ind w:left="-342" w:right="-354"/>
              <w:jc w:val="center"/>
              <w:rPr>
                <w:rFonts w:hint="eastAsia" w:ascii="宋体" w:hAnsi="宋体" w:eastAsia="宋体" w:cs="宋体"/>
                <w:b/>
                <w:sz w:val="22"/>
                <w:szCs w:val="22"/>
              </w:rPr>
            </w:pPr>
            <w:r>
              <w:rPr>
                <w:rFonts w:hint="eastAsia" w:ascii="宋体" w:hAnsi="宋体" w:eastAsia="宋体" w:cs="宋体"/>
                <w:b/>
                <w:sz w:val="22"/>
                <w:szCs w:val="22"/>
              </w:rPr>
              <w:t>手术衣</w:t>
            </w:r>
          </w:p>
        </w:tc>
        <w:tc>
          <w:tcPr>
            <w:tcW w:w="1234" w:type="dxa"/>
            <w:tcBorders>
              <w:top w:val="single" w:color="auto" w:sz="4" w:space="0"/>
              <w:left w:val="single" w:color="auto" w:sz="4" w:space="0"/>
              <w:bottom w:val="single" w:color="auto" w:sz="4" w:space="0"/>
              <w:right w:val="single" w:color="auto" w:sz="4" w:space="0"/>
            </w:tcBorders>
            <w:noWrap/>
            <w:vAlign w:val="center"/>
          </w:tcPr>
          <w:p w14:paraId="14ED478A">
            <w:pPr>
              <w:pStyle w:val="77"/>
              <w:spacing w:line="240" w:lineRule="auto"/>
              <w:ind w:left="-342" w:right="-354"/>
              <w:jc w:val="center"/>
              <w:rPr>
                <w:rFonts w:hint="eastAsia" w:ascii="宋体" w:hAnsi="宋体" w:eastAsia="宋体" w:cs="宋体"/>
                <w:b/>
                <w:sz w:val="22"/>
                <w:szCs w:val="22"/>
              </w:rPr>
            </w:pPr>
            <w:r>
              <w:rPr>
                <w:rFonts w:hint="eastAsia" w:ascii="宋体" w:hAnsi="宋体" w:eastAsia="宋体" w:cs="宋体"/>
                <w:b/>
                <w:sz w:val="22"/>
                <w:szCs w:val="22"/>
              </w:rPr>
              <w:t>1</w:t>
            </w:r>
          </w:p>
        </w:tc>
        <w:tc>
          <w:tcPr>
            <w:tcW w:w="1134" w:type="dxa"/>
            <w:tcBorders>
              <w:top w:val="single" w:color="auto" w:sz="4" w:space="0"/>
              <w:left w:val="single" w:color="auto" w:sz="4" w:space="0"/>
              <w:bottom w:val="single" w:color="auto" w:sz="4" w:space="0"/>
              <w:right w:val="single" w:color="auto" w:sz="4" w:space="0"/>
            </w:tcBorders>
            <w:noWrap/>
            <w:vAlign w:val="center"/>
          </w:tcPr>
          <w:p w14:paraId="0ECD7CF8">
            <w:pPr>
              <w:pStyle w:val="77"/>
              <w:spacing w:line="240" w:lineRule="auto"/>
              <w:ind w:left="-342" w:right="-354"/>
              <w:jc w:val="center"/>
              <w:rPr>
                <w:rFonts w:hint="eastAsia" w:ascii="宋体" w:hAnsi="宋体" w:eastAsia="宋体" w:cs="宋体"/>
                <w:b/>
                <w:sz w:val="22"/>
                <w:szCs w:val="22"/>
                <w:lang w:val="en-US" w:eastAsia="zh-CN"/>
              </w:rPr>
            </w:pPr>
            <w:r>
              <w:rPr>
                <w:rFonts w:hint="eastAsia" w:ascii="宋体" w:hAnsi="宋体" w:eastAsia="宋体" w:cs="宋体"/>
                <w:b/>
                <w:sz w:val="22"/>
                <w:szCs w:val="22"/>
                <w:lang w:val="en-US" w:eastAsia="zh-CN"/>
              </w:rPr>
              <w:t>3.10</w:t>
            </w:r>
          </w:p>
        </w:tc>
      </w:tr>
      <w:tr w14:paraId="3C287B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709" w:type="dxa"/>
            <w:tcBorders>
              <w:top w:val="single" w:color="auto" w:sz="4" w:space="0"/>
              <w:left w:val="single" w:color="auto" w:sz="4" w:space="0"/>
              <w:bottom w:val="single" w:color="auto" w:sz="4" w:space="0"/>
              <w:right w:val="single" w:color="auto" w:sz="4" w:space="0"/>
            </w:tcBorders>
            <w:noWrap/>
            <w:vAlign w:val="center"/>
          </w:tcPr>
          <w:p w14:paraId="0950A172">
            <w:pPr>
              <w:spacing w:line="240" w:lineRule="auto"/>
              <w:jc w:val="center"/>
              <w:rPr>
                <w:rFonts w:hint="eastAsia" w:ascii="宋体" w:hAnsi="宋体" w:eastAsia="宋体" w:cs="宋体"/>
                <w:b/>
                <w:color w:val="000000"/>
                <w:kern w:val="0"/>
                <w:sz w:val="22"/>
                <w:szCs w:val="22"/>
              </w:rPr>
            </w:pPr>
            <w:r>
              <w:rPr>
                <w:rFonts w:hint="eastAsia" w:ascii="宋体" w:hAnsi="宋体" w:eastAsia="宋体" w:cs="宋体"/>
                <w:b/>
                <w:color w:val="000000"/>
                <w:kern w:val="0"/>
                <w:sz w:val="22"/>
                <w:szCs w:val="22"/>
              </w:rPr>
              <w:t>9</w:t>
            </w:r>
          </w:p>
        </w:tc>
        <w:tc>
          <w:tcPr>
            <w:tcW w:w="1418" w:type="dxa"/>
            <w:tcBorders>
              <w:top w:val="single" w:color="auto" w:sz="4" w:space="0"/>
              <w:left w:val="single" w:color="auto" w:sz="4" w:space="0"/>
              <w:bottom w:val="single" w:color="auto" w:sz="4" w:space="0"/>
              <w:right w:val="single" w:color="auto" w:sz="4" w:space="0"/>
            </w:tcBorders>
            <w:noWrap/>
            <w:vAlign w:val="center"/>
          </w:tcPr>
          <w:p w14:paraId="55C0E1B7">
            <w:pPr>
              <w:spacing w:line="240" w:lineRule="auto"/>
              <w:jc w:val="center"/>
              <w:rPr>
                <w:rFonts w:hint="eastAsia" w:ascii="宋体" w:hAnsi="宋体" w:eastAsia="宋体" w:cs="宋体"/>
                <w:b/>
                <w:color w:val="000000"/>
                <w:kern w:val="0"/>
                <w:sz w:val="22"/>
                <w:szCs w:val="22"/>
              </w:rPr>
            </w:pPr>
            <w:r>
              <w:rPr>
                <w:rFonts w:hint="eastAsia" w:ascii="宋体" w:hAnsi="宋体" w:eastAsia="宋体" w:cs="宋体"/>
                <w:b/>
                <w:color w:val="000000"/>
                <w:kern w:val="0"/>
                <w:sz w:val="22"/>
                <w:szCs w:val="22"/>
              </w:rPr>
              <w:t>褥子（棉胎）</w:t>
            </w:r>
          </w:p>
        </w:tc>
        <w:tc>
          <w:tcPr>
            <w:tcW w:w="1559" w:type="dxa"/>
            <w:tcBorders>
              <w:top w:val="single" w:color="auto" w:sz="4" w:space="0"/>
              <w:left w:val="single" w:color="auto" w:sz="4" w:space="0"/>
              <w:bottom w:val="single" w:color="auto" w:sz="4" w:space="0"/>
              <w:right w:val="single" w:color="auto" w:sz="4" w:space="0"/>
            </w:tcBorders>
            <w:noWrap/>
            <w:vAlign w:val="center"/>
          </w:tcPr>
          <w:p w14:paraId="296B2F28">
            <w:pPr>
              <w:pStyle w:val="77"/>
              <w:spacing w:line="240" w:lineRule="auto"/>
              <w:ind w:left="-342" w:right="-354"/>
              <w:jc w:val="center"/>
              <w:rPr>
                <w:rFonts w:hint="eastAsia" w:ascii="宋体" w:hAnsi="宋体" w:eastAsia="宋体" w:cs="宋体"/>
                <w:b/>
                <w:sz w:val="22"/>
                <w:szCs w:val="22"/>
              </w:rPr>
            </w:pPr>
            <w:r>
              <w:rPr>
                <w:rFonts w:hint="eastAsia" w:ascii="宋体" w:hAnsi="宋体" w:eastAsia="宋体" w:cs="宋体"/>
                <w:b/>
                <w:sz w:val="22"/>
                <w:szCs w:val="22"/>
              </w:rPr>
              <w:t>1</w:t>
            </w:r>
          </w:p>
        </w:tc>
        <w:tc>
          <w:tcPr>
            <w:tcW w:w="962" w:type="dxa"/>
            <w:tcBorders>
              <w:top w:val="single" w:color="auto" w:sz="4" w:space="0"/>
              <w:left w:val="single" w:color="auto" w:sz="4" w:space="0"/>
              <w:bottom w:val="single" w:color="auto" w:sz="4" w:space="0"/>
              <w:right w:val="single" w:color="auto" w:sz="4" w:space="0"/>
            </w:tcBorders>
            <w:noWrap/>
            <w:vAlign w:val="center"/>
          </w:tcPr>
          <w:p w14:paraId="1126A386">
            <w:pPr>
              <w:spacing w:line="240" w:lineRule="auto"/>
              <w:jc w:val="center"/>
              <w:rPr>
                <w:rFonts w:hint="eastAsia" w:ascii="宋体" w:hAnsi="宋体" w:eastAsia="宋体" w:cs="宋体"/>
                <w:b/>
                <w:color w:val="000000"/>
                <w:kern w:val="0"/>
                <w:sz w:val="22"/>
                <w:szCs w:val="22"/>
                <w:lang w:val="en-US" w:eastAsia="zh-CN"/>
              </w:rPr>
            </w:pPr>
            <w:r>
              <w:rPr>
                <w:rFonts w:hint="eastAsia" w:ascii="宋体" w:hAnsi="宋体" w:eastAsia="宋体" w:cs="宋体"/>
                <w:b/>
                <w:color w:val="000000"/>
                <w:kern w:val="0"/>
                <w:sz w:val="22"/>
                <w:szCs w:val="22"/>
                <w:lang w:val="en-US" w:eastAsia="zh-CN"/>
              </w:rPr>
              <w:t>15.00</w:t>
            </w:r>
          </w:p>
        </w:tc>
        <w:tc>
          <w:tcPr>
            <w:tcW w:w="780" w:type="dxa"/>
            <w:tcBorders>
              <w:top w:val="single" w:color="auto" w:sz="4" w:space="0"/>
              <w:left w:val="single" w:color="auto" w:sz="4" w:space="0"/>
              <w:bottom w:val="single" w:color="auto" w:sz="4" w:space="0"/>
              <w:right w:val="single" w:color="auto" w:sz="4" w:space="0"/>
            </w:tcBorders>
            <w:noWrap/>
            <w:vAlign w:val="center"/>
          </w:tcPr>
          <w:p w14:paraId="3ED497C6">
            <w:pPr>
              <w:pStyle w:val="77"/>
              <w:spacing w:line="240" w:lineRule="auto"/>
              <w:ind w:right="-354" w:firstLine="221" w:firstLineChars="100"/>
              <w:jc w:val="both"/>
              <w:rPr>
                <w:rFonts w:hint="eastAsia" w:ascii="宋体" w:hAnsi="宋体" w:eastAsia="宋体" w:cs="宋体"/>
                <w:b/>
                <w:sz w:val="22"/>
                <w:szCs w:val="22"/>
              </w:rPr>
            </w:pPr>
            <w:r>
              <w:rPr>
                <w:rFonts w:hint="eastAsia" w:ascii="宋体" w:hAnsi="宋体" w:eastAsia="宋体" w:cs="宋体"/>
                <w:b/>
                <w:sz w:val="22"/>
                <w:szCs w:val="22"/>
              </w:rPr>
              <w:t>31</w:t>
            </w:r>
          </w:p>
        </w:tc>
        <w:tc>
          <w:tcPr>
            <w:tcW w:w="1702" w:type="dxa"/>
            <w:tcBorders>
              <w:top w:val="single" w:color="auto" w:sz="4" w:space="0"/>
              <w:left w:val="single" w:color="auto" w:sz="4" w:space="0"/>
              <w:bottom w:val="single" w:color="auto" w:sz="4" w:space="0"/>
              <w:right w:val="single" w:color="auto" w:sz="4" w:space="0"/>
            </w:tcBorders>
            <w:noWrap/>
            <w:vAlign w:val="center"/>
          </w:tcPr>
          <w:p w14:paraId="19A84106">
            <w:pPr>
              <w:pStyle w:val="77"/>
              <w:tabs>
                <w:tab w:val="left" w:pos="4032"/>
              </w:tabs>
              <w:spacing w:line="240" w:lineRule="auto"/>
              <w:ind w:left="-342" w:right="-354"/>
              <w:jc w:val="center"/>
              <w:rPr>
                <w:rFonts w:hint="eastAsia" w:ascii="宋体" w:hAnsi="宋体" w:eastAsia="宋体" w:cs="宋体"/>
                <w:b/>
                <w:sz w:val="22"/>
                <w:szCs w:val="22"/>
              </w:rPr>
            </w:pPr>
            <w:r>
              <w:rPr>
                <w:rFonts w:hint="eastAsia" w:ascii="宋体" w:hAnsi="宋体" w:eastAsia="宋体" w:cs="宋体"/>
                <w:b/>
                <w:sz w:val="22"/>
                <w:szCs w:val="22"/>
              </w:rPr>
              <w:t>洗手衣</w:t>
            </w:r>
          </w:p>
        </w:tc>
        <w:tc>
          <w:tcPr>
            <w:tcW w:w="1234" w:type="dxa"/>
            <w:tcBorders>
              <w:top w:val="single" w:color="auto" w:sz="4" w:space="0"/>
              <w:left w:val="single" w:color="auto" w:sz="4" w:space="0"/>
              <w:bottom w:val="single" w:color="auto" w:sz="4" w:space="0"/>
              <w:right w:val="single" w:color="auto" w:sz="4" w:space="0"/>
            </w:tcBorders>
            <w:noWrap/>
            <w:vAlign w:val="center"/>
          </w:tcPr>
          <w:p w14:paraId="06511C27">
            <w:pPr>
              <w:pStyle w:val="77"/>
              <w:spacing w:line="240" w:lineRule="auto"/>
              <w:ind w:left="-342" w:right="-354"/>
              <w:jc w:val="center"/>
              <w:rPr>
                <w:rFonts w:hint="eastAsia" w:ascii="宋体" w:hAnsi="宋体" w:eastAsia="宋体" w:cs="宋体"/>
                <w:b/>
                <w:sz w:val="22"/>
                <w:szCs w:val="22"/>
              </w:rPr>
            </w:pPr>
            <w:r>
              <w:rPr>
                <w:rFonts w:hint="eastAsia" w:ascii="宋体" w:hAnsi="宋体" w:eastAsia="宋体" w:cs="宋体"/>
                <w:b/>
                <w:sz w:val="22"/>
                <w:szCs w:val="22"/>
              </w:rPr>
              <w:t>1</w:t>
            </w:r>
          </w:p>
        </w:tc>
        <w:tc>
          <w:tcPr>
            <w:tcW w:w="1134" w:type="dxa"/>
            <w:tcBorders>
              <w:top w:val="single" w:color="auto" w:sz="4" w:space="0"/>
              <w:left w:val="single" w:color="auto" w:sz="4" w:space="0"/>
              <w:bottom w:val="single" w:color="auto" w:sz="4" w:space="0"/>
              <w:right w:val="single" w:color="auto" w:sz="4" w:space="0"/>
            </w:tcBorders>
            <w:noWrap/>
            <w:vAlign w:val="center"/>
          </w:tcPr>
          <w:p w14:paraId="6AE008C9">
            <w:pPr>
              <w:pStyle w:val="77"/>
              <w:spacing w:line="240" w:lineRule="auto"/>
              <w:ind w:left="-342" w:right="-354"/>
              <w:jc w:val="center"/>
              <w:rPr>
                <w:rFonts w:hint="eastAsia" w:ascii="宋体" w:hAnsi="宋体" w:eastAsia="宋体" w:cs="宋体"/>
                <w:b/>
                <w:sz w:val="22"/>
                <w:szCs w:val="22"/>
                <w:lang w:val="en-US" w:eastAsia="zh-CN"/>
              </w:rPr>
            </w:pPr>
            <w:r>
              <w:rPr>
                <w:rFonts w:hint="eastAsia" w:ascii="宋体" w:hAnsi="宋体" w:eastAsia="宋体" w:cs="宋体"/>
                <w:b/>
                <w:sz w:val="22"/>
                <w:szCs w:val="22"/>
                <w:lang w:val="en-US" w:eastAsia="zh-CN"/>
              </w:rPr>
              <w:t>2.90</w:t>
            </w:r>
          </w:p>
        </w:tc>
      </w:tr>
      <w:tr w14:paraId="01E395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2" w:hRule="atLeast"/>
        </w:trPr>
        <w:tc>
          <w:tcPr>
            <w:tcW w:w="709" w:type="dxa"/>
            <w:tcBorders>
              <w:top w:val="single" w:color="auto" w:sz="4" w:space="0"/>
              <w:left w:val="single" w:color="auto" w:sz="4" w:space="0"/>
              <w:bottom w:val="single" w:color="auto" w:sz="4" w:space="0"/>
              <w:right w:val="single" w:color="auto" w:sz="4" w:space="0"/>
            </w:tcBorders>
            <w:noWrap/>
            <w:vAlign w:val="center"/>
          </w:tcPr>
          <w:p w14:paraId="599B2EC2">
            <w:pPr>
              <w:spacing w:line="240" w:lineRule="auto"/>
              <w:jc w:val="center"/>
              <w:rPr>
                <w:rFonts w:hint="eastAsia" w:ascii="宋体" w:hAnsi="宋体" w:eastAsia="宋体" w:cs="宋体"/>
                <w:b/>
                <w:color w:val="000000"/>
                <w:kern w:val="0"/>
                <w:sz w:val="22"/>
                <w:szCs w:val="22"/>
              </w:rPr>
            </w:pPr>
            <w:r>
              <w:rPr>
                <w:rFonts w:hint="eastAsia" w:ascii="宋体" w:hAnsi="宋体" w:eastAsia="宋体" w:cs="宋体"/>
                <w:b/>
                <w:color w:val="000000"/>
                <w:kern w:val="0"/>
                <w:sz w:val="22"/>
                <w:szCs w:val="22"/>
              </w:rPr>
              <w:t>10</w:t>
            </w:r>
          </w:p>
        </w:tc>
        <w:tc>
          <w:tcPr>
            <w:tcW w:w="1418" w:type="dxa"/>
            <w:tcBorders>
              <w:top w:val="single" w:color="auto" w:sz="4" w:space="0"/>
              <w:left w:val="single" w:color="auto" w:sz="4" w:space="0"/>
              <w:bottom w:val="single" w:color="auto" w:sz="4" w:space="0"/>
              <w:right w:val="single" w:color="auto" w:sz="4" w:space="0"/>
            </w:tcBorders>
            <w:noWrap/>
            <w:vAlign w:val="center"/>
          </w:tcPr>
          <w:p w14:paraId="12FEBF08">
            <w:pPr>
              <w:spacing w:line="240" w:lineRule="auto"/>
              <w:jc w:val="center"/>
              <w:rPr>
                <w:rFonts w:hint="eastAsia" w:ascii="宋体" w:hAnsi="宋体" w:eastAsia="宋体" w:cs="宋体"/>
                <w:b/>
                <w:color w:val="000000"/>
                <w:kern w:val="0"/>
                <w:sz w:val="22"/>
                <w:szCs w:val="22"/>
              </w:rPr>
            </w:pPr>
            <w:r>
              <w:rPr>
                <w:rFonts w:hint="eastAsia" w:ascii="宋体" w:hAnsi="宋体" w:eastAsia="宋体" w:cs="宋体"/>
                <w:b/>
                <w:color w:val="000000"/>
                <w:kern w:val="0"/>
                <w:sz w:val="22"/>
                <w:szCs w:val="22"/>
              </w:rPr>
              <w:t>窗帘</w:t>
            </w:r>
          </w:p>
        </w:tc>
        <w:tc>
          <w:tcPr>
            <w:tcW w:w="1559" w:type="dxa"/>
            <w:tcBorders>
              <w:top w:val="single" w:color="auto" w:sz="4" w:space="0"/>
              <w:left w:val="single" w:color="auto" w:sz="4" w:space="0"/>
              <w:bottom w:val="single" w:color="auto" w:sz="4" w:space="0"/>
              <w:right w:val="single" w:color="auto" w:sz="4" w:space="0"/>
            </w:tcBorders>
            <w:noWrap/>
            <w:vAlign w:val="center"/>
          </w:tcPr>
          <w:p w14:paraId="3855B52C">
            <w:pPr>
              <w:pStyle w:val="77"/>
              <w:spacing w:line="240" w:lineRule="auto"/>
              <w:ind w:left="-342" w:right="-354"/>
              <w:jc w:val="center"/>
              <w:rPr>
                <w:rFonts w:hint="eastAsia" w:ascii="宋体" w:hAnsi="宋体" w:eastAsia="宋体" w:cs="宋体"/>
                <w:b/>
                <w:sz w:val="22"/>
                <w:szCs w:val="22"/>
              </w:rPr>
            </w:pPr>
            <w:r>
              <w:rPr>
                <w:rFonts w:hint="eastAsia" w:ascii="宋体" w:hAnsi="宋体" w:eastAsia="宋体" w:cs="宋体"/>
                <w:b/>
                <w:sz w:val="22"/>
                <w:szCs w:val="22"/>
              </w:rPr>
              <w:t>1</w:t>
            </w:r>
          </w:p>
        </w:tc>
        <w:tc>
          <w:tcPr>
            <w:tcW w:w="962" w:type="dxa"/>
            <w:tcBorders>
              <w:top w:val="single" w:color="auto" w:sz="4" w:space="0"/>
              <w:left w:val="single" w:color="auto" w:sz="4" w:space="0"/>
              <w:bottom w:val="single" w:color="auto" w:sz="4" w:space="0"/>
              <w:right w:val="single" w:color="auto" w:sz="4" w:space="0"/>
            </w:tcBorders>
            <w:noWrap/>
            <w:vAlign w:val="center"/>
          </w:tcPr>
          <w:p w14:paraId="7B319787">
            <w:pPr>
              <w:spacing w:line="240" w:lineRule="auto"/>
              <w:jc w:val="center"/>
              <w:rPr>
                <w:rFonts w:hint="eastAsia" w:ascii="宋体" w:hAnsi="宋体" w:eastAsia="宋体" w:cs="宋体"/>
                <w:b/>
                <w:color w:val="000000"/>
                <w:kern w:val="0"/>
                <w:sz w:val="22"/>
                <w:szCs w:val="22"/>
                <w:lang w:val="en-US" w:eastAsia="zh-CN"/>
              </w:rPr>
            </w:pPr>
            <w:r>
              <w:rPr>
                <w:rFonts w:hint="eastAsia" w:ascii="宋体" w:hAnsi="宋体" w:eastAsia="宋体" w:cs="宋体"/>
                <w:b/>
                <w:color w:val="000000"/>
                <w:kern w:val="0"/>
                <w:sz w:val="22"/>
                <w:szCs w:val="22"/>
                <w:lang w:val="en-US" w:eastAsia="zh-CN"/>
              </w:rPr>
              <w:t>5.00</w:t>
            </w:r>
          </w:p>
        </w:tc>
        <w:tc>
          <w:tcPr>
            <w:tcW w:w="780" w:type="dxa"/>
            <w:tcBorders>
              <w:top w:val="single" w:color="auto" w:sz="4" w:space="0"/>
              <w:left w:val="single" w:color="auto" w:sz="4" w:space="0"/>
              <w:bottom w:val="single" w:color="auto" w:sz="4" w:space="0"/>
              <w:right w:val="single" w:color="auto" w:sz="4" w:space="0"/>
            </w:tcBorders>
            <w:noWrap/>
            <w:vAlign w:val="center"/>
          </w:tcPr>
          <w:p w14:paraId="6DF27FA6">
            <w:pPr>
              <w:pStyle w:val="77"/>
              <w:spacing w:line="240" w:lineRule="auto"/>
              <w:ind w:right="-354" w:firstLine="221" w:firstLineChars="100"/>
              <w:jc w:val="both"/>
              <w:rPr>
                <w:rFonts w:hint="eastAsia" w:ascii="宋体" w:hAnsi="宋体" w:eastAsia="宋体" w:cs="宋体"/>
                <w:b/>
                <w:sz w:val="22"/>
                <w:szCs w:val="22"/>
              </w:rPr>
            </w:pPr>
            <w:r>
              <w:rPr>
                <w:rFonts w:hint="eastAsia" w:ascii="宋体" w:hAnsi="宋体" w:eastAsia="宋体" w:cs="宋体"/>
                <w:b/>
                <w:sz w:val="22"/>
                <w:szCs w:val="22"/>
              </w:rPr>
              <w:t>32</w:t>
            </w:r>
          </w:p>
        </w:tc>
        <w:tc>
          <w:tcPr>
            <w:tcW w:w="1702" w:type="dxa"/>
            <w:tcBorders>
              <w:top w:val="single" w:color="auto" w:sz="4" w:space="0"/>
              <w:left w:val="single" w:color="auto" w:sz="4" w:space="0"/>
              <w:bottom w:val="single" w:color="auto" w:sz="4" w:space="0"/>
              <w:right w:val="single" w:color="auto" w:sz="4" w:space="0"/>
            </w:tcBorders>
            <w:noWrap/>
            <w:vAlign w:val="center"/>
          </w:tcPr>
          <w:p w14:paraId="02083549">
            <w:pPr>
              <w:pStyle w:val="77"/>
              <w:tabs>
                <w:tab w:val="left" w:pos="4032"/>
              </w:tabs>
              <w:spacing w:line="240" w:lineRule="auto"/>
              <w:ind w:left="-342" w:right="-354"/>
              <w:jc w:val="center"/>
              <w:rPr>
                <w:rFonts w:hint="eastAsia" w:ascii="宋体" w:hAnsi="宋体" w:eastAsia="宋体" w:cs="宋体"/>
                <w:b/>
                <w:sz w:val="22"/>
                <w:szCs w:val="22"/>
              </w:rPr>
            </w:pPr>
            <w:r>
              <w:rPr>
                <w:rFonts w:hint="eastAsia" w:ascii="宋体" w:hAnsi="宋体" w:eastAsia="宋体" w:cs="宋体"/>
                <w:b/>
                <w:sz w:val="22"/>
                <w:szCs w:val="22"/>
              </w:rPr>
              <w:t>洗手裤</w:t>
            </w:r>
          </w:p>
        </w:tc>
        <w:tc>
          <w:tcPr>
            <w:tcW w:w="1234" w:type="dxa"/>
            <w:tcBorders>
              <w:top w:val="single" w:color="auto" w:sz="4" w:space="0"/>
              <w:left w:val="single" w:color="auto" w:sz="4" w:space="0"/>
              <w:bottom w:val="single" w:color="auto" w:sz="4" w:space="0"/>
              <w:right w:val="single" w:color="auto" w:sz="4" w:space="0"/>
            </w:tcBorders>
            <w:noWrap/>
            <w:vAlign w:val="center"/>
          </w:tcPr>
          <w:p w14:paraId="56ECFF98">
            <w:pPr>
              <w:pStyle w:val="77"/>
              <w:spacing w:line="240" w:lineRule="auto"/>
              <w:ind w:left="-342" w:right="-354"/>
              <w:jc w:val="center"/>
              <w:rPr>
                <w:rFonts w:hint="eastAsia" w:ascii="宋体" w:hAnsi="宋体" w:eastAsia="宋体" w:cs="宋体"/>
                <w:b/>
                <w:sz w:val="22"/>
                <w:szCs w:val="22"/>
              </w:rPr>
            </w:pPr>
            <w:r>
              <w:rPr>
                <w:rFonts w:hint="eastAsia" w:ascii="宋体" w:hAnsi="宋体" w:eastAsia="宋体" w:cs="宋体"/>
                <w:b/>
                <w:sz w:val="22"/>
                <w:szCs w:val="22"/>
              </w:rPr>
              <w:t>1</w:t>
            </w:r>
          </w:p>
        </w:tc>
        <w:tc>
          <w:tcPr>
            <w:tcW w:w="1134" w:type="dxa"/>
            <w:tcBorders>
              <w:top w:val="single" w:color="auto" w:sz="4" w:space="0"/>
              <w:left w:val="single" w:color="auto" w:sz="4" w:space="0"/>
              <w:bottom w:val="single" w:color="auto" w:sz="4" w:space="0"/>
              <w:right w:val="single" w:color="auto" w:sz="4" w:space="0"/>
            </w:tcBorders>
            <w:noWrap/>
            <w:vAlign w:val="center"/>
          </w:tcPr>
          <w:p w14:paraId="2BBFFF0A">
            <w:pPr>
              <w:pStyle w:val="77"/>
              <w:spacing w:line="240" w:lineRule="auto"/>
              <w:ind w:left="-342" w:right="-354"/>
              <w:jc w:val="center"/>
              <w:rPr>
                <w:rFonts w:hint="eastAsia" w:ascii="宋体" w:hAnsi="宋体" w:eastAsia="宋体" w:cs="宋体"/>
                <w:b/>
                <w:sz w:val="22"/>
                <w:szCs w:val="22"/>
                <w:lang w:val="en-US" w:eastAsia="zh-CN"/>
              </w:rPr>
            </w:pPr>
            <w:r>
              <w:rPr>
                <w:rFonts w:hint="eastAsia" w:ascii="宋体" w:hAnsi="宋体" w:eastAsia="宋体" w:cs="宋体"/>
                <w:b/>
                <w:sz w:val="22"/>
                <w:szCs w:val="22"/>
                <w:lang w:val="en-US" w:eastAsia="zh-CN"/>
              </w:rPr>
              <w:t>1.80</w:t>
            </w:r>
          </w:p>
        </w:tc>
      </w:tr>
      <w:tr w14:paraId="6FC18E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709" w:type="dxa"/>
            <w:tcBorders>
              <w:top w:val="single" w:color="auto" w:sz="4" w:space="0"/>
              <w:left w:val="single" w:color="auto" w:sz="4" w:space="0"/>
              <w:bottom w:val="single" w:color="auto" w:sz="4" w:space="0"/>
              <w:right w:val="single" w:color="auto" w:sz="4" w:space="0"/>
            </w:tcBorders>
            <w:noWrap/>
            <w:vAlign w:val="center"/>
          </w:tcPr>
          <w:p w14:paraId="201C909D">
            <w:pPr>
              <w:spacing w:line="240" w:lineRule="auto"/>
              <w:jc w:val="center"/>
              <w:rPr>
                <w:rFonts w:hint="eastAsia" w:ascii="宋体" w:hAnsi="宋体" w:eastAsia="宋体" w:cs="宋体"/>
                <w:b/>
                <w:color w:val="000000"/>
                <w:kern w:val="0"/>
                <w:sz w:val="22"/>
                <w:szCs w:val="22"/>
              </w:rPr>
            </w:pPr>
            <w:r>
              <w:rPr>
                <w:rFonts w:hint="eastAsia" w:ascii="宋体" w:hAnsi="宋体" w:eastAsia="宋体" w:cs="宋体"/>
                <w:b/>
                <w:color w:val="000000"/>
                <w:kern w:val="0"/>
                <w:sz w:val="22"/>
                <w:szCs w:val="22"/>
              </w:rPr>
              <w:t>11</w:t>
            </w:r>
          </w:p>
        </w:tc>
        <w:tc>
          <w:tcPr>
            <w:tcW w:w="1418" w:type="dxa"/>
            <w:tcBorders>
              <w:top w:val="single" w:color="auto" w:sz="4" w:space="0"/>
              <w:left w:val="single" w:color="auto" w:sz="4" w:space="0"/>
              <w:bottom w:val="single" w:color="auto" w:sz="4" w:space="0"/>
              <w:right w:val="single" w:color="auto" w:sz="4" w:space="0"/>
            </w:tcBorders>
            <w:noWrap/>
            <w:vAlign w:val="center"/>
          </w:tcPr>
          <w:p w14:paraId="57BCD9FE">
            <w:pPr>
              <w:spacing w:line="240" w:lineRule="auto"/>
              <w:jc w:val="center"/>
              <w:rPr>
                <w:rFonts w:hint="eastAsia" w:ascii="宋体" w:hAnsi="宋体" w:eastAsia="宋体" w:cs="宋体"/>
                <w:b/>
                <w:color w:val="000000"/>
                <w:kern w:val="0"/>
                <w:sz w:val="22"/>
                <w:szCs w:val="22"/>
              </w:rPr>
            </w:pPr>
            <w:r>
              <w:rPr>
                <w:rFonts w:hint="eastAsia" w:ascii="宋体" w:hAnsi="宋体" w:eastAsia="宋体" w:cs="宋体"/>
                <w:b/>
                <w:color w:val="000000"/>
                <w:kern w:val="0"/>
                <w:sz w:val="22"/>
                <w:szCs w:val="22"/>
              </w:rPr>
              <w:t>汽车座</w:t>
            </w:r>
            <w:r>
              <w:rPr>
                <w:rFonts w:hint="eastAsia" w:ascii="宋体" w:hAnsi="宋体" w:eastAsia="宋体" w:cs="宋体"/>
                <w:b/>
                <w:color w:val="000000"/>
                <w:kern w:val="0"/>
                <w:sz w:val="22"/>
                <w:szCs w:val="22"/>
                <w:lang w:eastAsia="zh-CN"/>
              </w:rPr>
              <w:t>椅</w:t>
            </w:r>
            <w:r>
              <w:rPr>
                <w:rFonts w:hint="eastAsia" w:ascii="宋体" w:hAnsi="宋体" w:eastAsia="宋体" w:cs="宋体"/>
                <w:b/>
                <w:color w:val="000000"/>
                <w:kern w:val="0"/>
                <w:sz w:val="22"/>
                <w:szCs w:val="22"/>
              </w:rPr>
              <w:t>套</w:t>
            </w:r>
          </w:p>
        </w:tc>
        <w:tc>
          <w:tcPr>
            <w:tcW w:w="1559" w:type="dxa"/>
            <w:tcBorders>
              <w:top w:val="single" w:color="auto" w:sz="4" w:space="0"/>
              <w:left w:val="single" w:color="auto" w:sz="4" w:space="0"/>
              <w:bottom w:val="single" w:color="auto" w:sz="4" w:space="0"/>
              <w:right w:val="single" w:color="auto" w:sz="4" w:space="0"/>
            </w:tcBorders>
            <w:noWrap/>
            <w:vAlign w:val="center"/>
          </w:tcPr>
          <w:p w14:paraId="52643B96">
            <w:pPr>
              <w:pStyle w:val="77"/>
              <w:spacing w:line="240" w:lineRule="auto"/>
              <w:ind w:left="-342" w:right="-354"/>
              <w:jc w:val="center"/>
              <w:rPr>
                <w:rFonts w:hint="eastAsia" w:ascii="宋体" w:hAnsi="宋体" w:eastAsia="宋体" w:cs="宋体"/>
                <w:b/>
                <w:sz w:val="22"/>
                <w:szCs w:val="22"/>
                <w:lang w:eastAsia="zh-CN"/>
              </w:rPr>
            </w:pPr>
            <w:r>
              <w:rPr>
                <w:rFonts w:hint="eastAsia" w:ascii="宋体" w:hAnsi="宋体" w:eastAsia="宋体" w:cs="宋体"/>
                <w:b/>
                <w:sz w:val="22"/>
                <w:szCs w:val="22"/>
                <w:lang w:val="en-US" w:eastAsia="zh-CN"/>
              </w:rPr>
              <w:t>1</w:t>
            </w:r>
          </w:p>
        </w:tc>
        <w:tc>
          <w:tcPr>
            <w:tcW w:w="962" w:type="dxa"/>
            <w:tcBorders>
              <w:top w:val="single" w:color="auto" w:sz="4" w:space="0"/>
              <w:left w:val="single" w:color="auto" w:sz="4" w:space="0"/>
              <w:bottom w:val="single" w:color="auto" w:sz="4" w:space="0"/>
              <w:right w:val="single" w:color="auto" w:sz="4" w:space="0"/>
            </w:tcBorders>
            <w:noWrap/>
            <w:vAlign w:val="center"/>
          </w:tcPr>
          <w:p w14:paraId="3B9676BB">
            <w:pPr>
              <w:spacing w:line="240" w:lineRule="auto"/>
              <w:jc w:val="center"/>
              <w:rPr>
                <w:rFonts w:hint="eastAsia" w:ascii="宋体" w:hAnsi="宋体" w:eastAsia="宋体" w:cs="宋体"/>
                <w:b/>
                <w:color w:val="000000"/>
                <w:kern w:val="0"/>
                <w:sz w:val="22"/>
                <w:szCs w:val="22"/>
                <w:lang w:val="en-US" w:eastAsia="zh-CN"/>
              </w:rPr>
            </w:pPr>
            <w:r>
              <w:rPr>
                <w:rFonts w:hint="eastAsia" w:ascii="宋体" w:hAnsi="宋体" w:eastAsia="宋体" w:cs="宋体"/>
                <w:b/>
                <w:color w:val="000000"/>
                <w:kern w:val="0"/>
                <w:sz w:val="22"/>
                <w:szCs w:val="22"/>
                <w:lang w:val="en-US" w:eastAsia="zh-CN"/>
              </w:rPr>
              <w:t>1.80</w:t>
            </w:r>
          </w:p>
        </w:tc>
        <w:tc>
          <w:tcPr>
            <w:tcW w:w="780" w:type="dxa"/>
            <w:tcBorders>
              <w:top w:val="single" w:color="auto" w:sz="4" w:space="0"/>
              <w:left w:val="single" w:color="auto" w:sz="4" w:space="0"/>
              <w:bottom w:val="single" w:color="auto" w:sz="4" w:space="0"/>
              <w:right w:val="single" w:color="auto" w:sz="4" w:space="0"/>
            </w:tcBorders>
            <w:noWrap/>
            <w:vAlign w:val="center"/>
          </w:tcPr>
          <w:p w14:paraId="4059CC84">
            <w:pPr>
              <w:pStyle w:val="77"/>
              <w:spacing w:line="240" w:lineRule="auto"/>
              <w:ind w:right="-354" w:firstLine="221" w:firstLineChars="100"/>
              <w:jc w:val="both"/>
              <w:rPr>
                <w:rFonts w:hint="eastAsia" w:ascii="宋体" w:hAnsi="宋体" w:eastAsia="宋体" w:cs="宋体"/>
                <w:b/>
                <w:sz w:val="22"/>
                <w:szCs w:val="22"/>
              </w:rPr>
            </w:pPr>
            <w:r>
              <w:rPr>
                <w:rFonts w:hint="eastAsia" w:ascii="宋体" w:hAnsi="宋体" w:eastAsia="宋体" w:cs="宋体"/>
                <w:b/>
                <w:sz w:val="22"/>
                <w:szCs w:val="22"/>
              </w:rPr>
              <w:t>33</w:t>
            </w:r>
          </w:p>
        </w:tc>
        <w:tc>
          <w:tcPr>
            <w:tcW w:w="1702" w:type="dxa"/>
            <w:tcBorders>
              <w:top w:val="single" w:color="auto" w:sz="4" w:space="0"/>
              <w:left w:val="single" w:color="auto" w:sz="4" w:space="0"/>
              <w:bottom w:val="single" w:color="auto" w:sz="4" w:space="0"/>
              <w:right w:val="single" w:color="auto" w:sz="4" w:space="0"/>
            </w:tcBorders>
            <w:noWrap/>
            <w:vAlign w:val="center"/>
          </w:tcPr>
          <w:p w14:paraId="71145422">
            <w:pPr>
              <w:spacing w:line="240" w:lineRule="auto"/>
              <w:rPr>
                <w:rFonts w:hint="eastAsia" w:ascii="宋体" w:hAnsi="宋体" w:eastAsia="宋体" w:cs="宋体"/>
                <w:b/>
                <w:color w:val="000000"/>
                <w:kern w:val="0"/>
                <w:sz w:val="22"/>
                <w:szCs w:val="22"/>
              </w:rPr>
            </w:pPr>
            <w:r>
              <w:rPr>
                <w:rFonts w:hint="eastAsia" w:ascii="宋体" w:hAnsi="宋体" w:eastAsia="宋体" w:cs="宋体"/>
                <w:b/>
                <w:color w:val="000000"/>
                <w:kern w:val="0"/>
                <w:sz w:val="22"/>
                <w:szCs w:val="22"/>
              </w:rPr>
              <w:t xml:space="preserve">宝宝服外罩  </w:t>
            </w:r>
          </w:p>
        </w:tc>
        <w:tc>
          <w:tcPr>
            <w:tcW w:w="1234" w:type="dxa"/>
            <w:tcBorders>
              <w:top w:val="single" w:color="auto" w:sz="4" w:space="0"/>
              <w:left w:val="single" w:color="auto" w:sz="4" w:space="0"/>
              <w:bottom w:val="single" w:color="auto" w:sz="4" w:space="0"/>
              <w:right w:val="single" w:color="auto" w:sz="4" w:space="0"/>
            </w:tcBorders>
            <w:noWrap/>
            <w:vAlign w:val="center"/>
          </w:tcPr>
          <w:p w14:paraId="6A073A71">
            <w:pPr>
              <w:pStyle w:val="77"/>
              <w:spacing w:line="240" w:lineRule="auto"/>
              <w:ind w:left="-342" w:right="-354"/>
              <w:jc w:val="center"/>
              <w:rPr>
                <w:rFonts w:hint="eastAsia" w:ascii="宋体" w:hAnsi="宋体" w:eastAsia="宋体" w:cs="宋体"/>
                <w:b/>
                <w:sz w:val="22"/>
                <w:szCs w:val="22"/>
              </w:rPr>
            </w:pPr>
            <w:r>
              <w:rPr>
                <w:rFonts w:hint="eastAsia" w:ascii="宋体" w:hAnsi="宋体" w:eastAsia="宋体" w:cs="宋体"/>
                <w:b/>
                <w:sz w:val="22"/>
                <w:szCs w:val="22"/>
              </w:rPr>
              <w:t>1</w:t>
            </w:r>
          </w:p>
        </w:tc>
        <w:tc>
          <w:tcPr>
            <w:tcW w:w="1134" w:type="dxa"/>
            <w:tcBorders>
              <w:top w:val="single" w:color="auto" w:sz="4" w:space="0"/>
              <w:left w:val="single" w:color="auto" w:sz="4" w:space="0"/>
              <w:bottom w:val="single" w:color="auto" w:sz="4" w:space="0"/>
              <w:right w:val="single" w:color="auto" w:sz="4" w:space="0"/>
            </w:tcBorders>
            <w:noWrap/>
            <w:vAlign w:val="center"/>
          </w:tcPr>
          <w:p w14:paraId="6EF42454">
            <w:pPr>
              <w:spacing w:line="240" w:lineRule="auto"/>
              <w:jc w:val="center"/>
              <w:rPr>
                <w:rFonts w:hint="eastAsia" w:ascii="宋体" w:hAnsi="宋体" w:eastAsia="宋体" w:cs="宋体"/>
                <w:b/>
                <w:color w:val="000000"/>
                <w:kern w:val="0"/>
                <w:sz w:val="22"/>
                <w:szCs w:val="22"/>
                <w:lang w:val="en-US" w:eastAsia="zh-CN"/>
              </w:rPr>
            </w:pPr>
            <w:r>
              <w:rPr>
                <w:rFonts w:hint="eastAsia" w:ascii="宋体" w:hAnsi="宋体" w:eastAsia="宋体" w:cs="宋体"/>
                <w:b/>
                <w:color w:val="000000"/>
                <w:kern w:val="0"/>
                <w:sz w:val="22"/>
                <w:szCs w:val="22"/>
                <w:lang w:val="en-US" w:eastAsia="zh-CN"/>
              </w:rPr>
              <w:t>1.80</w:t>
            </w:r>
          </w:p>
        </w:tc>
      </w:tr>
      <w:tr w14:paraId="0E95F6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2" w:hRule="atLeast"/>
        </w:trPr>
        <w:tc>
          <w:tcPr>
            <w:tcW w:w="709" w:type="dxa"/>
            <w:tcBorders>
              <w:top w:val="single" w:color="auto" w:sz="4" w:space="0"/>
              <w:left w:val="single" w:color="auto" w:sz="4" w:space="0"/>
              <w:bottom w:val="single" w:color="auto" w:sz="4" w:space="0"/>
              <w:right w:val="single" w:color="auto" w:sz="4" w:space="0"/>
            </w:tcBorders>
            <w:noWrap/>
            <w:vAlign w:val="center"/>
          </w:tcPr>
          <w:p w14:paraId="5F06D2D9">
            <w:pPr>
              <w:spacing w:line="240" w:lineRule="auto"/>
              <w:jc w:val="center"/>
              <w:rPr>
                <w:rFonts w:hint="eastAsia" w:ascii="宋体" w:hAnsi="宋体" w:eastAsia="宋体" w:cs="宋体"/>
                <w:b/>
                <w:color w:val="000000"/>
                <w:kern w:val="0"/>
                <w:sz w:val="22"/>
                <w:szCs w:val="22"/>
              </w:rPr>
            </w:pPr>
            <w:r>
              <w:rPr>
                <w:rFonts w:hint="eastAsia" w:ascii="宋体" w:hAnsi="宋体" w:eastAsia="宋体" w:cs="宋体"/>
                <w:b/>
                <w:color w:val="000000"/>
                <w:kern w:val="0"/>
                <w:sz w:val="22"/>
                <w:szCs w:val="22"/>
              </w:rPr>
              <w:t>12</w:t>
            </w:r>
          </w:p>
        </w:tc>
        <w:tc>
          <w:tcPr>
            <w:tcW w:w="1418" w:type="dxa"/>
            <w:tcBorders>
              <w:top w:val="single" w:color="auto" w:sz="4" w:space="0"/>
              <w:left w:val="single" w:color="auto" w:sz="4" w:space="0"/>
              <w:bottom w:val="single" w:color="auto" w:sz="4" w:space="0"/>
              <w:right w:val="single" w:color="auto" w:sz="4" w:space="0"/>
            </w:tcBorders>
            <w:noWrap/>
            <w:vAlign w:val="center"/>
          </w:tcPr>
          <w:p w14:paraId="0B257AEC">
            <w:pPr>
              <w:spacing w:line="240" w:lineRule="auto"/>
              <w:jc w:val="center"/>
              <w:rPr>
                <w:rFonts w:hint="eastAsia" w:ascii="宋体" w:hAnsi="宋体" w:eastAsia="宋体" w:cs="宋体"/>
                <w:b/>
                <w:color w:val="000000"/>
                <w:kern w:val="0"/>
                <w:sz w:val="22"/>
                <w:szCs w:val="22"/>
              </w:rPr>
            </w:pPr>
            <w:r>
              <w:rPr>
                <w:rFonts w:hint="eastAsia" w:ascii="宋体" w:hAnsi="宋体" w:eastAsia="宋体" w:cs="宋体"/>
                <w:b/>
                <w:color w:val="000000"/>
                <w:kern w:val="0"/>
                <w:sz w:val="22"/>
                <w:szCs w:val="22"/>
              </w:rPr>
              <w:t>沙发套</w:t>
            </w:r>
          </w:p>
        </w:tc>
        <w:tc>
          <w:tcPr>
            <w:tcW w:w="1559" w:type="dxa"/>
            <w:tcBorders>
              <w:top w:val="single" w:color="auto" w:sz="4" w:space="0"/>
              <w:left w:val="single" w:color="auto" w:sz="4" w:space="0"/>
              <w:bottom w:val="single" w:color="auto" w:sz="4" w:space="0"/>
              <w:right w:val="single" w:color="auto" w:sz="4" w:space="0"/>
            </w:tcBorders>
            <w:noWrap/>
            <w:vAlign w:val="center"/>
          </w:tcPr>
          <w:p w14:paraId="4FA0D5D7">
            <w:pPr>
              <w:pStyle w:val="77"/>
              <w:spacing w:line="240" w:lineRule="auto"/>
              <w:ind w:left="-342" w:right="-354"/>
              <w:jc w:val="center"/>
              <w:rPr>
                <w:rFonts w:hint="eastAsia" w:ascii="宋体" w:hAnsi="宋体" w:eastAsia="宋体" w:cs="宋体"/>
                <w:b/>
                <w:sz w:val="22"/>
                <w:szCs w:val="22"/>
              </w:rPr>
            </w:pPr>
            <w:r>
              <w:rPr>
                <w:rFonts w:hint="eastAsia" w:ascii="宋体" w:hAnsi="宋体" w:eastAsia="宋体" w:cs="宋体"/>
                <w:b/>
                <w:sz w:val="22"/>
                <w:szCs w:val="22"/>
              </w:rPr>
              <w:t>1</w:t>
            </w:r>
          </w:p>
        </w:tc>
        <w:tc>
          <w:tcPr>
            <w:tcW w:w="962" w:type="dxa"/>
            <w:tcBorders>
              <w:top w:val="single" w:color="auto" w:sz="4" w:space="0"/>
              <w:left w:val="single" w:color="auto" w:sz="4" w:space="0"/>
              <w:bottom w:val="single" w:color="auto" w:sz="4" w:space="0"/>
              <w:right w:val="single" w:color="auto" w:sz="4" w:space="0"/>
            </w:tcBorders>
            <w:noWrap/>
            <w:vAlign w:val="center"/>
          </w:tcPr>
          <w:p w14:paraId="20E97A13">
            <w:pPr>
              <w:spacing w:line="240" w:lineRule="auto"/>
              <w:jc w:val="center"/>
              <w:rPr>
                <w:rFonts w:hint="eastAsia" w:ascii="宋体" w:hAnsi="宋体" w:eastAsia="宋体" w:cs="宋体"/>
                <w:b/>
                <w:color w:val="000000"/>
                <w:kern w:val="0"/>
                <w:sz w:val="22"/>
                <w:szCs w:val="22"/>
                <w:lang w:val="en-US" w:eastAsia="zh-CN"/>
              </w:rPr>
            </w:pPr>
            <w:r>
              <w:rPr>
                <w:rFonts w:hint="eastAsia" w:ascii="宋体" w:hAnsi="宋体" w:eastAsia="宋体" w:cs="宋体"/>
                <w:b/>
                <w:color w:val="000000"/>
                <w:kern w:val="0"/>
                <w:sz w:val="22"/>
                <w:szCs w:val="22"/>
                <w:lang w:val="en-US" w:eastAsia="zh-CN"/>
              </w:rPr>
              <w:t>0.75</w:t>
            </w:r>
          </w:p>
        </w:tc>
        <w:tc>
          <w:tcPr>
            <w:tcW w:w="780" w:type="dxa"/>
            <w:tcBorders>
              <w:top w:val="single" w:color="auto" w:sz="4" w:space="0"/>
              <w:left w:val="single" w:color="auto" w:sz="4" w:space="0"/>
              <w:bottom w:val="single" w:color="auto" w:sz="4" w:space="0"/>
              <w:right w:val="single" w:color="auto" w:sz="4" w:space="0"/>
            </w:tcBorders>
            <w:noWrap/>
            <w:vAlign w:val="center"/>
          </w:tcPr>
          <w:p w14:paraId="05E258BD">
            <w:pPr>
              <w:pStyle w:val="77"/>
              <w:spacing w:line="240" w:lineRule="auto"/>
              <w:ind w:right="-354" w:firstLine="221" w:firstLineChars="100"/>
              <w:jc w:val="both"/>
              <w:rPr>
                <w:rFonts w:hint="eastAsia" w:ascii="宋体" w:hAnsi="宋体" w:eastAsia="宋体" w:cs="宋体"/>
                <w:b/>
                <w:sz w:val="22"/>
                <w:szCs w:val="22"/>
              </w:rPr>
            </w:pPr>
            <w:r>
              <w:rPr>
                <w:rFonts w:hint="eastAsia" w:ascii="宋体" w:hAnsi="宋体" w:eastAsia="宋体" w:cs="宋体"/>
                <w:b/>
                <w:sz w:val="22"/>
                <w:szCs w:val="22"/>
              </w:rPr>
              <w:t>34</w:t>
            </w:r>
          </w:p>
        </w:tc>
        <w:tc>
          <w:tcPr>
            <w:tcW w:w="1702" w:type="dxa"/>
            <w:tcBorders>
              <w:top w:val="single" w:color="auto" w:sz="4" w:space="0"/>
              <w:left w:val="single" w:color="auto" w:sz="4" w:space="0"/>
              <w:bottom w:val="single" w:color="auto" w:sz="4" w:space="0"/>
              <w:right w:val="single" w:color="auto" w:sz="4" w:space="0"/>
            </w:tcBorders>
            <w:noWrap/>
            <w:vAlign w:val="center"/>
          </w:tcPr>
          <w:p w14:paraId="30199AC5">
            <w:pPr>
              <w:spacing w:line="240" w:lineRule="auto"/>
              <w:jc w:val="center"/>
              <w:rPr>
                <w:rFonts w:hint="eastAsia" w:ascii="宋体" w:hAnsi="宋体" w:eastAsia="宋体" w:cs="宋体"/>
                <w:b/>
                <w:color w:val="000000"/>
                <w:kern w:val="0"/>
                <w:sz w:val="22"/>
                <w:szCs w:val="22"/>
              </w:rPr>
            </w:pPr>
            <w:r>
              <w:rPr>
                <w:rFonts w:hint="eastAsia" w:ascii="宋体" w:hAnsi="宋体" w:eastAsia="宋体" w:cs="宋体"/>
                <w:b/>
                <w:color w:val="000000"/>
                <w:kern w:val="0"/>
                <w:sz w:val="22"/>
                <w:szCs w:val="22"/>
              </w:rPr>
              <w:t xml:space="preserve">宝宝服（棉芯）     </w:t>
            </w:r>
          </w:p>
        </w:tc>
        <w:tc>
          <w:tcPr>
            <w:tcW w:w="1234" w:type="dxa"/>
            <w:tcBorders>
              <w:top w:val="single" w:color="auto" w:sz="4" w:space="0"/>
              <w:left w:val="single" w:color="auto" w:sz="4" w:space="0"/>
              <w:bottom w:val="single" w:color="auto" w:sz="4" w:space="0"/>
              <w:right w:val="single" w:color="auto" w:sz="4" w:space="0"/>
            </w:tcBorders>
            <w:noWrap/>
            <w:vAlign w:val="center"/>
          </w:tcPr>
          <w:p w14:paraId="74A3AB38">
            <w:pPr>
              <w:pStyle w:val="77"/>
              <w:spacing w:line="240" w:lineRule="auto"/>
              <w:ind w:left="-342" w:right="-354"/>
              <w:jc w:val="center"/>
              <w:rPr>
                <w:rFonts w:hint="eastAsia" w:ascii="宋体" w:hAnsi="宋体" w:eastAsia="宋体" w:cs="宋体"/>
                <w:b/>
                <w:sz w:val="22"/>
                <w:szCs w:val="22"/>
              </w:rPr>
            </w:pPr>
            <w:r>
              <w:rPr>
                <w:rFonts w:hint="eastAsia" w:ascii="宋体" w:hAnsi="宋体" w:eastAsia="宋体" w:cs="宋体"/>
                <w:b/>
                <w:sz w:val="22"/>
                <w:szCs w:val="22"/>
              </w:rPr>
              <w:t>1</w:t>
            </w:r>
          </w:p>
        </w:tc>
        <w:tc>
          <w:tcPr>
            <w:tcW w:w="1134" w:type="dxa"/>
            <w:tcBorders>
              <w:top w:val="single" w:color="auto" w:sz="4" w:space="0"/>
              <w:left w:val="single" w:color="auto" w:sz="4" w:space="0"/>
              <w:bottom w:val="single" w:color="auto" w:sz="4" w:space="0"/>
              <w:right w:val="single" w:color="auto" w:sz="4" w:space="0"/>
            </w:tcBorders>
            <w:noWrap/>
            <w:vAlign w:val="center"/>
          </w:tcPr>
          <w:p w14:paraId="13A274A4">
            <w:pPr>
              <w:spacing w:line="240" w:lineRule="auto"/>
              <w:jc w:val="center"/>
              <w:rPr>
                <w:rFonts w:hint="eastAsia" w:ascii="宋体" w:hAnsi="宋体" w:eastAsia="宋体" w:cs="宋体"/>
                <w:b/>
                <w:color w:val="000000"/>
                <w:kern w:val="0"/>
                <w:sz w:val="22"/>
                <w:szCs w:val="22"/>
                <w:lang w:val="en-US" w:eastAsia="zh-CN"/>
              </w:rPr>
            </w:pPr>
            <w:r>
              <w:rPr>
                <w:rFonts w:hint="eastAsia" w:ascii="宋体" w:hAnsi="宋体" w:eastAsia="宋体" w:cs="宋体"/>
                <w:b/>
                <w:color w:val="000000"/>
                <w:kern w:val="0"/>
                <w:sz w:val="22"/>
                <w:szCs w:val="22"/>
                <w:lang w:val="en-US" w:eastAsia="zh-CN"/>
              </w:rPr>
              <w:t>2.80</w:t>
            </w:r>
          </w:p>
        </w:tc>
      </w:tr>
      <w:tr w14:paraId="2CC7D7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2" w:hRule="atLeast"/>
        </w:trPr>
        <w:tc>
          <w:tcPr>
            <w:tcW w:w="709" w:type="dxa"/>
            <w:tcBorders>
              <w:top w:val="single" w:color="auto" w:sz="4" w:space="0"/>
              <w:left w:val="single" w:color="auto" w:sz="4" w:space="0"/>
              <w:bottom w:val="single" w:color="auto" w:sz="4" w:space="0"/>
              <w:right w:val="single" w:color="auto" w:sz="4" w:space="0"/>
            </w:tcBorders>
            <w:noWrap/>
            <w:vAlign w:val="center"/>
          </w:tcPr>
          <w:p w14:paraId="6F3391DB">
            <w:pPr>
              <w:spacing w:line="240" w:lineRule="auto"/>
              <w:jc w:val="center"/>
              <w:rPr>
                <w:rFonts w:hint="eastAsia" w:ascii="宋体" w:hAnsi="宋体" w:eastAsia="宋体" w:cs="宋体"/>
                <w:b/>
                <w:color w:val="000000"/>
                <w:kern w:val="0"/>
                <w:sz w:val="22"/>
                <w:szCs w:val="22"/>
              </w:rPr>
            </w:pPr>
            <w:r>
              <w:rPr>
                <w:rFonts w:hint="eastAsia" w:ascii="宋体" w:hAnsi="宋体" w:eastAsia="宋体" w:cs="宋体"/>
                <w:b/>
                <w:color w:val="000000"/>
                <w:kern w:val="0"/>
                <w:sz w:val="22"/>
                <w:szCs w:val="22"/>
              </w:rPr>
              <w:t>13</w:t>
            </w:r>
          </w:p>
        </w:tc>
        <w:tc>
          <w:tcPr>
            <w:tcW w:w="1418" w:type="dxa"/>
            <w:tcBorders>
              <w:top w:val="single" w:color="auto" w:sz="4" w:space="0"/>
              <w:left w:val="single" w:color="auto" w:sz="4" w:space="0"/>
              <w:bottom w:val="single" w:color="auto" w:sz="4" w:space="0"/>
              <w:right w:val="single" w:color="auto" w:sz="4" w:space="0"/>
            </w:tcBorders>
            <w:noWrap/>
            <w:vAlign w:val="center"/>
          </w:tcPr>
          <w:p w14:paraId="13A19153">
            <w:pPr>
              <w:spacing w:line="240" w:lineRule="auto"/>
              <w:jc w:val="center"/>
              <w:rPr>
                <w:rFonts w:hint="eastAsia" w:ascii="宋体" w:hAnsi="宋体" w:eastAsia="宋体" w:cs="宋体"/>
                <w:b/>
                <w:color w:val="000000"/>
                <w:kern w:val="0"/>
                <w:sz w:val="22"/>
                <w:szCs w:val="22"/>
              </w:rPr>
            </w:pPr>
            <w:r>
              <w:rPr>
                <w:rFonts w:hint="eastAsia" w:ascii="宋体" w:hAnsi="宋体" w:eastAsia="宋体" w:cs="宋体"/>
                <w:b/>
                <w:color w:val="000000"/>
                <w:kern w:val="0"/>
                <w:sz w:val="22"/>
                <w:szCs w:val="22"/>
              </w:rPr>
              <w:t xml:space="preserve">椅套          </w:t>
            </w:r>
          </w:p>
        </w:tc>
        <w:tc>
          <w:tcPr>
            <w:tcW w:w="1559" w:type="dxa"/>
            <w:tcBorders>
              <w:top w:val="single" w:color="auto" w:sz="4" w:space="0"/>
              <w:left w:val="single" w:color="auto" w:sz="4" w:space="0"/>
              <w:bottom w:val="single" w:color="auto" w:sz="4" w:space="0"/>
              <w:right w:val="single" w:color="auto" w:sz="4" w:space="0"/>
            </w:tcBorders>
            <w:noWrap/>
            <w:vAlign w:val="center"/>
          </w:tcPr>
          <w:p w14:paraId="40759B56">
            <w:pPr>
              <w:pStyle w:val="77"/>
              <w:spacing w:line="240" w:lineRule="auto"/>
              <w:ind w:left="-342" w:right="-354"/>
              <w:jc w:val="center"/>
              <w:rPr>
                <w:rFonts w:hint="eastAsia" w:ascii="宋体" w:hAnsi="宋体" w:eastAsia="宋体" w:cs="宋体"/>
                <w:b/>
                <w:sz w:val="22"/>
                <w:szCs w:val="22"/>
              </w:rPr>
            </w:pPr>
            <w:r>
              <w:rPr>
                <w:rFonts w:hint="eastAsia" w:ascii="宋体" w:hAnsi="宋体" w:eastAsia="宋体" w:cs="宋体"/>
                <w:b/>
                <w:sz w:val="22"/>
                <w:szCs w:val="22"/>
              </w:rPr>
              <w:t>1</w:t>
            </w:r>
          </w:p>
        </w:tc>
        <w:tc>
          <w:tcPr>
            <w:tcW w:w="962" w:type="dxa"/>
            <w:tcBorders>
              <w:top w:val="single" w:color="auto" w:sz="4" w:space="0"/>
              <w:left w:val="single" w:color="auto" w:sz="4" w:space="0"/>
              <w:bottom w:val="single" w:color="auto" w:sz="4" w:space="0"/>
              <w:right w:val="single" w:color="auto" w:sz="4" w:space="0"/>
            </w:tcBorders>
            <w:noWrap/>
            <w:vAlign w:val="center"/>
          </w:tcPr>
          <w:p w14:paraId="67AC6995">
            <w:pPr>
              <w:spacing w:line="240" w:lineRule="auto"/>
              <w:jc w:val="center"/>
              <w:rPr>
                <w:rFonts w:hint="eastAsia" w:ascii="宋体" w:hAnsi="宋体" w:eastAsia="宋体" w:cs="宋体"/>
                <w:b/>
                <w:color w:val="000000"/>
                <w:kern w:val="0"/>
                <w:sz w:val="22"/>
                <w:szCs w:val="22"/>
                <w:lang w:val="en-US" w:eastAsia="zh-CN"/>
              </w:rPr>
            </w:pPr>
            <w:r>
              <w:rPr>
                <w:rFonts w:hint="eastAsia" w:ascii="宋体" w:hAnsi="宋体" w:eastAsia="宋体" w:cs="宋体"/>
                <w:b/>
                <w:color w:val="000000"/>
                <w:kern w:val="0"/>
                <w:sz w:val="22"/>
                <w:szCs w:val="22"/>
                <w:lang w:val="en-US" w:eastAsia="zh-CN"/>
              </w:rPr>
              <w:t>0.75</w:t>
            </w:r>
          </w:p>
        </w:tc>
        <w:tc>
          <w:tcPr>
            <w:tcW w:w="780" w:type="dxa"/>
            <w:tcBorders>
              <w:top w:val="single" w:color="auto" w:sz="4" w:space="0"/>
              <w:left w:val="single" w:color="auto" w:sz="4" w:space="0"/>
              <w:bottom w:val="single" w:color="auto" w:sz="4" w:space="0"/>
              <w:right w:val="single" w:color="auto" w:sz="4" w:space="0"/>
            </w:tcBorders>
            <w:noWrap/>
            <w:vAlign w:val="center"/>
          </w:tcPr>
          <w:p w14:paraId="4F47B258">
            <w:pPr>
              <w:pStyle w:val="77"/>
              <w:spacing w:line="240" w:lineRule="auto"/>
              <w:ind w:right="-354" w:firstLine="221" w:firstLineChars="100"/>
              <w:jc w:val="both"/>
              <w:rPr>
                <w:rFonts w:hint="eastAsia" w:ascii="宋体" w:hAnsi="宋体" w:eastAsia="宋体" w:cs="宋体"/>
                <w:b/>
                <w:sz w:val="22"/>
                <w:szCs w:val="22"/>
              </w:rPr>
            </w:pPr>
            <w:r>
              <w:rPr>
                <w:rFonts w:hint="eastAsia" w:ascii="宋体" w:hAnsi="宋体" w:eastAsia="宋体" w:cs="宋体"/>
                <w:b/>
                <w:sz w:val="22"/>
                <w:szCs w:val="22"/>
              </w:rPr>
              <w:t>35</w:t>
            </w:r>
          </w:p>
        </w:tc>
        <w:tc>
          <w:tcPr>
            <w:tcW w:w="1702" w:type="dxa"/>
            <w:tcBorders>
              <w:top w:val="single" w:color="auto" w:sz="4" w:space="0"/>
              <w:left w:val="single" w:color="auto" w:sz="4" w:space="0"/>
              <w:bottom w:val="single" w:color="auto" w:sz="4" w:space="0"/>
              <w:right w:val="single" w:color="auto" w:sz="4" w:space="0"/>
            </w:tcBorders>
            <w:noWrap/>
            <w:vAlign w:val="center"/>
          </w:tcPr>
          <w:p w14:paraId="36C67E35">
            <w:pPr>
              <w:spacing w:line="240" w:lineRule="auto"/>
              <w:jc w:val="center"/>
              <w:rPr>
                <w:rFonts w:hint="eastAsia" w:ascii="宋体" w:hAnsi="宋体" w:eastAsia="宋体" w:cs="宋体"/>
                <w:b/>
                <w:color w:val="000000"/>
                <w:kern w:val="0"/>
                <w:sz w:val="22"/>
                <w:szCs w:val="22"/>
              </w:rPr>
            </w:pPr>
            <w:r>
              <w:rPr>
                <w:rFonts w:hint="eastAsia" w:ascii="宋体" w:hAnsi="宋体" w:eastAsia="宋体" w:cs="宋体"/>
                <w:b/>
                <w:color w:val="000000"/>
                <w:kern w:val="0"/>
                <w:sz w:val="22"/>
                <w:szCs w:val="22"/>
              </w:rPr>
              <w:t>婴儿内服</w:t>
            </w:r>
          </w:p>
        </w:tc>
        <w:tc>
          <w:tcPr>
            <w:tcW w:w="1234" w:type="dxa"/>
            <w:tcBorders>
              <w:top w:val="single" w:color="auto" w:sz="4" w:space="0"/>
              <w:left w:val="single" w:color="auto" w:sz="4" w:space="0"/>
              <w:bottom w:val="single" w:color="auto" w:sz="4" w:space="0"/>
              <w:right w:val="single" w:color="auto" w:sz="4" w:space="0"/>
            </w:tcBorders>
            <w:noWrap/>
            <w:vAlign w:val="center"/>
          </w:tcPr>
          <w:p w14:paraId="296EE116">
            <w:pPr>
              <w:pStyle w:val="77"/>
              <w:spacing w:line="240" w:lineRule="auto"/>
              <w:ind w:left="-342" w:right="-354"/>
              <w:jc w:val="center"/>
              <w:rPr>
                <w:rFonts w:hint="eastAsia" w:ascii="宋体" w:hAnsi="宋体" w:eastAsia="宋体" w:cs="宋体"/>
                <w:b/>
                <w:sz w:val="22"/>
                <w:szCs w:val="22"/>
              </w:rPr>
            </w:pPr>
            <w:r>
              <w:rPr>
                <w:rFonts w:hint="eastAsia" w:ascii="宋体" w:hAnsi="宋体" w:eastAsia="宋体" w:cs="宋体"/>
                <w:b/>
                <w:sz w:val="22"/>
                <w:szCs w:val="22"/>
              </w:rPr>
              <w:t>1</w:t>
            </w:r>
          </w:p>
        </w:tc>
        <w:tc>
          <w:tcPr>
            <w:tcW w:w="1134" w:type="dxa"/>
            <w:tcBorders>
              <w:top w:val="single" w:color="auto" w:sz="4" w:space="0"/>
              <w:left w:val="single" w:color="auto" w:sz="4" w:space="0"/>
              <w:bottom w:val="single" w:color="auto" w:sz="4" w:space="0"/>
              <w:right w:val="single" w:color="auto" w:sz="4" w:space="0"/>
            </w:tcBorders>
            <w:noWrap/>
            <w:vAlign w:val="center"/>
          </w:tcPr>
          <w:p w14:paraId="0EB51EB2">
            <w:pPr>
              <w:spacing w:line="240" w:lineRule="auto"/>
              <w:jc w:val="center"/>
              <w:rPr>
                <w:rFonts w:hint="eastAsia" w:ascii="宋体" w:hAnsi="宋体" w:eastAsia="宋体" w:cs="宋体"/>
                <w:b/>
                <w:color w:val="000000"/>
                <w:kern w:val="0"/>
                <w:sz w:val="22"/>
                <w:szCs w:val="22"/>
                <w:lang w:val="en-US" w:eastAsia="zh-CN"/>
              </w:rPr>
            </w:pPr>
            <w:r>
              <w:rPr>
                <w:rFonts w:hint="eastAsia" w:ascii="宋体" w:hAnsi="宋体" w:eastAsia="宋体" w:cs="宋体"/>
                <w:b/>
                <w:color w:val="000000"/>
                <w:kern w:val="0"/>
                <w:sz w:val="22"/>
                <w:szCs w:val="22"/>
                <w:lang w:val="en-US" w:eastAsia="zh-CN"/>
              </w:rPr>
              <w:t>0.60</w:t>
            </w:r>
          </w:p>
        </w:tc>
      </w:tr>
      <w:tr w14:paraId="720473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2" w:hRule="atLeast"/>
        </w:trPr>
        <w:tc>
          <w:tcPr>
            <w:tcW w:w="709" w:type="dxa"/>
            <w:tcBorders>
              <w:top w:val="single" w:color="auto" w:sz="4" w:space="0"/>
              <w:left w:val="single" w:color="auto" w:sz="4" w:space="0"/>
              <w:bottom w:val="single" w:color="auto" w:sz="4" w:space="0"/>
              <w:right w:val="single" w:color="auto" w:sz="4" w:space="0"/>
            </w:tcBorders>
            <w:noWrap/>
            <w:vAlign w:val="center"/>
          </w:tcPr>
          <w:p w14:paraId="3DA1A92D">
            <w:pPr>
              <w:spacing w:line="240" w:lineRule="auto"/>
              <w:jc w:val="center"/>
              <w:rPr>
                <w:rFonts w:hint="eastAsia" w:ascii="宋体" w:hAnsi="宋体" w:eastAsia="宋体" w:cs="宋体"/>
                <w:b/>
                <w:color w:val="000000"/>
                <w:kern w:val="0"/>
                <w:sz w:val="22"/>
                <w:szCs w:val="22"/>
              </w:rPr>
            </w:pPr>
            <w:r>
              <w:rPr>
                <w:rFonts w:hint="eastAsia" w:ascii="宋体" w:hAnsi="宋体" w:eastAsia="宋体" w:cs="宋体"/>
                <w:b/>
                <w:color w:val="000000"/>
                <w:kern w:val="0"/>
                <w:sz w:val="22"/>
                <w:szCs w:val="22"/>
              </w:rPr>
              <w:t>14</w:t>
            </w:r>
          </w:p>
        </w:tc>
        <w:tc>
          <w:tcPr>
            <w:tcW w:w="1418" w:type="dxa"/>
            <w:tcBorders>
              <w:top w:val="single" w:color="auto" w:sz="4" w:space="0"/>
              <w:left w:val="single" w:color="auto" w:sz="4" w:space="0"/>
              <w:bottom w:val="single" w:color="auto" w:sz="4" w:space="0"/>
              <w:right w:val="single" w:color="auto" w:sz="4" w:space="0"/>
            </w:tcBorders>
            <w:noWrap/>
            <w:vAlign w:val="center"/>
          </w:tcPr>
          <w:p w14:paraId="57889FA9">
            <w:pPr>
              <w:spacing w:line="240" w:lineRule="auto"/>
              <w:jc w:val="center"/>
              <w:rPr>
                <w:rFonts w:hint="eastAsia" w:ascii="宋体" w:hAnsi="宋体" w:eastAsia="宋体" w:cs="宋体"/>
                <w:b/>
                <w:color w:val="000000"/>
                <w:kern w:val="0"/>
                <w:sz w:val="22"/>
                <w:szCs w:val="22"/>
              </w:rPr>
            </w:pPr>
            <w:r>
              <w:rPr>
                <w:rFonts w:hint="eastAsia" w:ascii="宋体" w:hAnsi="宋体" w:eastAsia="宋体" w:cs="宋体"/>
                <w:b/>
                <w:color w:val="000000"/>
                <w:kern w:val="0"/>
                <w:sz w:val="22"/>
                <w:szCs w:val="22"/>
              </w:rPr>
              <w:t>地毯/平方米</w:t>
            </w:r>
          </w:p>
        </w:tc>
        <w:tc>
          <w:tcPr>
            <w:tcW w:w="1559" w:type="dxa"/>
            <w:tcBorders>
              <w:top w:val="single" w:color="auto" w:sz="4" w:space="0"/>
              <w:left w:val="single" w:color="auto" w:sz="4" w:space="0"/>
              <w:bottom w:val="single" w:color="auto" w:sz="4" w:space="0"/>
              <w:right w:val="single" w:color="auto" w:sz="4" w:space="0"/>
            </w:tcBorders>
            <w:noWrap/>
            <w:vAlign w:val="center"/>
          </w:tcPr>
          <w:p w14:paraId="5BD3D793">
            <w:pPr>
              <w:pStyle w:val="77"/>
              <w:spacing w:line="240" w:lineRule="auto"/>
              <w:ind w:left="-342" w:right="-354"/>
              <w:jc w:val="center"/>
              <w:rPr>
                <w:rFonts w:hint="eastAsia" w:ascii="宋体" w:hAnsi="宋体" w:eastAsia="宋体" w:cs="宋体"/>
                <w:b/>
                <w:sz w:val="22"/>
                <w:szCs w:val="22"/>
              </w:rPr>
            </w:pPr>
            <w:r>
              <w:rPr>
                <w:rFonts w:hint="eastAsia" w:ascii="宋体" w:hAnsi="宋体" w:eastAsia="宋体" w:cs="宋体"/>
                <w:b/>
                <w:sz w:val="22"/>
                <w:szCs w:val="22"/>
              </w:rPr>
              <w:t>1</w:t>
            </w:r>
          </w:p>
        </w:tc>
        <w:tc>
          <w:tcPr>
            <w:tcW w:w="962" w:type="dxa"/>
            <w:tcBorders>
              <w:top w:val="single" w:color="auto" w:sz="4" w:space="0"/>
              <w:left w:val="single" w:color="auto" w:sz="4" w:space="0"/>
              <w:bottom w:val="single" w:color="auto" w:sz="4" w:space="0"/>
              <w:right w:val="single" w:color="auto" w:sz="4" w:space="0"/>
            </w:tcBorders>
            <w:noWrap/>
            <w:vAlign w:val="center"/>
          </w:tcPr>
          <w:p w14:paraId="01CCF0B7">
            <w:pPr>
              <w:spacing w:line="240" w:lineRule="auto"/>
              <w:jc w:val="center"/>
              <w:rPr>
                <w:rFonts w:hint="eastAsia" w:ascii="宋体" w:hAnsi="宋体" w:eastAsia="宋体" w:cs="宋体"/>
                <w:b/>
                <w:color w:val="000000"/>
                <w:kern w:val="0"/>
                <w:sz w:val="22"/>
                <w:szCs w:val="22"/>
                <w:lang w:val="en-US" w:eastAsia="zh-CN"/>
              </w:rPr>
            </w:pPr>
            <w:r>
              <w:rPr>
                <w:rFonts w:hint="eastAsia" w:ascii="宋体" w:hAnsi="宋体" w:eastAsia="宋体" w:cs="宋体"/>
                <w:b/>
                <w:color w:val="000000"/>
                <w:kern w:val="0"/>
                <w:sz w:val="22"/>
                <w:szCs w:val="22"/>
                <w:lang w:val="en-US" w:eastAsia="zh-CN"/>
              </w:rPr>
              <w:t>12.00</w:t>
            </w:r>
          </w:p>
        </w:tc>
        <w:tc>
          <w:tcPr>
            <w:tcW w:w="780" w:type="dxa"/>
            <w:tcBorders>
              <w:top w:val="single" w:color="auto" w:sz="4" w:space="0"/>
              <w:left w:val="single" w:color="auto" w:sz="4" w:space="0"/>
              <w:bottom w:val="single" w:color="auto" w:sz="4" w:space="0"/>
              <w:right w:val="single" w:color="auto" w:sz="4" w:space="0"/>
            </w:tcBorders>
            <w:noWrap/>
            <w:vAlign w:val="center"/>
          </w:tcPr>
          <w:p w14:paraId="196AE7C9">
            <w:pPr>
              <w:pStyle w:val="77"/>
              <w:spacing w:line="240" w:lineRule="auto"/>
              <w:ind w:right="-354" w:firstLine="221" w:firstLineChars="100"/>
              <w:jc w:val="both"/>
              <w:rPr>
                <w:rFonts w:hint="eastAsia" w:ascii="宋体" w:hAnsi="宋体" w:eastAsia="宋体" w:cs="宋体"/>
                <w:b/>
                <w:sz w:val="22"/>
                <w:szCs w:val="22"/>
              </w:rPr>
            </w:pPr>
            <w:r>
              <w:rPr>
                <w:rFonts w:hint="eastAsia" w:ascii="宋体" w:hAnsi="宋体" w:eastAsia="宋体" w:cs="宋体"/>
                <w:b/>
                <w:sz w:val="22"/>
                <w:szCs w:val="22"/>
              </w:rPr>
              <w:t>36</w:t>
            </w:r>
          </w:p>
        </w:tc>
        <w:tc>
          <w:tcPr>
            <w:tcW w:w="1702" w:type="dxa"/>
            <w:tcBorders>
              <w:top w:val="single" w:color="auto" w:sz="4" w:space="0"/>
              <w:left w:val="single" w:color="auto" w:sz="4" w:space="0"/>
              <w:bottom w:val="single" w:color="auto" w:sz="4" w:space="0"/>
              <w:right w:val="single" w:color="auto" w:sz="4" w:space="0"/>
            </w:tcBorders>
            <w:noWrap/>
            <w:vAlign w:val="center"/>
          </w:tcPr>
          <w:p w14:paraId="77ED8497">
            <w:pPr>
              <w:pStyle w:val="77"/>
              <w:tabs>
                <w:tab w:val="left" w:pos="4032"/>
              </w:tabs>
              <w:spacing w:line="240" w:lineRule="auto"/>
              <w:ind w:left="-342" w:right="-354"/>
              <w:jc w:val="center"/>
              <w:rPr>
                <w:rFonts w:hint="eastAsia" w:ascii="宋体" w:hAnsi="宋体" w:eastAsia="宋体" w:cs="宋体"/>
                <w:b/>
                <w:sz w:val="22"/>
                <w:szCs w:val="22"/>
              </w:rPr>
            </w:pPr>
            <w:r>
              <w:rPr>
                <w:rFonts w:hint="eastAsia" w:ascii="宋体" w:hAnsi="宋体" w:eastAsia="宋体" w:cs="宋体"/>
                <w:b/>
                <w:sz w:val="22"/>
                <w:szCs w:val="22"/>
              </w:rPr>
              <w:t>开腹大洞巾</w:t>
            </w:r>
          </w:p>
          <w:p w14:paraId="2EEBDAA4">
            <w:pPr>
              <w:pStyle w:val="77"/>
              <w:tabs>
                <w:tab w:val="left" w:pos="4032"/>
              </w:tabs>
              <w:spacing w:line="240" w:lineRule="auto"/>
              <w:ind w:left="-342" w:right="-354"/>
              <w:jc w:val="center"/>
              <w:rPr>
                <w:rFonts w:hint="eastAsia" w:ascii="宋体" w:hAnsi="宋体" w:eastAsia="宋体" w:cs="宋体"/>
                <w:b/>
                <w:sz w:val="22"/>
                <w:szCs w:val="22"/>
              </w:rPr>
            </w:pPr>
            <w:r>
              <w:rPr>
                <w:rFonts w:hint="eastAsia" w:ascii="宋体" w:hAnsi="宋体" w:eastAsia="宋体" w:cs="宋体"/>
                <w:b/>
                <w:sz w:val="22"/>
                <w:szCs w:val="22"/>
              </w:rPr>
              <w:t>320*230</w:t>
            </w:r>
          </w:p>
        </w:tc>
        <w:tc>
          <w:tcPr>
            <w:tcW w:w="1234" w:type="dxa"/>
            <w:tcBorders>
              <w:top w:val="single" w:color="auto" w:sz="4" w:space="0"/>
              <w:left w:val="single" w:color="auto" w:sz="4" w:space="0"/>
              <w:bottom w:val="single" w:color="auto" w:sz="4" w:space="0"/>
              <w:right w:val="single" w:color="auto" w:sz="4" w:space="0"/>
            </w:tcBorders>
            <w:noWrap/>
            <w:vAlign w:val="center"/>
          </w:tcPr>
          <w:p w14:paraId="67F855E8">
            <w:pPr>
              <w:pStyle w:val="77"/>
              <w:spacing w:line="240" w:lineRule="auto"/>
              <w:ind w:left="-342" w:right="-354"/>
              <w:jc w:val="center"/>
              <w:rPr>
                <w:rFonts w:hint="eastAsia" w:ascii="宋体" w:hAnsi="宋体" w:eastAsia="宋体" w:cs="宋体"/>
                <w:b/>
                <w:sz w:val="22"/>
                <w:szCs w:val="22"/>
              </w:rPr>
            </w:pPr>
            <w:r>
              <w:rPr>
                <w:rFonts w:hint="eastAsia" w:ascii="宋体" w:hAnsi="宋体" w:eastAsia="宋体" w:cs="宋体"/>
                <w:b/>
                <w:sz w:val="22"/>
                <w:szCs w:val="22"/>
              </w:rPr>
              <w:t>1</w:t>
            </w:r>
          </w:p>
        </w:tc>
        <w:tc>
          <w:tcPr>
            <w:tcW w:w="1134" w:type="dxa"/>
            <w:tcBorders>
              <w:top w:val="single" w:color="auto" w:sz="4" w:space="0"/>
              <w:left w:val="single" w:color="auto" w:sz="4" w:space="0"/>
              <w:bottom w:val="single" w:color="auto" w:sz="4" w:space="0"/>
              <w:right w:val="single" w:color="auto" w:sz="4" w:space="0"/>
            </w:tcBorders>
            <w:noWrap/>
            <w:vAlign w:val="center"/>
          </w:tcPr>
          <w:p w14:paraId="6F541909">
            <w:pPr>
              <w:pStyle w:val="77"/>
              <w:spacing w:line="240" w:lineRule="auto"/>
              <w:ind w:left="-342" w:right="-354"/>
              <w:jc w:val="center"/>
              <w:rPr>
                <w:rFonts w:hint="eastAsia" w:ascii="宋体" w:hAnsi="宋体" w:eastAsia="宋体" w:cs="宋体"/>
                <w:b/>
                <w:sz w:val="22"/>
                <w:szCs w:val="22"/>
                <w:lang w:val="en-US" w:eastAsia="zh-CN"/>
              </w:rPr>
            </w:pPr>
            <w:r>
              <w:rPr>
                <w:rFonts w:hint="eastAsia" w:ascii="宋体" w:hAnsi="宋体" w:eastAsia="宋体" w:cs="宋体"/>
                <w:b/>
                <w:sz w:val="22"/>
                <w:szCs w:val="22"/>
                <w:lang w:val="en-US" w:eastAsia="zh-CN"/>
              </w:rPr>
              <w:t>3.00</w:t>
            </w:r>
          </w:p>
        </w:tc>
      </w:tr>
      <w:tr w14:paraId="56C02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trPr>
        <w:tc>
          <w:tcPr>
            <w:tcW w:w="709" w:type="dxa"/>
            <w:tcBorders>
              <w:top w:val="single" w:color="auto" w:sz="4" w:space="0"/>
              <w:left w:val="single" w:color="auto" w:sz="4" w:space="0"/>
              <w:bottom w:val="single" w:color="auto" w:sz="4" w:space="0"/>
              <w:right w:val="single" w:color="auto" w:sz="4" w:space="0"/>
            </w:tcBorders>
            <w:noWrap/>
            <w:vAlign w:val="center"/>
          </w:tcPr>
          <w:p w14:paraId="72513E42">
            <w:pPr>
              <w:spacing w:line="240" w:lineRule="auto"/>
              <w:jc w:val="center"/>
              <w:rPr>
                <w:rFonts w:hint="eastAsia" w:ascii="宋体" w:hAnsi="宋体" w:eastAsia="宋体" w:cs="宋体"/>
                <w:b/>
                <w:color w:val="000000"/>
                <w:kern w:val="0"/>
                <w:sz w:val="22"/>
                <w:szCs w:val="22"/>
              </w:rPr>
            </w:pPr>
            <w:r>
              <w:rPr>
                <w:rFonts w:hint="eastAsia" w:ascii="宋体" w:hAnsi="宋体" w:eastAsia="宋体" w:cs="宋体"/>
                <w:b/>
                <w:color w:val="000000"/>
                <w:kern w:val="0"/>
                <w:sz w:val="22"/>
                <w:szCs w:val="22"/>
              </w:rPr>
              <w:t>15</w:t>
            </w:r>
          </w:p>
        </w:tc>
        <w:tc>
          <w:tcPr>
            <w:tcW w:w="1418" w:type="dxa"/>
            <w:tcBorders>
              <w:top w:val="single" w:color="auto" w:sz="4" w:space="0"/>
              <w:left w:val="single" w:color="auto" w:sz="4" w:space="0"/>
              <w:bottom w:val="single" w:color="auto" w:sz="4" w:space="0"/>
              <w:right w:val="single" w:color="auto" w:sz="4" w:space="0"/>
            </w:tcBorders>
            <w:noWrap/>
            <w:vAlign w:val="center"/>
          </w:tcPr>
          <w:p w14:paraId="2EA40C3A">
            <w:pPr>
              <w:spacing w:line="240" w:lineRule="auto"/>
              <w:jc w:val="center"/>
              <w:rPr>
                <w:rFonts w:hint="eastAsia" w:ascii="宋体" w:hAnsi="宋体" w:eastAsia="宋体" w:cs="宋体"/>
                <w:b/>
                <w:color w:val="000000"/>
                <w:kern w:val="0"/>
                <w:sz w:val="22"/>
                <w:szCs w:val="22"/>
              </w:rPr>
            </w:pPr>
            <w:r>
              <w:rPr>
                <w:rFonts w:hint="eastAsia" w:ascii="宋体" w:hAnsi="宋体" w:eastAsia="宋体" w:cs="宋体"/>
                <w:b/>
                <w:color w:val="000000"/>
                <w:kern w:val="0"/>
                <w:sz w:val="22"/>
                <w:szCs w:val="22"/>
              </w:rPr>
              <w:t>大消毒袋</w:t>
            </w:r>
          </w:p>
        </w:tc>
        <w:tc>
          <w:tcPr>
            <w:tcW w:w="1559" w:type="dxa"/>
            <w:tcBorders>
              <w:top w:val="single" w:color="auto" w:sz="4" w:space="0"/>
              <w:left w:val="single" w:color="auto" w:sz="4" w:space="0"/>
              <w:bottom w:val="single" w:color="auto" w:sz="4" w:space="0"/>
              <w:right w:val="single" w:color="auto" w:sz="4" w:space="0"/>
            </w:tcBorders>
            <w:noWrap/>
            <w:vAlign w:val="center"/>
          </w:tcPr>
          <w:p w14:paraId="78B6ED0B">
            <w:pPr>
              <w:pStyle w:val="77"/>
              <w:spacing w:line="240" w:lineRule="auto"/>
              <w:ind w:left="-342" w:right="-354"/>
              <w:jc w:val="center"/>
              <w:rPr>
                <w:rFonts w:hint="eastAsia" w:ascii="宋体" w:hAnsi="宋体" w:eastAsia="宋体" w:cs="宋体"/>
                <w:b/>
                <w:sz w:val="22"/>
                <w:szCs w:val="22"/>
              </w:rPr>
            </w:pPr>
            <w:r>
              <w:rPr>
                <w:rFonts w:hint="eastAsia" w:ascii="宋体" w:hAnsi="宋体" w:eastAsia="宋体" w:cs="宋体"/>
                <w:b/>
                <w:sz w:val="22"/>
                <w:szCs w:val="22"/>
              </w:rPr>
              <w:t>1</w:t>
            </w:r>
          </w:p>
        </w:tc>
        <w:tc>
          <w:tcPr>
            <w:tcW w:w="962" w:type="dxa"/>
            <w:tcBorders>
              <w:top w:val="single" w:color="auto" w:sz="4" w:space="0"/>
              <w:left w:val="single" w:color="auto" w:sz="4" w:space="0"/>
              <w:bottom w:val="single" w:color="auto" w:sz="4" w:space="0"/>
              <w:right w:val="single" w:color="auto" w:sz="4" w:space="0"/>
            </w:tcBorders>
            <w:noWrap/>
            <w:vAlign w:val="center"/>
          </w:tcPr>
          <w:p w14:paraId="478CBC19">
            <w:pPr>
              <w:spacing w:line="240" w:lineRule="auto"/>
              <w:jc w:val="center"/>
              <w:rPr>
                <w:rFonts w:hint="eastAsia" w:ascii="宋体" w:hAnsi="宋体" w:eastAsia="宋体" w:cs="宋体"/>
                <w:b/>
                <w:color w:val="000000"/>
                <w:kern w:val="0"/>
                <w:sz w:val="22"/>
                <w:szCs w:val="22"/>
                <w:lang w:val="en-US" w:eastAsia="zh-CN"/>
              </w:rPr>
            </w:pPr>
            <w:r>
              <w:rPr>
                <w:rFonts w:hint="eastAsia" w:ascii="宋体" w:hAnsi="宋体" w:eastAsia="宋体" w:cs="宋体"/>
                <w:b/>
                <w:color w:val="000000"/>
                <w:kern w:val="0"/>
                <w:sz w:val="22"/>
                <w:szCs w:val="22"/>
                <w:lang w:val="en-US" w:eastAsia="zh-CN"/>
              </w:rPr>
              <w:t>1.00</w:t>
            </w:r>
          </w:p>
        </w:tc>
        <w:tc>
          <w:tcPr>
            <w:tcW w:w="780" w:type="dxa"/>
            <w:tcBorders>
              <w:top w:val="single" w:color="auto" w:sz="4" w:space="0"/>
              <w:left w:val="single" w:color="auto" w:sz="4" w:space="0"/>
              <w:bottom w:val="single" w:color="auto" w:sz="4" w:space="0"/>
              <w:right w:val="single" w:color="auto" w:sz="4" w:space="0"/>
            </w:tcBorders>
            <w:noWrap/>
            <w:vAlign w:val="center"/>
          </w:tcPr>
          <w:p w14:paraId="2E044361">
            <w:pPr>
              <w:pStyle w:val="77"/>
              <w:spacing w:line="240" w:lineRule="auto"/>
              <w:ind w:right="-354" w:firstLine="221" w:firstLineChars="100"/>
              <w:jc w:val="both"/>
              <w:rPr>
                <w:rFonts w:hint="eastAsia" w:ascii="宋体" w:hAnsi="宋体" w:eastAsia="宋体" w:cs="宋体"/>
                <w:b/>
                <w:sz w:val="22"/>
                <w:szCs w:val="22"/>
              </w:rPr>
            </w:pPr>
            <w:r>
              <w:rPr>
                <w:rFonts w:hint="eastAsia" w:ascii="宋体" w:hAnsi="宋体" w:eastAsia="宋体" w:cs="宋体"/>
                <w:b/>
                <w:sz w:val="22"/>
                <w:szCs w:val="22"/>
              </w:rPr>
              <w:t>37</w:t>
            </w:r>
          </w:p>
        </w:tc>
        <w:tc>
          <w:tcPr>
            <w:tcW w:w="1702" w:type="dxa"/>
            <w:tcBorders>
              <w:top w:val="single" w:color="auto" w:sz="4" w:space="0"/>
              <w:left w:val="single" w:color="auto" w:sz="4" w:space="0"/>
              <w:bottom w:val="single" w:color="auto" w:sz="4" w:space="0"/>
              <w:right w:val="single" w:color="auto" w:sz="4" w:space="0"/>
            </w:tcBorders>
            <w:noWrap/>
            <w:vAlign w:val="center"/>
          </w:tcPr>
          <w:p w14:paraId="684E5578">
            <w:pPr>
              <w:pStyle w:val="77"/>
              <w:tabs>
                <w:tab w:val="left" w:pos="4032"/>
              </w:tabs>
              <w:spacing w:line="240" w:lineRule="auto"/>
              <w:ind w:left="-342" w:right="-354"/>
              <w:jc w:val="center"/>
              <w:rPr>
                <w:rFonts w:hint="eastAsia" w:ascii="宋体" w:hAnsi="宋体" w:eastAsia="宋体" w:cs="宋体"/>
                <w:b/>
                <w:sz w:val="22"/>
                <w:szCs w:val="22"/>
              </w:rPr>
            </w:pPr>
            <w:r>
              <w:rPr>
                <w:rFonts w:hint="eastAsia" w:ascii="宋体" w:hAnsi="宋体" w:eastAsia="宋体" w:cs="宋体"/>
                <w:b/>
                <w:sz w:val="22"/>
                <w:szCs w:val="22"/>
              </w:rPr>
              <w:t>腿套</w:t>
            </w:r>
          </w:p>
        </w:tc>
        <w:tc>
          <w:tcPr>
            <w:tcW w:w="1234" w:type="dxa"/>
            <w:tcBorders>
              <w:top w:val="single" w:color="auto" w:sz="4" w:space="0"/>
              <w:left w:val="single" w:color="auto" w:sz="4" w:space="0"/>
              <w:bottom w:val="single" w:color="auto" w:sz="4" w:space="0"/>
              <w:right w:val="single" w:color="auto" w:sz="4" w:space="0"/>
            </w:tcBorders>
            <w:noWrap/>
            <w:vAlign w:val="center"/>
          </w:tcPr>
          <w:p w14:paraId="556931EE">
            <w:pPr>
              <w:pStyle w:val="77"/>
              <w:spacing w:line="240" w:lineRule="auto"/>
              <w:ind w:left="-342" w:right="-354"/>
              <w:jc w:val="center"/>
              <w:rPr>
                <w:rFonts w:hint="eastAsia" w:ascii="宋体" w:hAnsi="宋体" w:eastAsia="宋体" w:cs="宋体"/>
                <w:b/>
                <w:sz w:val="22"/>
                <w:szCs w:val="22"/>
              </w:rPr>
            </w:pPr>
            <w:r>
              <w:rPr>
                <w:rFonts w:hint="eastAsia" w:ascii="宋体" w:hAnsi="宋体" w:eastAsia="宋体" w:cs="宋体"/>
                <w:b/>
                <w:sz w:val="22"/>
                <w:szCs w:val="22"/>
              </w:rPr>
              <w:t>1</w:t>
            </w:r>
          </w:p>
        </w:tc>
        <w:tc>
          <w:tcPr>
            <w:tcW w:w="1134" w:type="dxa"/>
            <w:tcBorders>
              <w:top w:val="single" w:color="auto" w:sz="4" w:space="0"/>
              <w:left w:val="single" w:color="auto" w:sz="4" w:space="0"/>
              <w:bottom w:val="single" w:color="auto" w:sz="4" w:space="0"/>
              <w:right w:val="single" w:color="auto" w:sz="4" w:space="0"/>
            </w:tcBorders>
            <w:noWrap/>
            <w:vAlign w:val="center"/>
          </w:tcPr>
          <w:p w14:paraId="6D2025EE">
            <w:pPr>
              <w:pStyle w:val="77"/>
              <w:spacing w:line="240" w:lineRule="auto"/>
              <w:ind w:left="-342" w:right="-354"/>
              <w:jc w:val="center"/>
              <w:rPr>
                <w:rFonts w:hint="eastAsia" w:ascii="宋体" w:hAnsi="宋体" w:eastAsia="宋体" w:cs="宋体"/>
                <w:b/>
                <w:sz w:val="22"/>
                <w:szCs w:val="22"/>
                <w:lang w:val="en-US" w:eastAsia="zh-CN"/>
              </w:rPr>
            </w:pPr>
            <w:r>
              <w:rPr>
                <w:rFonts w:hint="eastAsia" w:ascii="宋体" w:hAnsi="宋体" w:eastAsia="宋体" w:cs="宋体"/>
                <w:b/>
                <w:sz w:val="22"/>
                <w:szCs w:val="22"/>
                <w:lang w:val="en-US" w:eastAsia="zh-CN"/>
              </w:rPr>
              <w:t>0.90</w:t>
            </w:r>
          </w:p>
        </w:tc>
      </w:tr>
      <w:tr w14:paraId="29554F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5" w:hRule="atLeast"/>
        </w:trPr>
        <w:tc>
          <w:tcPr>
            <w:tcW w:w="709" w:type="dxa"/>
            <w:tcBorders>
              <w:top w:val="single" w:color="auto" w:sz="4" w:space="0"/>
              <w:left w:val="single" w:color="auto" w:sz="4" w:space="0"/>
              <w:bottom w:val="single" w:color="auto" w:sz="4" w:space="0"/>
              <w:right w:val="single" w:color="auto" w:sz="4" w:space="0"/>
            </w:tcBorders>
            <w:noWrap/>
            <w:vAlign w:val="center"/>
          </w:tcPr>
          <w:p w14:paraId="306D6054">
            <w:pPr>
              <w:spacing w:line="240" w:lineRule="auto"/>
              <w:jc w:val="center"/>
              <w:rPr>
                <w:rFonts w:hint="eastAsia" w:ascii="宋体" w:hAnsi="宋体" w:eastAsia="宋体" w:cs="宋体"/>
                <w:b/>
                <w:color w:val="000000"/>
                <w:kern w:val="0"/>
                <w:sz w:val="22"/>
                <w:szCs w:val="22"/>
              </w:rPr>
            </w:pPr>
            <w:r>
              <w:rPr>
                <w:rFonts w:hint="eastAsia" w:ascii="宋体" w:hAnsi="宋体" w:eastAsia="宋体" w:cs="宋体"/>
                <w:b/>
                <w:color w:val="000000"/>
                <w:kern w:val="0"/>
                <w:sz w:val="22"/>
                <w:szCs w:val="22"/>
              </w:rPr>
              <w:t>16</w:t>
            </w:r>
          </w:p>
        </w:tc>
        <w:tc>
          <w:tcPr>
            <w:tcW w:w="1418" w:type="dxa"/>
            <w:tcBorders>
              <w:top w:val="single" w:color="auto" w:sz="4" w:space="0"/>
              <w:left w:val="single" w:color="auto" w:sz="4" w:space="0"/>
              <w:bottom w:val="single" w:color="auto" w:sz="4" w:space="0"/>
              <w:right w:val="single" w:color="auto" w:sz="4" w:space="0"/>
            </w:tcBorders>
            <w:noWrap/>
            <w:vAlign w:val="center"/>
          </w:tcPr>
          <w:p w14:paraId="3828EFF8">
            <w:pPr>
              <w:pStyle w:val="77"/>
              <w:tabs>
                <w:tab w:val="left" w:pos="4032"/>
              </w:tabs>
              <w:spacing w:line="240" w:lineRule="auto"/>
              <w:ind w:left="-342" w:right="-354"/>
              <w:jc w:val="center"/>
              <w:rPr>
                <w:rFonts w:hint="eastAsia" w:ascii="宋体" w:hAnsi="宋体" w:eastAsia="宋体" w:cs="宋体"/>
                <w:b/>
                <w:sz w:val="22"/>
                <w:szCs w:val="22"/>
              </w:rPr>
            </w:pPr>
            <w:r>
              <w:rPr>
                <w:rFonts w:hint="eastAsia" w:ascii="宋体" w:hAnsi="宋体" w:eastAsia="宋体" w:cs="宋体"/>
                <w:b/>
                <w:sz w:val="22"/>
                <w:szCs w:val="22"/>
              </w:rPr>
              <w:t>小消毒袋</w:t>
            </w:r>
          </w:p>
        </w:tc>
        <w:tc>
          <w:tcPr>
            <w:tcW w:w="1559" w:type="dxa"/>
            <w:tcBorders>
              <w:top w:val="single" w:color="auto" w:sz="4" w:space="0"/>
              <w:left w:val="single" w:color="auto" w:sz="4" w:space="0"/>
              <w:bottom w:val="single" w:color="auto" w:sz="4" w:space="0"/>
              <w:right w:val="single" w:color="auto" w:sz="4" w:space="0"/>
            </w:tcBorders>
            <w:noWrap/>
            <w:vAlign w:val="center"/>
          </w:tcPr>
          <w:p w14:paraId="52506C96">
            <w:pPr>
              <w:pStyle w:val="77"/>
              <w:tabs>
                <w:tab w:val="left" w:pos="4032"/>
              </w:tabs>
              <w:spacing w:line="240" w:lineRule="auto"/>
              <w:ind w:left="-342" w:right="-354"/>
              <w:jc w:val="center"/>
              <w:rPr>
                <w:rFonts w:hint="eastAsia" w:ascii="宋体" w:hAnsi="宋体" w:eastAsia="宋体" w:cs="宋体"/>
                <w:b/>
                <w:sz w:val="22"/>
                <w:szCs w:val="22"/>
              </w:rPr>
            </w:pPr>
            <w:r>
              <w:rPr>
                <w:rFonts w:hint="eastAsia" w:ascii="宋体" w:hAnsi="宋体" w:eastAsia="宋体" w:cs="宋体"/>
                <w:b/>
                <w:sz w:val="22"/>
                <w:szCs w:val="22"/>
              </w:rPr>
              <w:t>1</w:t>
            </w:r>
          </w:p>
        </w:tc>
        <w:tc>
          <w:tcPr>
            <w:tcW w:w="962" w:type="dxa"/>
            <w:tcBorders>
              <w:top w:val="single" w:color="auto" w:sz="4" w:space="0"/>
              <w:left w:val="single" w:color="auto" w:sz="4" w:space="0"/>
              <w:bottom w:val="single" w:color="auto" w:sz="4" w:space="0"/>
              <w:right w:val="single" w:color="auto" w:sz="4" w:space="0"/>
            </w:tcBorders>
            <w:noWrap/>
            <w:vAlign w:val="center"/>
          </w:tcPr>
          <w:p w14:paraId="1D507807">
            <w:pPr>
              <w:pStyle w:val="77"/>
              <w:spacing w:line="240" w:lineRule="auto"/>
              <w:ind w:left="-342" w:right="-354"/>
              <w:jc w:val="center"/>
              <w:rPr>
                <w:rFonts w:hint="eastAsia" w:ascii="宋体" w:hAnsi="宋体" w:eastAsia="宋体" w:cs="宋体"/>
                <w:b/>
                <w:sz w:val="22"/>
                <w:szCs w:val="22"/>
                <w:lang w:val="en-US" w:eastAsia="zh-CN"/>
              </w:rPr>
            </w:pPr>
            <w:r>
              <w:rPr>
                <w:rFonts w:hint="eastAsia" w:ascii="宋体" w:hAnsi="宋体" w:eastAsia="宋体" w:cs="宋体"/>
                <w:b/>
                <w:sz w:val="22"/>
                <w:szCs w:val="22"/>
                <w:lang w:val="en-US" w:eastAsia="zh-CN"/>
              </w:rPr>
              <w:t>0.60</w:t>
            </w:r>
          </w:p>
        </w:tc>
        <w:tc>
          <w:tcPr>
            <w:tcW w:w="780" w:type="dxa"/>
            <w:tcBorders>
              <w:top w:val="single" w:color="auto" w:sz="4" w:space="0"/>
              <w:left w:val="single" w:color="auto" w:sz="4" w:space="0"/>
              <w:bottom w:val="single" w:color="auto" w:sz="4" w:space="0"/>
              <w:right w:val="single" w:color="auto" w:sz="4" w:space="0"/>
            </w:tcBorders>
            <w:noWrap/>
            <w:vAlign w:val="center"/>
          </w:tcPr>
          <w:p w14:paraId="0450BDF2">
            <w:pPr>
              <w:pStyle w:val="77"/>
              <w:spacing w:line="240" w:lineRule="auto"/>
              <w:ind w:right="-354" w:firstLine="221" w:firstLineChars="100"/>
              <w:jc w:val="both"/>
              <w:rPr>
                <w:rFonts w:hint="eastAsia" w:ascii="宋体" w:hAnsi="宋体" w:eastAsia="宋体" w:cs="宋体"/>
                <w:b/>
                <w:sz w:val="22"/>
                <w:szCs w:val="22"/>
              </w:rPr>
            </w:pPr>
            <w:r>
              <w:rPr>
                <w:rFonts w:hint="eastAsia" w:ascii="宋体" w:hAnsi="宋体" w:eastAsia="宋体" w:cs="宋体"/>
                <w:b/>
                <w:sz w:val="22"/>
                <w:szCs w:val="22"/>
              </w:rPr>
              <w:t>38</w:t>
            </w:r>
          </w:p>
        </w:tc>
        <w:tc>
          <w:tcPr>
            <w:tcW w:w="1702" w:type="dxa"/>
            <w:tcBorders>
              <w:top w:val="single" w:color="auto" w:sz="4" w:space="0"/>
              <w:left w:val="single" w:color="auto" w:sz="4" w:space="0"/>
              <w:bottom w:val="single" w:color="auto" w:sz="4" w:space="0"/>
              <w:right w:val="single" w:color="auto" w:sz="4" w:space="0"/>
            </w:tcBorders>
            <w:noWrap/>
            <w:vAlign w:val="center"/>
          </w:tcPr>
          <w:p w14:paraId="55BCAB1C">
            <w:pPr>
              <w:pStyle w:val="77"/>
              <w:tabs>
                <w:tab w:val="left" w:pos="4032"/>
              </w:tabs>
              <w:spacing w:line="240" w:lineRule="auto"/>
              <w:ind w:left="-342" w:right="-354"/>
              <w:jc w:val="center"/>
              <w:rPr>
                <w:rFonts w:hint="eastAsia" w:ascii="宋体" w:hAnsi="宋体" w:eastAsia="宋体" w:cs="宋体"/>
                <w:b/>
                <w:sz w:val="22"/>
                <w:szCs w:val="22"/>
              </w:rPr>
            </w:pPr>
            <w:r>
              <w:rPr>
                <w:rFonts w:hint="eastAsia" w:ascii="宋体" w:hAnsi="宋体" w:eastAsia="宋体" w:cs="宋体"/>
                <w:b/>
                <w:sz w:val="22"/>
                <w:szCs w:val="22"/>
              </w:rPr>
              <w:t>双层中单</w:t>
            </w:r>
          </w:p>
          <w:p w14:paraId="6DFAAC0A">
            <w:pPr>
              <w:pStyle w:val="77"/>
              <w:tabs>
                <w:tab w:val="left" w:pos="4032"/>
              </w:tabs>
              <w:spacing w:line="240" w:lineRule="auto"/>
              <w:ind w:left="-342" w:right="-354"/>
              <w:jc w:val="center"/>
              <w:rPr>
                <w:rFonts w:hint="eastAsia" w:ascii="宋体" w:hAnsi="宋体" w:eastAsia="宋体" w:cs="宋体"/>
                <w:b/>
                <w:sz w:val="22"/>
                <w:szCs w:val="22"/>
              </w:rPr>
            </w:pPr>
            <w:r>
              <w:rPr>
                <w:rFonts w:hint="eastAsia" w:ascii="宋体" w:hAnsi="宋体" w:eastAsia="宋体" w:cs="宋体"/>
                <w:b/>
                <w:sz w:val="22"/>
                <w:szCs w:val="22"/>
              </w:rPr>
              <w:t>230*170</w:t>
            </w:r>
          </w:p>
        </w:tc>
        <w:tc>
          <w:tcPr>
            <w:tcW w:w="1234" w:type="dxa"/>
            <w:tcBorders>
              <w:top w:val="single" w:color="auto" w:sz="4" w:space="0"/>
              <w:left w:val="single" w:color="auto" w:sz="4" w:space="0"/>
              <w:bottom w:val="single" w:color="auto" w:sz="4" w:space="0"/>
              <w:right w:val="single" w:color="auto" w:sz="4" w:space="0"/>
            </w:tcBorders>
            <w:noWrap/>
            <w:vAlign w:val="center"/>
          </w:tcPr>
          <w:p w14:paraId="7FE550D9">
            <w:pPr>
              <w:pStyle w:val="77"/>
              <w:spacing w:line="240" w:lineRule="auto"/>
              <w:ind w:left="-342" w:right="-354"/>
              <w:jc w:val="center"/>
              <w:rPr>
                <w:rFonts w:hint="eastAsia" w:ascii="宋体" w:hAnsi="宋体" w:eastAsia="宋体" w:cs="宋体"/>
                <w:b/>
                <w:sz w:val="22"/>
                <w:szCs w:val="22"/>
              </w:rPr>
            </w:pPr>
            <w:r>
              <w:rPr>
                <w:rFonts w:hint="eastAsia" w:ascii="宋体" w:hAnsi="宋体" w:eastAsia="宋体" w:cs="宋体"/>
                <w:b/>
                <w:sz w:val="22"/>
                <w:szCs w:val="22"/>
              </w:rPr>
              <w:t>1</w:t>
            </w:r>
          </w:p>
        </w:tc>
        <w:tc>
          <w:tcPr>
            <w:tcW w:w="1134" w:type="dxa"/>
            <w:tcBorders>
              <w:top w:val="single" w:color="auto" w:sz="4" w:space="0"/>
              <w:left w:val="single" w:color="auto" w:sz="4" w:space="0"/>
              <w:bottom w:val="single" w:color="auto" w:sz="4" w:space="0"/>
              <w:right w:val="single" w:color="auto" w:sz="4" w:space="0"/>
            </w:tcBorders>
            <w:noWrap/>
            <w:vAlign w:val="center"/>
          </w:tcPr>
          <w:p w14:paraId="64438390">
            <w:pPr>
              <w:pStyle w:val="77"/>
              <w:spacing w:line="240" w:lineRule="auto"/>
              <w:ind w:left="-342" w:right="-354"/>
              <w:jc w:val="center"/>
              <w:rPr>
                <w:rFonts w:hint="eastAsia" w:ascii="宋体" w:hAnsi="宋体" w:eastAsia="宋体" w:cs="宋体"/>
                <w:b/>
                <w:sz w:val="22"/>
                <w:szCs w:val="22"/>
                <w:lang w:val="en-US" w:eastAsia="zh-CN"/>
              </w:rPr>
            </w:pPr>
            <w:r>
              <w:rPr>
                <w:rFonts w:hint="eastAsia" w:ascii="宋体" w:hAnsi="宋体" w:eastAsia="宋体" w:cs="宋体"/>
                <w:b/>
                <w:sz w:val="22"/>
                <w:szCs w:val="22"/>
                <w:lang w:val="en-US" w:eastAsia="zh-CN"/>
              </w:rPr>
              <w:t>3.40</w:t>
            </w:r>
          </w:p>
        </w:tc>
      </w:tr>
      <w:tr w14:paraId="69D534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5" w:hRule="atLeast"/>
        </w:trPr>
        <w:tc>
          <w:tcPr>
            <w:tcW w:w="709" w:type="dxa"/>
            <w:tcBorders>
              <w:top w:val="single" w:color="auto" w:sz="4" w:space="0"/>
              <w:left w:val="single" w:color="auto" w:sz="4" w:space="0"/>
              <w:bottom w:val="single" w:color="auto" w:sz="4" w:space="0"/>
              <w:right w:val="single" w:color="auto" w:sz="4" w:space="0"/>
            </w:tcBorders>
            <w:noWrap/>
            <w:vAlign w:val="center"/>
          </w:tcPr>
          <w:p w14:paraId="0FF650F4">
            <w:pPr>
              <w:spacing w:line="240" w:lineRule="auto"/>
              <w:ind w:firstLine="221" w:firstLineChars="100"/>
              <w:rPr>
                <w:rFonts w:hint="eastAsia" w:ascii="宋体" w:hAnsi="宋体" w:eastAsia="宋体" w:cs="宋体"/>
                <w:b/>
                <w:color w:val="000000"/>
                <w:kern w:val="0"/>
                <w:sz w:val="22"/>
                <w:szCs w:val="22"/>
              </w:rPr>
            </w:pPr>
            <w:r>
              <w:rPr>
                <w:rFonts w:hint="eastAsia" w:ascii="宋体" w:hAnsi="宋体" w:eastAsia="宋体" w:cs="宋体"/>
                <w:b/>
                <w:color w:val="000000"/>
                <w:kern w:val="0"/>
                <w:sz w:val="22"/>
                <w:szCs w:val="22"/>
              </w:rPr>
              <w:t>17</w:t>
            </w:r>
          </w:p>
        </w:tc>
        <w:tc>
          <w:tcPr>
            <w:tcW w:w="1418" w:type="dxa"/>
            <w:tcBorders>
              <w:top w:val="single" w:color="auto" w:sz="4" w:space="0"/>
              <w:left w:val="single" w:color="auto" w:sz="4" w:space="0"/>
              <w:bottom w:val="single" w:color="auto" w:sz="4" w:space="0"/>
              <w:right w:val="single" w:color="auto" w:sz="4" w:space="0"/>
            </w:tcBorders>
            <w:noWrap/>
            <w:vAlign w:val="center"/>
          </w:tcPr>
          <w:p w14:paraId="3D168586">
            <w:pPr>
              <w:spacing w:line="240" w:lineRule="auto"/>
              <w:jc w:val="center"/>
              <w:rPr>
                <w:rFonts w:hint="eastAsia" w:ascii="宋体" w:hAnsi="宋体" w:eastAsia="宋体" w:cs="宋体"/>
                <w:b/>
                <w:color w:val="000000"/>
                <w:kern w:val="0"/>
                <w:sz w:val="22"/>
                <w:szCs w:val="22"/>
              </w:rPr>
            </w:pPr>
            <w:r>
              <w:rPr>
                <w:rFonts w:hint="eastAsia" w:ascii="宋体" w:hAnsi="宋体" w:eastAsia="宋体" w:cs="宋体"/>
                <w:b/>
                <w:color w:val="000000"/>
                <w:kern w:val="0"/>
                <w:sz w:val="22"/>
                <w:szCs w:val="22"/>
              </w:rPr>
              <w:t>帽子</w:t>
            </w:r>
          </w:p>
        </w:tc>
        <w:tc>
          <w:tcPr>
            <w:tcW w:w="1559" w:type="dxa"/>
            <w:tcBorders>
              <w:top w:val="single" w:color="auto" w:sz="4" w:space="0"/>
              <w:left w:val="single" w:color="auto" w:sz="4" w:space="0"/>
              <w:bottom w:val="single" w:color="auto" w:sz="4" w:space="0"/>
              <w:right w:val="single" w:color="auto" w:sz="4" w:space="0"/>
            </w:tcBorders>
            <w:noWrap/>
            <w:vAlign w:val="center"/>
          </w:tcPr>
          <w:p w14:paraId="477613E0">
            <w:pPr>
              <w:pStyle w:val="77"/>
              <w:spacing w:line="240" w:lineRule="auto"/>
              <w:ind w:left="-342" w:right="-354"/>
              <w:jc w:val="center"/>
              <w:rPr>
                <w:rFonts w:hint="eastAsia" w:ascii="宋体" w:hAnsi="宋体" w:eastAsia="宋体" w:cs="宋体"/>
                <w:b/>
                <w:sz w:val="22"/>
                <w:szCs w:val="22"/>
              </w:rPr>
            </w:pPr>
            <w:r>
              <w:rPr>
                <w:rFonts w:hint="eastAsia" w:ascii="宋体" w:hAnsi="宋体" w:eastAsia="宋体" w:cs="宋体"/>
                <w:b/>
                <w:sz w:val="22"/>
                <w:szCs w:val="22"/>
              </w:rPr>
              <w:t>1</w:t>
            </w:r>
          </w:p>
        </w:tc>
        <w:tc>
          <w:tcPr>
            <w:tcW w:w="962" w:type="dxa"/>
            <w:tcBorders>
              <w:top w:val="single" w:color="auto" w:sz="4" w:space="0"/>
              <w:left w:val="single" w:color="auto" w:sz="4" w:space="0"/>
              <w:bottom w:val="single" w:color="auto" w:sz="4" w:space="0"/>
              <w:right w:val="single" w:color="auto" w:sz="4" w:space="0"/>
            </w:tcBorders>
            <w:noWrap/>
            <w:vAlign w:val="center"/>
          </w:tcPr>
          <w:p w14:paraId="5C864EDF">
            <w:pPr>
              <w:spacing w:line="240" w:lineRule="auto"/>
              <w:jc w:val="center"/>
              <w:rPr>
                <w:rFonts w:hint="eastAsia" w:ascii="宋体" w:hAnsi="宋体" w:eastAsia="宋体" w:cs="宋体"/>
                <w:b/>
                <w:color w:val="000000"/>
                <w:kern w:val="0"/>
                <w:sz w:val="22"/>
                <w:szCs w:val="22"/>
                <w:lang w:val="en-US" w:eastAsia="zh-CN"/>
              </w:rPr>
            </w:pPr>
            <w:r>
              <w:rPr>
                <w:rFonts w:hint="eastAsia" w:ascii="宋体" w:hAnsi="宋体" w:eastAsia="宋体" w:cs="宋体"/>
                <w:b/>
                <w:color w:val="000000"/>
                <w:kern w:val="0"/>
                <w:sz w:val="22"/>
                <w:szCs w:val="22"/>
                <w:lang w:val="en-US" w:eastAsia="zh-CN"/>
              </w:rPr>
              <w:t>0.60</w:t>
            </w:r>
          </w:p>
        </w:tc>
        <w:tc>
          <w:tcPr>
            <w:tcW w:w="780" w:type="dxa"/>
            <w:tcBorders>
              <w:top w:val="single" w:color="auto" w:sz="4" w:space="0"/>
              <w:left w:val="single" w:color="auto" w:sz="4" w:space="0"/>
              <w:bottom w:val="single" w:color="auto" w:sz="4" w:space="0"/>
              <w:right w:val="single" w:color="auto" w:sz="4" w:space="0"/>
            </w:tcBorders>
            <w:noWrap/>
            <w:vAlign w:val="center"/>
          </w:tcPr>
          <w:p w14:paraId="6FD7E3DF">
            <w:pPr>
              <w:pStyle w:val="77"/>
              <w:spacing w:line="240" w:lineRule="auto"/>
              <w:ind w:right="-354" w:firstLine="221" w:firstLineChars="100"/>
              <w:jc w:val="both"/>
              <w:rPr>
                <w:rFonts w:hint="eastAsia" w:ascii="宋体" w:hAnsi="宋体" w:eastAsia="宋体" w:cs="宋体"/>
                <w:b/>
                <w:sz w:val="22"/>
                <w:szCs w:val="22"/>
              </w:rPr>
            </w:pPr>
            <w:r>
              <w:rPr>
                <w:rFonts w:hint="eastAsia" w:ascii="宋体" w:hAnsi="宋体" w:eastAsia="宋体" w:cs="宋体"/>
                <w:b/>
                <w:sz w:val="22"/>
                <w:szCs w:val="22"/>
              </w:rPr>
              <w:t>39</w:t>
            </w:r>
          </w:p>
        </w:tc>
        <w:tc>
          <w:tcPr>
            <w:tcW w:w="1702" w:type="dxa"/>
            <w:tcBorders>
              <w:top w:val="single" w:color="auto" w:sz="4" w:space="0"/>
              <w:left w:val="single" w:color="auto" w:sz="4" w:space="0"/>
              <w:bottom w:val="single" w:color="auto" w:sz="4" w:space="0"/>
              <w:right w:val="single" w:color="auto" w:sz="4" w:space="0"/>
            </w:tcBorders>
            <w:noWrap/>
            <w:vAlign w:val="center"/>
          </w:tcPr>
          <w:p w14:paraId="10AAB2CA">
            <w:pPr>
              <w:pStyle w:val="77"/>
              <w:tabs>
                <w:tab w:val="left" w:pos="4032"/>
              </w:tabs>
              <w:spacing w:line="240" w:lineRule="auto"/>
              <w:ind w:left="-342" w:right="-354"/>
              <w:jc w:val="center"/>
              <w:rPr>
                <w:rFonts w:hint="eastAsia" w:ascii="宋体" w:hAnsi="宋体" w:eastAsia="宋体" w:cs="宋体"/>
                <w:b/>
                <w:sz w:val="22"/>
                <w:szCs w:val="22"/>
              </w:rPr>
            </w:pPr>
            <w:r>
              <w:rPr>
                <w:rFonts w:hint="eastAsia" w:ascii="宋体" w:hAnsi="宋体" w:eastAsia="宋体" w:cs="宋体"/>
                <w:b/>
                <w:sz w:val="22"/>
                <w:szCs w:val="22"/>
              </w:rPr>
              <w:t>单层中单</w:t>
            </w:r>
          </w:p>
        </w:tc>
        <w:tc>
          <w:tcPr>
            <w:tcW w:w="1234" w:type="dxa"/>
            <w:tcBorders>
              <w:top w:val="single" w:color="auto" w:sz="4" w:space="0"/>
              <w:left w:val="single" w:color="auto" w:sz="4" w:space="0"/>
              <w:bottom w:val="single" w:color="auto" w:sz="4" w:space="0"/>
              <w:right w:val="single" w:color="auto" w:sz="4" w:space="0"/>
            </w:tcBorders>
            <w:noWrap/>
            <w:vAlign w:val="center"/>
          </w:tcPr>
          <w:p w14:paraId="1AB9F9C7">
            <w:pPr>
              <w:pStyle w:val="77"/>
              <w:spacing w:line="240" w:lineRule="auto"/>
              <w:ind w:left="-342" w:right="-354"/>
              <w:jc w:val="center"/>
              <w:rPr>
                <w:rFonts w:hint="eastAsia" w:ascii="宋体" w:hAnsi="宋体" w:eastAsia="宋体" w:cs="宋体"/>
                <w:b/>
                <w:sz w:val="22"/>
                <w:szCs w:val="22"/>
              </w:rPr>
            </w:pPr>
            <w:r>
              <w:rPr>
                <w:rFonts w:hint="eastAsia" w:ascii="宋体" w:hAnsi="宋体" w:eastAsia="宋体" w:cs="宋体"/>
                <w:b/>
                <w:sz w:val="22"/>
                <w:szCs w:val="22"/>
              </w:rPr>
              <w:t>1</w:t>
            </w:r>
          </w:p>
        </w:tc>
        <w:tc>
          <w:tcPr>
            <w:tcW w:w="1134" w:type="dxa"/>
            <w:tcBorders>
              <w:top w:val="single" w:color="auto" w:sz="4" w:space="0"/>
              <w:left w:val="single" w:color="auto" w:sz="4" w:space="0"/>
              <w:bottom w:val="single" w:color="auto" w:sz="4" w:space="0"/>
              <w:right w:val="single" w:color="auto" w:sz="4" w:space="0"/>
            </w:tcBorders>
            <w:noWrap/>
            <w:vAlign w:val="center"/>
          </w:tcPr>
          <w:p w14:paraId="37B74663">
            <w:pPr>
              <w:pStyle w:val="77"/>
              <w:spacing w:line="240" w:lineRule="auto"/>
              <w:ind w:left="-342" w:right="-354"/>
              <w:jc w:val="center"/>
              <w:rPr>
                <w:rFonts w:hint="eastAsia" w:ascii="宋体" w:hAnsi="宋体" w:eastAsia="宋体" w:cs="宋体"/>
                <w:b/>
                <w:sz w:val="22"/>
                <w:szCs w:val="22"/>
                <w:lang w:val="en-US" w:eastAsia="zh-CN"/>
              </w:rPr>
            </w:pPr>
            <w:r>
              <w:rPr>
                <w:rFonts w:hint="eastAsia" w:ascii="宋体" w:hAnsi="宋体" w:eastAsia="宋体" w:cs="宋体"/>
                <w:b/>
                <w:sz w:val="22"/>
                <w:szCs w:val="22"/>
                <w:lang w:val="en-US" w:eastAsia="zh-CN"/>
              </w:rPr>
              <w:t>2.20</w:t>
            </w:r>
          </w:p>
        </w:tc>
      </w:tr>
      <w:tr w14:paraId="6AFB97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trPr>
        <w:tc>
          <w:tcPr>
            <w:tcW w:w="709" w:type="dxa"/>
            <w:tcBorders>
              <w:top w:val="single" w:color="auto" w:sz="4" w:space="0"/>
              <w:left w:val="single" w:color="auto" w:sz="4" w:space="0"/>
              <w:bottom w:val="single" w:color="auto" w:sz="4" w:space="0"/>
              <w:right w:val="single" w:color="auto" w:sz="4" w:space="0"/>
            </w:tcBorders>
            <w:noWrap/>
            <w:vAlign w:val="center"/>
          </w:tcPr>
          <w:p w14:paraId="6200650D">
            <w:pPr>
              <w:spacing w:line="240" w:lineRule="auto"/>
              <w:jc w:val="center"/>
              <w:rPr>
                <w:rFonts w:hint="eastAsia" w:ascii="宋体" w:hAnsi="宋体" w:eastAsia="宋体" w:cs="宋体"/>
                <w:b/>
                <w:color w:val="000000"/>
                <w:kern w:val="0"/>
                <w:sz w:val="22"/>
                <w:szCs w:val="22"/>
              </w:rPr>
            </w:pPr>
            <w:r>
              <w:rPr>
                <w:rFonts w:hint="eastAsia" w:ascii="宋体" w:hAnsi="宋体" w:eastAsia="宋体" w:cs="宋体"/>
                <w:b/>
                <w:color w:val="000000"/>
                <w:kern w:val="0"/>
                <w:sz w:val="22"/>
                <w:szCs w:val="22"/>
              </w:rPr>
              <w:t>18</w:t>
            </w:r>
          </w:p>
        </w:tc>
        <w:tc>
          <w:tcPr>
            <w:tcW w:w="1418" w:type="dxa"/>
            <w:tcBorders>
              <w:top w:val="single" w:color="auto" w:sz="4" w:space="0"/>
              <w:left w:val="single" w:color="auto" w:sz="4" w:space="0"/>
              <w:bottom w:val="single" w:color="auto" w:sz="4" w:space="0"/>
              <w:right w:val="single" w:color="auto" w:sz="4" w:space="0"/>
            </w:tcBorders>
            <w:noWrap/>
            <w:vAlign w:val="center"/>
          </w:tcPr>
          <w:p w14:paraId="36B2CD3C">
            <w:pPr>
              <w:spacing w:line="240" w:lineRule="auto"/>
              <w:jc w:val="center"/>
              <w:rPr>
                <w:rFonts w:hint="eastAsia" w:ascii="宋体" w:hAnsi="宋体" w:eastAsia="宋体" w:cs="宋体"/>
                <w:b/>
                <w:color w:val="000000"/>
                <w:kern w:val="0"/>
                <w:sz w:val="22"/>
                <w:szCs w:val="22"/>
              </w:rPr>
            </w:pPr>
            <w:r>
              <w:rPr>
                <w:rFonts w:hint="eastAsia" w:ascii="宋体" w:hAnsi="宋体" w:eastAsia="宋体" w:cs="宋体"/>
                <w:b/>
                <w:color w:val="000000"/>
                <w:kern w:val="0"/>
                <w:sz w:val="22"/>
                <w:szCs w:val="22"/>
              </w:rPr>
              <w:t>浴巾    150*75</w:t>
            </w:r>
          </w:p>
        </w:tc>
        <w:tc>
          <w:tcPr>
            <w:tcW w:w="1559" w:type="dxa"/>
            <w:tcBorders>
              <w:top w:val="single" w:color="auto" w:sz="4" w:space="0"/>
              <w:left w:val="single" w:color="auto" w:sz="4" w:space="0"/>
              <w:bottom w:val="single" w:color="auto" w:sz="4" w:space="0"/>
              <w:right w:val="single" w:color="auto" w:sz="4" w:space="0"/>
            </w:tcBorders>
            <w:noWrap/>
            <w:vAlign w:val="center"/>
          </w:tcPr>
          <w:p w14:paraId="46E5D47F">
            <w:pPr>
              <w:pStyle w:val="77"/>
              <w:spacing w:line="240" w:lineRule="auto"/>
              <w:ind w:left="-342" w:right="-354"/>
              <w:jc w:val="center"/>
              <w:rPr>
                <w:rFonts w:hint="eastAsia" w:ascii="宋体" w:hAnsi="宋体" w:eastAsia="宋体" w:cs="宋体"/>
                <w:b/>
                <w:sz w:val="22"/>
                <w:szCs w:val="22"/>
              </w:rPr>
            </w:pPr>
            <w:r>
              <w:rPr>
                <w:rFonts w:hint="eastAsia" w:ascii="宋体" w:hAnsi="宋体" w:eastAsia="宋体" w:cs="宋体"/>
                <w:b/>
                <w:sz w:val="22"/>
                <w:szCs w:val="22"/>
              </w:rPr>
              <w:t>1</w:t>
            </w:r>
          </w:p>
        </w:tc>
        <w:tc>
          <w:tcPr>
            <w:tcW w:w="962" w:type="dxa"/>
            <w:tcBorders>
              <w:top w:val="single" w:color="auto" w:sz="4" w:space="0"/>
              <w:left w:val="single" w:color="auto" w:sz="4" w:space="0"/>
              <w:bottom w:val="single" w:color="auto" w:sz="4" w:space="0"/>
              <w:right w:val="single" w:color="auto" w:sz="4" w:space="0"/>
            </w:tcBorders>
            <w:noWrap/>
            <w:vAlign w:val="center"/>
          </w:tcPr>
          <w:p w14:paraId="0F27C219">
            <w:pPr>
              <w:spacing w:line="240" w:lineRule="auto"/>
              <w:jc w:val="center"/>
              <w:rPr>
                <w:rFonts w:hint="eastAsia" w:ascii="宋体" w:hAnsi="宋体" w:eastAsia="宋体" w:cs="宋体"/>
                <w:b/>
                <w:color w:val="000000"/>
                <w:kern w:val="0"/>
                <w:sz w:val="22"/>
                <w:szCs w:val="22"/>
                <w:lang w:val="en-US" w:eastAsia="zh-CN"/>
              </w:rPr>
            </w:pPr>
            <w:r>
              <w:rPr>
                <w:rFonts w:hint="eastAsia" w:ascii="宋体" w:hAnsi="宋体" w:eastAsia="宋体" w:cs="宋体"/>
                <w:b/>
                <w:color w:val="000000"/>
                <w:kern w:val="0"/>
                <w:sz w:val="22"/>
                <w:szCs w:val="22"/>
                <w:lang w:val="en-US" w:eastAsia="zh-CN"/>
              </w:rPr>
              <w:t>1.00</w:t>
            </w:r>
          </w:p>
        </w:tc>
        <w:tc>
          <w:tcPr>
            <w:tcW w:w="780" w:type="dxa"/>
            <w:tcBorders>
              <w:top w:val="single" w:color="auto" w:sz="4" w:space="0"/>
              <w:left w:val="single" w:color="auto" w:sz="4" w:space="0"/>
              <w:bottom w:val="single" w:color="auto" w:sz="4" w:space="0"/>
              <w:right w:val="single" w:color="auto" w:sz="4" w:space="0"/>
            </w:tcBorders>
            <w:noWrap/>
            <w:vAlign w:val="center"/>
          </w:tcPr>
          <w:p w14:paraId="7B9355BC">
            <w:pPr>
              <w:pStyle w:val="77"/>
              <w:spacing w:line="240" w:lineRule="auto"/>
              <w:ind w:right="-354" w:firstLine="221" w:firstLineChars="100"/>
              <w:jc w:val="both"/>
              <w:rPr>
                <w:rFonts w:hint="eastAsia" w:ascii="宋体" w:hAnsi="宋体" w:eastAsia="宋体" w:cs="宋体"/>
                <w:b/>
                <w:sz w:val="22"/>
                <w:szCs w:val="22"/>
              </w:rPr>
            </w:pPr>
            <w:r>
              <w:rPr>
                <w:rFonts w:hint="eastAsia" w:ascii="宋体" w:hAnsi="宋体" w:eastAsia="宋体" w:cs="宋体"/>
                <w:b/>
                <w:sz w:val="22"/>
                <w:szCs w:val="22"/>
              </w:rPr>
              <w:t>40</w:t>
            </w:r>
          </w:p>
        </w:tc>
        <w:tc>
          <w:tcPr>
            <w:tcW w:w="1702" w:type="dxa"/>
            <w:tcBorders>
              <w:top w:val="single" w:color="auto" w:sz="4" w:space="0"/>
              <w:left w:val="single" w:color="auto" w:sz="4" w:space="0"/>
              <w:bottom w:val="single" w:color="auto" w:sz="4" w:space="0"/>
              <w:right w:val="single" w:color="auto" w:sz="4" w:space="0"/>
            </w:tcBorders>
            <w:noWrap/>
            <w:vAlign w:val="center"/>
          </w:tcPr>
          <w:p w14:paraId="52F0B942">
            <w:pPr>
              <w:pStyle w:val="77"/>
              <w:tabs>
                <w:tab w:val="left" w:pos="4032"/>
              </w:tabs>
              <w:spacing w:line="240" w:lineRule="auto"/>
              <w:ind w:left="-342" w:right="-354"/>
              <w:jc w:val="center"/>
              <w:rPr>
                <w:rFonts w:hint="eastAsia" w:ascii="宋体" w:hAnsi="宋体" w:eastAsia="宋体" w:cs="宋体"/>
                <w:b/>
                <w:sz w:val="22"/>
                <w:szCs w:val="22"/>
              </w:rPr>
            </w:pPr>
            <w:r>
              <w:rPr>
                <w:rFonts w:hint="eastAsia" w:ascii="宋体" w:hAnsi="宋体" w:eastAsia="宋体" w:cs="宋体"/>
                <w:b/>
                <w:sz w:val="22"/>
                <w:szCs w:val="22"/>
              </w:rPr>
              <w:t>双层腹单</w:t>
            </w:r>
          </w:p>
          <w:p w14:paraId="4875B0A9">
            <w:pPr>
              <w:pStyle w:val="77"/>
              <w:tabs>
                <w:tab w:val="left" w:pos="4032"/>
              </w:tabs>
              <w:spacing w:line="240" w:lineRule="auto"/>
              <w:ind w:left="-342" w:right="-354"/>
              <w:jc w:val="center"/>
              <w:rPr>
                <w:rFonts w:hint="eastAsia" w:ascii="宋体" w:hAnsi="宋体" w:eastAsia="宋体" w:cs="宋体"/>
                <w:b/>
                <w:sz w:val="22"/>
                <w:szCs w:val="22"/>
              </w:rPr>
            </w:pPr>
            <w:r>
              <w:rPr>
                <w:rFonts w:hint="eastAsia" w:ascii="宋体" w:hAnsi="宋体" w:eastAsia="宋体" w:cs="宋体"/>
                <w:b/>
                <w:sz w:val="22"/>
                <w:szCs w:val="22"/>
              </w:rPr>
              <w:t>140*90</w:t>
            </w:r>
          </w:p>
        </w:tc>
        <w:tc>
          <w:tcPr>
            <w:tcW w:w="1234" w:type="dxa"/>
            <w:tcBorders>
              <w:top w:val="single" w:color="auto" w:sz="4" w:space="0"/>
              <w:left w:val="single" w:color="auto" w:sz="4" w:space="0"/>
              <w:bottom w:val="single" w:color="auto" w:sz="4" w:space="0"/>
              <w:right w:val="single" w:color="auto" w:sz="4" w:space="0"/>
            </w:tcBorders>
            <w:noWrap/>
            <w:vAlign w:val="center"/>
          </w:tcPr>
          <w:p w14:paraId="3D07AFAA">
            <w:pPr>
              <w:pStyle w:val="77"/>
              <w:spacing w:line="240" w:lineRule="auto"/>
              <w:ind w:left="-342" w:right="-354"/>
              <w:jc w:val="center"/>
              <w:rPr>
                <w:rFonts w:hint="eastAsia" w:ascii="宋体" w:hAnsi="宋体" w:eastAsia="宋体" w:cs="宋体"/>
                <w:b/>
                <w:sz w:val="22"/>
                <w:szCs w:val="22"/>
              </w:rPr>
            </w:pPr>
            <w:r>
              <w:rPr>
                <w:rFonts w:hint="eastAsia" w:ascii="宋体" w:hAnsi="宋体" w:eastAsia="宋体" w:cs="宋体"/>
                <w:b/>
                <w:sz w:val="22"/>
                <w:szCs w:val="22"/>
              </w:rPr>
              <w:t>1</w:t>
            </w:r>
          </w:p>
        </w:tc>
        <w:tc>
          <w:tcPr>
            <w:tcW w:w="1134" w:type="dxa"/>
            <w:tcBorders>
              <w:top w:val="single" w:color="auto" w:sz="4" w:space="0"/>
              <w:left w:val="single" w:color="auto" w:sz="4" w:space="0"/>
              <w:bottom w:val="single" w:color="auto" w:sz="4" w:space="0"/>
              <w:right w:val="single" w:color="auto" w:sz="4" w:space="0"/>
            </w:tcBorders>
            <w:noWrap/>
            <w:vAlign w:val="center"/>
          </w:tcPr>
          <w:p w14:paraId="5AFFD13C">
            <w:pPr>
              <w:pStyle w:val="77"/>
              <w:spacing w:line="240" w:lineRule="auto"/>
              <w:ind w:left="-342" w:right="-354"/>
              <w:jc w:val="center"/>
              <w:rPr>
                <w:rFonts w:hint="eastAsia" w:ascii="宋体" w:hAnsi="宋体" w:eastAsia="宋体" w:cs="宋体"/>
                <w:b/>
                <w:sz w:val="22"/>
                <w:szCs w:val="22"/>
                <w:lang w:val="en-US" w:eastAsia="zh-CN"/>
              </w:rPr>
            </w:pPr>
            <w:r>
              <w:rPr>
                <w:rFonts w:hint="eastAsia" w:ascii="宋体" w:hAnsi="宋体" w:eastAsia="宋体" w:cs="宋体"/>
                <w:b/>
                <w:sz w:val="22"/>
                <w:szCs w:val="22"/>
                <w:lang w:val="en-US" w:eastAsia="zh-CN"/>
              </w:rPr>
              <w:t>2.20</w:t>
            </w:r>
          </w:p>
        </w:tc>
      </w:tr>
      <w:tr w14:paraId="7B629E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0" w:hRule="atLeast"/>
        </w:trPr>
        <w:tc>
          <w:tcPr>
            <w:tcW w:w="709" w:type="dxa"/>
            <w:tcBorders>
              <w:top w:val="single" w:color="auto" w:sz="4" w:space="0"/>
              <w:left w:val="single" w:color="auto" w:sz="4" w:space="0"/>
              <w:bottom w:val="single" w:color="auto" w:sz="4" w:space="0"/>
              <w:right w:val="single" w:color="auto" w:sz="4" w:space="0"/>
            </w:tcBorders>
            <w:noWrap/>
            <w:vAlign w:val="center"/>
          </w:tcPr>
          <w:p w14:paraId="5FAC95C7">
            <w:pPr>
              <w:spacing w:line="240" w:lineRule="auto"/>
              <w:jc w:val="center"/>
              <w:rPr>
                <w:rFonts w:hint="eastAsia" w:ascii="宋体" w:hAnsi="宋体" w:eastAsia="宋体" w:cs="宋体"/>
                <w:b/>
                <w:color w:val="000000"/>
                <w:kern w:val="0"/>
                <w:sz w:val="22"/>
                <w:szCs w:val="22"/>
              </w:rPr>
            </w:pPr>
            <w:r>
              <w:rPr>
                <w:rFonts w:hint="eastAsia" w:ascii="宋体" w:hAnsi="宋体" w:eastAsia="宋体" w:cs="宋体"/>
                <w:b/>
                <w:color w:val="000000"/>
                <w:kern w:val="0"/>
                <w:sz w:val="22"/>
                <w:szCs w:val="22"/>
              </w:rPr>
              <w:t>19</w:t>
            </w:r>
          </w:p>
        </w:tc>
        <w:tc>
          <w:tcPr>
            <w:tcW w:w="1418" w:type="dxa"/>
            <w:tcBorders>
              <w:top w:val="single" w:color="auto" w:sz="4" w:space="0"/>
              <w:left w:val="single" w:color="auto" w:sz="4" w:space="0"/>
              <w:bottom w:val="single" w:color="auto" w:sz="4" w:space="0"/>
              <w:right w:val="single" w:color="auto" w:sz="4" w:space="0"/>
            </w:tcBorders>
            <w:noWrap/>
            <w:vAlign w:val="center"/>
          </w:tcPr>
          <w:p w14:paraId="69B69ED0">
            <w:pPr>
              <w:spacing w:line="240" w:lineRule="auto"/>
              <w:jc w:val="center"/>
              <w:rPr>
                <w:rFonts w:hint="eastAsia" w:ascii="宋体" w:hAnsi="宋体" w:eastAsia="宋体" w:cs="宋体"/>
                <w:b/>
                <w:color w:val="000000"/>
                <w:kern w:val="0"/>
                <w:sz w:val="22"/>
                <w:szCs w:val="22"/>
              </w:rPr>
            </w:pPr>
            <w:r>
              <w:rPr>
                <w:rFonts w:hint="eastAsia" w:ascii="宋体" w:hAnsi="宋体" w:eastAsia="宋体" w:cs="宋体"/>
                <w:b/>
                <w:color w:val="000000"/>
                <w:kern w:val="0"/>
                <w:sz w:val="22"/>
                <w:szCs w:val="22"/>
              </w:rPr>
              <w:t>双层洞巾100*100</w:t>
            </w:r>
          </w:p>
          <w:p w14:paraId="0277A2A1">
            <w:pPr>
              <w:spacing w:line="240" w:lineRule="auto"/>
              <w:jc w:val="center"/>
              <w:rPr>
                <w:rFonts w:hint="eastAsia" w:ascii="宋体" w:hAnsi="宋体" w:eastAsia="宋体" w:cs="宋体"/>
                <w:b/>
                <w:color w:val="000000"/>
                <w:kern w:val="0"/>
                <w:sz w:val="22"/>
                <w:szCs w:val="22"/>
              </w:rPr>
            </w:pPr>
            <w:r>
              <w:rPr>
                <w:rFonts w:hint="eastAsia" w:ascii="宋体" w:hAnsi="宋体" w:eastAsia="宋体" w:cs="宋体"/>
                <w:b/>
                <w:color w:val="000000"/>
                <w:kern w:val="0"/>
                <w:sz w:val="22"/>
                <w:szCs w:val="22"/>
              </w:rPr>
              <w:t>150*90   120*120</w:t>
            </w:r>
          </w:p>
        </w:tc>
        <w:tc>
          <w:tcPr>
            <w:tcW w:w="1559" w:type="dxa"/>
            <w:tcBorders>
              <w:top w:val="single" w:color="auto" w:sz="4" w:space="0"/>
              <w:left w:val="single" w:color="auto" w:sz="4" w:space="0"/>
              <w:bottom w:val="single" w:color="auto" w:sz="4" w:space="0"/>
              <w:right w:val="single" w:color="auto" w:sz="4" w:space="0"/>
            </w:tcBorders>
            <w:noWrap/>
            <w:vAlign w:val="center"/>
          </w:tcPr>
          <w:p w14:paraId="573285EF">
            <w:pPr>
              <w:pStyle w:val="77"/>
              <w:spacing w:line="240" w:lineRule="auto"/>
              <w:ind w:left="-342" w:right="-354"/>
              <w:jc w:val="center"/>
              <w:rPr>
                <w:rFonts w:hint="eastAsia" w:ascii="宋体" w:hAnsi="宋体" w:eastAsia="宋体" w:cs="宋体"/>
                <w:b/>
                <w:sz w:val="22"/>
                <w:szCs w:val="22"/>
              </w:rPr>
            </w:pPr>
            <w:r>
              <w:rPr>
                <w:rFonts w:hint="eastAsia" w:ascii="宋体" w:hAnsi="宋体" w:eastAsia="宋体" w:cs="宋体"/>
                <w:b/>
                <w:sz w:val="22"/>
                <w:szCs w:val="22"/>
              </w:rPr>
              <w:t>1</w:t>
            </w:r>
          </w:p>
        </w:tc>
        <w:tc>
          <w:tcPr>
            <w:tcW w:w="962" w:type="dxa"/>
            <w:tcBorders>
              <w:top w:val="single" w:color="auto" w:sz="4" w:space="0"/>
              <w:left w:val="single" w:color="auto" w:sz="4" w:space="0"/>
              <w:bottom w:val="single" w:color="auto" w:sz="4" w:space="0"/>
              <w:right w:val="single" w:color="auto" w:sz="4" w:space="0"/>
            </w:tcBorders>
            <w:noWrap/>
            <w:vAlign w:val="center"/>
          </w:tcPr>
          <w:p w14:paraId="109ADF63">
            <w:pPr>
              <w:spacing w:line="240" w:lineRule="auto"/>
              <w:jc w:val="center"/>
              <w:rPr>
                <w:rFonts w:hint="eastAsia" w:ascii="宋体" w:hAnsi="宋体" w:eastAsia="宋体" w:cs="宋体"/>
                <w:b/>
                <w:color w:val="000000"/>
                <w:kern w:val="0"/>
                <w:sz w:val="22"/>
                <w:szCs w:val="22"/>
                <w:lang w:val="en-US" w:eastAsia="zh-CN"/>
              </w:rPr>
            </w:pPr>
            <w:r>
              <w:rPr>
                <w:rFonts w:hint="eastAsia" w:ascii="宋体" w:hAnsi="宋体" w:eastAsia="宋体" w:cs="宋体"/>
                <w:b/>
                <w:color w:val="000000"/>
                <w:kern w:val="0"/>
                <w:sz w:val="22"/>
                <w:szCs w:val="22"/>
                <w:lang w:val="en-US" w:eastAsia="zh-CN"/>
              </w:rPr>
              <w:t>1.30</w:t>
            </w:r>
          </w:p>
        </w:tc>
        <w:tc>
          <w:tcPr>
            <w:tcW w:w="780" w:type="dxa"/>
            <w:tcBorders>
              <w:top w:val="single" w:color="auto" w:sz="4" w:space="0"/>
              <w:left w:val="single" w:color="auto" w:sz="4" w:space="0"/>
              <w:bottom w:val="single" w:color="auto" w:sz="4" w:space="0"/>
              <w:right w:val="single" w:color="auto" w:sz="4" w:space="0"/>
            </w:tcBorders>
            <w:noWrap/>
            <w:vAlign w:val="center"/>
          </w:tcPr>
          <w:p w14:paraId="22EFE34A">
            <w:pPr>
              <w:pStyle w:val="77"/>
              <w:spacing w:line="240" w:lineRule="auto"/>
              <w:ind w:right="-354" w:firstLine="221" w:firstLineChars="100"/>
              <w:jc w:val="both"/>
              <w:rPr>
                <w:rFonts w:hint="eastAsia" w:ascii="宋体" w:hAnsi="宋体" w:eastAsia="宋体" w:cs="宋体"/>
                <w:b/>
                <w:sz w:val="22"/>
                <w:szCs w:val="22"/>
              </w:rPr>
            </w:pPr>
            <w:r>
              <w:rPr>
                <w:rFonts w:hint="eastAsia" w:ascii="宋体" w:hAnsi="宋体" w:eastAsia="宋体" w:cs="宋体"/>
                <w:b/>
                <w:sz w:val="22"/>
                <w:szCs w:val="22"/>
              </w:rPr>
              <w:t>42</w:t>
            </w:r>
          </w:p>
        </w:tc>
        <w:tc>
          <w:tcPr>
            <w:tcW w:w="1702" w:type="dxa"/>
            <w:tcBorders>
              <w:top w:val="single" w:color="auto" w:sz="4" w:space="0"/>
              <w:left w:val="single" w:color="auto" w:sz="4" w:space="0"/>
              <w:bottom w:val="single" w:color="auto" w:sz="4" w:space="0"/>
              <w:right w:val="single" w:color="auto" w:sz="4" w:space="0"/>
            </w:tcBorders>
            <w:noWrap/>
            <w:vAlign w:val="center"/>
          </w:tcPr>
          <w:p w14:paraId="74C1D6EB">
            <w:pPr>
              <w:pStyle w:val="77"/>
              <w:tabs>
                <w:tab w:val="left" w:pos="4032"/>
              </w:tabs>
              <w:spacing w:line="240" w:lineRule="auto"/>
              <w:ind w:left="-342" w:right="-354"/>
              <w:jc w:val="center"/>
              <w:rPr>
                <w:rFonts w:hint="eastAsia" w:ascii="宋体" w:hAnsi="宋体" w:eastAsia="宋体" w:cs="宋体"/>
                <w:b/>
                <w:sz w:val="22"/>
                <w:szCs w:val="22"/>
              </w:rPr>
            </w:pPr>
            <w:r>
              <w:rPr>
                <w:rFonts w:hint="eastAsia" w:ascii="宋体" w:hAnsi="宋体" w:eastAsia="宋体" w:cs="宋体"/>
                <w:b/>
                <w:sz w:val="22"/>
                <w:szCs w:val="22"/>
              </w:rPr>
              <w:t>双层洞巾       50*50           15*40</w:t>
            </w:r>
          </w:p>
        </w:tc>
        <w:tc>
          <w:tcPr>
            <w:tcW w:w="1234" w:type="dxa"/>
            <w:tcBorders>
              <w:top w:val="single" w:color="auto" w:sz="4" w:space="0"/>
              <w:left w:val="single" w:color="auto" w:sz="4" w:space="0"/>
              <w:bottom w:val="single" w:color="auto" w:sz="4" w:space="0"/>
              <w:right w:val="single" w:color="auto" w:sz="4" w:space="0"/>
            </w:tcBorders>
            <w:noWrap/>
            <w:vAlign w:val="center"/>
          </w:tcPr>
          <w:p w14:paraId="26BA2EF4">
            <w:pPr>
              <w:pStyle w:val="77"/>
              <w:spacing w:line="240" w:lineRule="auto"/>
              <w:ind w:left="-342" w:right="-354"/>
              <w:jc w:val="center"/>
              <w:rPr>
                <w:rFonts w:hint="eastAsia" w:ascii="宋体" w:hAnsi="宋体" w:eastAsia="宋体" w:cs="宋体"/>
                <w:b/>
                <w:sz w:val="22"/>
                <w:szCs w:val="22"/>
              </w:rPr>
            </w:pPr>
            <w:r>
              <w:rPr>
                <w:rFonts w:hint="eastAsia" w:ascii="宋体" w:hAnsi="宋体" w:eastAsia="宋体" w:cs="宋体"/>
                <w:b/>
                <w:sz w:val="22"/>
                <w:szCs w:val="22"/>
              </w:rPr>
              <w:t>1</w:t>
            </w:r>
          </w:p>
        </w:tc>
        <w:tc>
          <w:tcPr>
            <w:tcW w:w="1134" w:type="dxa"/>
            <w:tcBorders>
              <w:top w:val="single" w:color="auto" w:sz="4" w:space="0"/>
              <w:left w:val="single" w:color="auto" w:sz="4" w:space="0"/>
              <w:bottom w:val="single" w:color="auto" w:sz="4" w:space="0"/>
              <w:right w:val="single" w:color="auto" w:sz="4" w:space="0"/>
            </w:tcBorders>
            <w:noWrap/>
            <w:vAlign w:val="center"/>
          </w:tcPr>
          <w:p w14:paraId="7814F977">
            <w:pPr>
              <w:spacing w:line="240" w:lineRule="auto"/>
              <w:jc w:val="center"/>
              <w:rPr>
                <w:rFonts w:hint="eastAsia" w:ascii="宋体" w:hAnsi="宋体" w:eastAsia="宋体" w:cs="宋体"/>
                <w:b/>
                <w:color w:val="000000"/>
                <w:kern w:val="0"/>
                <w:sz w:val="22"/>
                <w:szCs w:val="22"/>
                <w:lang w:val="en-US" w:eastAsia="zh-CN"/>
              </w:rPr>
            </w:pPr>
            <w:r>
              <w:rPr>
                <w:rFonts w:hint="eastAsia" w:ascii="宋体" w:hAnsi="宋体" w:eastAsia="宋体" w:cs="宋体"/>
                <w:b/>
                <w:color w:val="000000"/>
                <w:kern w:val="0"/>
                <w:sz w:val="22"/>
                <w:szCs w:val="22"/>
                <w:lang w:val="en-US" w:eastAsia="zh-CN"/>
              </w:rPr>
              <w:t>0.80</w:t>
            </w:r>
          </w:p>
        </w:tc>
      </w:tr>
      <w:tr w14:paraId="5710C1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5" w:hRule="atLeast"/>
        </w:trPr>
        <w:tc>
          <w:tcPr>
            <w:tcW w:w="709" w:type="dxa"/>
            <w:tcBorders>
              <w:top w:val="single" w:color="auto" w:sz="4" w:space="0"/>
              <w:left w:val="single" w:color="auto" w:sz="4" w:space="0"/>
              <w:bottom w:val="single" w:color="auto" w:sz="4" w:space="0"/>
              <w:right w:val="single" w:color="auto" w:sz="4" w:space="0"/>
            </w:tcBorders>
            <w:noWrap/>
            <w:vAlign w:val="center"/>
          </w:tcPr>
          <w:p w14:paraId="30A2E990">
            <w:pPr>
              <w:spacing w:line="240" w:lineRule="auto"/>
              <w:jc w:val="center"/>
              <w:rPr>
                <w:rFonts w:hint="eastAsia" w:ascii="宋体" w:hAnsi="宋体" w:eastAsia="宋体" w:cs="宋体"/>
                <w:b/>
                <w:color w:val="000000"/>
                <w:kern w:val="0"/>
                <w:sz w:val="22"/>
                <w:szCs w:val="22"/>
              </w:rPr>
            </w:pPr>
            <w:r>
              <w:rPr>
                <w:rFonts w:hint="eastAsia" w:ascii="宋体" w:hAnsi="宋体" w:eastAsia="宋体" w:cs="宋体"/>
                <w:b/>
                <w:color w:val="000000"/>
                <w:kern w:val="0"/>
                <w:sz w:val="22"/>
                <w:szCs w:val="22"/>
              </w:rPr>
              <w:t>20</w:t>
            </w:r>
          </w:p>
        </w:tc>
        <w:tc>
          <w:tcPr>
            <w:tcW w:w="1418" w:type="dxa"/>
            <w:tcBorders>
              <w:top w:val="single" w:color="auto" w:sz="4" w:space="0"/>
              <w:left w:val="single" w:color="auto" w:sz="4" w:space="0"/>
              <w:bottom w:val="single" w:color="auto" w:sz="4" w:space="0"/>
              <w:right w:val="single" w:color="auto" w:sz="4" w:space="0"/>
            </w:tcBorders>
            <w:noWrap/>
            <w:vAlign w:val="center"/>
          </w:tcPr>
          <w:p w14:paraId="4493D403">
            <w:pPr>
              <w:pStyle w:val="77"/>
              <w:tabs>
                <w:tab w:val="left" w:pos="4032"/>
              </w:tabs>
              <w:spacing w:line="240" w:lineRule="auto"/>
              <w:ind w:left="-342" w:right="-354"/>
              <w:jc w:val="center"/>
              <w:rPr>
                <w:rFonts w:hint="eastAsia" w:ascii="宋体" w:hAnsi="宋体" w:eastAsia="宋体" w:cs="宋体"/>
                <w:b/>
                <w:sz w:val="22"/>
                <w:szCs w:val="22"/>
              </w:rPr>
            </w:pPr>
            <w:r>
              <w:rPr>
                <w:rFonts w:hint="eastAsia" w:ascii="宋体" w:hAnsi="宋体" w:eastAsia="宋体" w:cs="宋体"/>
                <w:b/>
                <w:sz w:val="22"/>
                <w:szCs w:val="22"/>
              </w:rPr>
              <w:t>皮围裙</w:t>
            </w:r>
          </w:p>
        </w:tc>
        <w:tc>
          <w:tcPr>
            <w:tcW w:w="1559" w:type="dxa"/>
            <w:tcBorders>
              <w:top w:val="single" w:color="auto" w:sz="4" w:space="0"/>
              <w:left w:val="single" w:color="auto" w:sz="4" w:space="0"/>
              <w:bottom w:val="single" w:color="auto" w:sz="4" w:space="0"/>
              <w:right w:val="single" w:color="auto" w:sz="4" w:space="0"/>
            </w:tcBorders>
            <w:noWrap/>
            <w:vAlign w:val="center"/>
          </w:tcPr>
          <w:p w14:paraId="5077C6EF">
            <w:pPr>
              <w:pStyle w:val="77"/>
              <w:spacing w:line="240" w:lineRule="auto"/>
              <w:ind w:left="-342" w:right="-354"/>
              <w:jc w:val="center"/>
              <w:rPr>
                <w:rFonts w:hint="eastAsia" w:ascii="宋体" w:hAnsi="宋体" w:eastAsia="宋体" w:cs="宋体"/>
                <w:b/>
                <w:sz w:val="22"/>
                <w:szCs w:val="22"/>
              </w:rPr>
            </w:pPr>
            <w:r>
              <w:rPr>
                <w:rFonts w:hint="eastAsia" w:ascii="宋体" w:hAnsi="宋体" w:eastAsia="宋体" w:cs="宋体"/>
                <w:b/>
                <w:sz w:val="22"/>
                <w:szCs w:val="22"/>
              </w:rPr>
              <w:t>1</w:t>
            </w:r>
          </w:p>
        </w:tc>
        <w:tc>
          <w:tcPr>
            <w:tcW w:w="962" w:type="dxa"/>
            <w:tcBorders>
              <w:top w:val="single" w:color="auto" w:sz="4" w:space="0"/>
              <w:left w:val="single" w:color="auto" w:sz="4" w:space="0"/>
              <w:bottom w:val="single" w:color="auto" w:sz="4" w:space="0"/>
              <w:right w:val="single" w:color="auto" w:sz="4" w:space="0"/>
            </w:tcBorders>
            <w:noWrap/>
            <w:vAlign w:val="center"/>
          </w:tcPr>
          <w:p w14:paraId="4C7B5121">
            <w:pPr>
              <w:spacing w:line="240" w:lineRule="auto"/>
              <w:jc w:val="center"/>
              <w:rPr>
                <w:rFonts w:hint="eastAsia" w:ascii="宋体" w:hAnsi="宋体" w:eastAsia="宋体" w:cs="宋体"/>
                <w:b/>
                <w:color w:val="000000"/>
                <w:kern w:val="0"/>
                <w:sz w:val="22"/>
                <w:szCs w:val="22"/>
                <w:lang w:val="en-US" w:eastAsia="zh-CN"/>
              </w:rPr>
            </w:pPr>
            <w:r>
              <w:rPr>
                <w:rFonts w:hint="eastAsia" w:ascii="宋体" w:hAnsi="宋体" w:eastAsia="宋体" w:cs="宋体"/>
                <w:b/>
                <w:color w:val="000000"/>
                <w:kern w:val="0"/>
                <w:sz w:val="22"/>
                <w:szCs w:val="22"/>
                <w:lang w:val="en-US" w:eastAsia="zh-CN"/>
              </w:rPr>
              <w:t>3.60</w:t>
            </w:r>
          </w:p>
        </w:tc>
        <w:tc>
          <w:tcPr>
            <w:tcW w:w="780" w:type="dxa"/>
            <w:tcBorders>
              <w:top w:val="single" w:color="auto" w:sz="4" w:space="0"/>
              <w:left w:val="single" w:color="auto" w:sz="4" w:space="0"/>
              <w:bottom w:val="single" w:color="auto" w:sz="4" w:space="0"/>
              <w:right w:val="single" w:color="auto" w:sz="4" w:space="0"/>
            </w:tcBorders>
            <w:noWrap/>
            <w:vAlign w:val="center"/>
          </w:tcPr>
          <w:p w14:paraId="6F4355D2">
            <w:pPr>
              <w:pStyle w:val="77"/>
              <w:spacing w:line="240" w:lineRule="auto"/>
              <w:ind w:right="-354" w:firstLine="221" w:firstLineChars="100"/>
              <w:jc w:val="both"/>
              <w:rPr>
                <w:rFonts w:hint="eastAsia" w:ascii="宋体" w:hAnsi="宋体" w:eastAsia="宋体" w:cs="宋体"/>
                <w:b/>
                <w:sz w:val="22"/>
                <w:szCs w:val="22"/>
              </w:rPr>
            </w:pPr>
            <w:r>
              <w:rPr>
                <w:rFonts w:hint="eastAsia" w:ascii="宋体" w:hAnsi="宋体" w:eastAsia="宋体" w:cs="宋体"/>
                <w:b/>
                <w:sz w:val="22"/>
                <w:szCs w:val="22"/>
              </w:rPr>
              <w:t>43</w:t>
            </w:r>
          </w:p>
        </w:tc>
        <w:tc>
          <w:tcPr>
            <w:tcW w:w="1702" w:type="dxa"/>
            <w:tcBorders>
              <w:top w:val="single" w:color="auto" w:sz="4" w:space="0"/>
              <w:left w:val="single" w:color="auto" w:sz="4" w:space="0"/>
              <w:bottom w:val="single" w:color="auto" w:sz="4" w:space="0"/>
              <w:right w:val="single" w:color="auto" w:sz="4" w:space="0"/>
            </w:tcBorders>
            <w:noWrap/>
            <w:vAlign w:val="center"/>
          </w:tcPr>
          <w:p w14:paraId="3CF398EB">
            <w:pPr>
              <w:pStyle w:val="77"/>
              <w:tabs>
                <w:tab w:val="left" w:pos="4032"/>
              </w:tabs>
              <w:spacing w:line="240" w:lineRule="auto"/>
              <w:ind w:left="-342" w:right="-354"/>
              <w:jc w:val="center"/>
              <w:rPr>
                <w:rFonts w:hint="eastAsia" w:ascii="宋体" w:hAnsi="宋体" w:eastAsia="宋体" w:cs="宋体"/>
                <w:b/>
                <w:sz w:val="22"/>
                <w:szCs w:val="22"/>
              </w:rPr>
            </w:pPr>
            <w:r>
              <w:rPr>
                <w:rFonts w:hint="eastAsia" w:ascii="宋体" w:hAnsi="宋体" w:eastAsia="宋体" w:cs="宋体"/>
                <w:b/>
                <w:sz w:val="22"/>
                <w:szCs w:val="22"/>
              </w:rPr>
              <w:t>毛巾75*75</w:t>
            </w:r>
          </w:p>
        </w:tc>
        <w:tc>
          <w:tcPr>
            <w:tcW w:w="1234" w:type="dxa"/>
            <w:tcBorders>
              <w:top w:val="single" w:color="auto" w:sz="4" w:space="0"/>
              <w:left w:val="single" w:color="auto" w:sz="4" w:space="0"/>
              <w:bottom w:val="single" w:color="auto" w:sz="4" w:space="0"/>
              <w:right w:val="single" w:color="auto" w:sz="4" w:space="0"/>
            </w:tcBorders>
            <w:noWrap/>
            <w:vAlign w:val="center"/>
          </w:tcPr>
          <w:p w14:paraId="3513DB92">
            <w:pPr>
              <w:pStyle w:val="77"/>
              <w:spacing w:line="240" w:lineRule="auto"/>
              <w:ind w:left="-342" w:right="-354"/>
              <w:jc w:val="center"/>
              <w:rPr>
                <w:rFonts w:hint="eastAsia" w:ascii="宋体" w:hAnsi="宋体" w:eastAsia="宋体" w:cs="宋体"/>
                <w:b/>
                <w:sz w:val="22"/>
                <w:szCs w:val="22"/>
                <w:lang w:val="en-US" w:eastAsia="zh-CN"/>
              </w:rPr>
            </w:pPr>
            <w:r>
              <w:rPr>
                <w:rFonts w:hint="eastAsia" w:ascii="宋体" w:hAnsi="宋体" w:eastAsia="宋体" w:cs="宋体"/>
                <w:b/>
                <w:sz w:val="22"/>
                <w:szCs w:val="22"/>
                <w:lang w:val="en-US" w:eastAsia="zh-CN"/>
              </w:rPr>
              <w:t>1</w:t>
            </w:r>
          </w:p>
        </w:tc>
        <w:tc>
          <w:tcPr>
            <w:tcW w:w="1134" w:type="dxa"/>
            <w:tcBorders>
              <w:top w:val="single" w:color="auto" w:sz="4" w:space="0"/>
              <w:left w:val="single" w:color="auto" w:sz="4" w:space="0"/>
              <w:bottom w:val="single" w:color="auto" w:sz="4" w:space="0"/>
              <w:right w:val="single" w:color="auto" w:sz="4" w:space="0"/>
            </w:tcBorders>
            <w:noWrap/>
            <w:vAlign w:val="center"/>
          </w:tcPr>
          <w:p w14:paraId="2C605A3B">
            <w:pPr>
              <w:spacing w:line="240" w:lineRule="auto"/>
              <w:jc w:val="center"/>
              <w:rPr>
                <w:rFonts w:hint="eastAsia" w:ascii="宋体" w:hAnsi="宋体" w:eastAsia="宋体" w:cs="宋体"/>
                <w:b/>
                <w:color w:val="000000"/>
                <w:kern w:val="0"/>
                <w:sz w:val="22"/>
                <w:szCs w:val="22"/>
                <w:lang w:val="en-US" w:eastAsia="zh-CN"/>
              </w:rPr>
            </w:pPr>
            <w:r>
              <w:rPr>
                <w:rFonts w:hint="eastAsia" w:ascii="宋体" w:hAnsi="宋体" w:eastAsia="宋体" w:cs="宋体"/>
                <w:b/>
                <w:color w:val="000000"/>
                <w:kern w:val="0"/>
                <w:sz w:val="22"/>
                <w:szCs w:val="22"/>
                <w:lang w:val="en-US" w:eastAsia="zh-CN"/>
              </w:rPr>
              <w:t>1.20</w:t>
            </w:r>
          </w:p>
        </w:tc>
      </w:tr>
      <w:tr w14:paraId="642A7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5" w:hRule="atLeast"/>
        </w:trPr>
        <w:tc>
          <w:tcPr>
            <w:tcW w:w="709" w:type="dxa"/>
            <w:tcBorders>
              <w:top w:val="single" w:color="auto" w:sz="4" w:space="0"/>
              <w:left w:val="single" w:color="auto" w:sz="4" w:space="0"/>
              <w:bottom w:val="single" w:color="auto" w:sz="4" w:space="0"/>
              <w:right w:val="single" w:color="auto" w:sz="4" w:space="0"/>
            </w:tcBorders>
            <w:noWrap/>
            <w:vAlign w:val="center"/>
          </w:tcPr>
          <w:p w14:paraId="035782E5">
            <w:pPr>
              <w:spacing w:line="240" w:lineRule="auto"/>
              <w:jc w:val="center"/>
              <w:rPr>
                <w:rFonts w:hint="eastAsia" w:ascii="宋体" w:hAnsi="宋体" w:eastAsia="宋体" w:cs="宋体"/>
                <w:b/>
                <w:color w:val="000000"/>
                <w:kern w:val="0"/>
                <w:sz w:val="22"/>
                <w:szCs w:val="22"/>
              </w:rPr>
            </w:pPr>
            <w:r>
              <w:rPr>
                <w:rFonts w:hint="eastAsia" w:ascii="宋体" w:hAnsi="宋体" w:eastAsia="宋体" w:cs="宋体"/>
                <w:b/>
                <w:color w:val="000000"/>
                <w:kern w:val="0"/>
                <w:sz w:val="22"/>
                <w:szCs w:val="22"/>
              </w:rPr>
              <w:t>21</w:t>
            </w:r>
          </w:p>
        </w:tc>
        <w:tc>
          <w:tcPr>
            <w:tcW w:w="1418" w:type="dxa"/>
            <w:tcBorders>
              <w:top w:val="single" w:color="auto" w:sz="4" w:space="0"/>
              <w:left w:val="single" w:color="auto" w:sz="4" w:space="0"/>
              <w:bottom w:val="single" w:color="auto" w:sz="4" w:space="0"/>
              <w:right w:val="single" w:color="auto" w:sz="4" w:space="0"/>
            </w:tcBorders>
            <w:noWrap/>
            <w:vAlign w:val="center"/>
          </w:tcPr>
          <w:p w14:paraId="4D452A6D">
            <w:pPr>
              <w:spacing w:line="240" w:lineRule="auto"/>
              <w:ind w:left="207" w:hanging="216" w:hangingChars="98"/>
              <w:jc w:val="center"/>
              <w:rPr>
                <w:rFonts w:hint="eastAsia" w:ascii="宋体" w:hAnsi="宋体" w:eastAsia="宋体" w:cs="宋体"/>
                <w:b/>
                <w:color w:val="000000"/>
                <w:kern w:val="0"/>
                <w:sz w:val="22"/>
                <w:szCs w:val="22"/>
              </w:rPr>
            </w:pPr>
            <w:r>
              <w:rPr>
                <w:rFonts w:hint="eastAsia" w:ascii="宋体" w:hAnsi="宋体" w:eastAsia="宋体" w:cs="宋体"/>
                <w:b/>
                <w:color w:val="000000"/>
                <w:kern w:val="0"/>
                <w:sz w:val="22"/>
                <w:szCs w:val="22"/>
              </w:rPr>
              <w:t>治疗巾90*60/80*80</w:t>
            </w:r>
          </w:p>
        </w:tc>
        <w:tc>
          <w:tcPr>
            <w:tcW w:w="1559" w:type="dxa"/>
            <w:tcBorders>
              <w:top w:val="single" w:color="auto" w:sz="4" w:space="0"/>
              <w:left w:val="single" w:color="auto" w:sz="4" w:space="0"/>
              <w:bottom w:val="single" w:color="auto" w:sz="4" w:space="0"/>
              <w:right w:val="single" w:color="auto" w:sz="4" w:space="0"/>
            </w:tcBorders>
            <w:noWrap/>
            <w:vAlign w:val="center"/>
          </w:tcPr>
          <w:p w14:paraId="41EA610E">
            <w:pPr>
              <w:pStyle w:val="77"/>
              <w:spacing w:line="240" w:lineRule="auto"/>
              <w:ind w:left="-342" w:right="-354"/>
              <w:jc w:val="center"/>
              <w:rPr>
                <w:rFonts w:hint="eastAsia" w:ascii="宋体" w:hAnsi="宋体" w:eastAsia="宋体" w:cs="宋体"/>
                <w:b/>
                <w:sz w:val="22"/>
                <w:szCs w:val="22"/>
              </w:rPr>
            </w:pPr>
            <w:r>
              <w:rPr>
                <w:rFonts w:hint="eastAsia" w:ascii="宋体" w:hAnsi="宋体" w:eastAsia="宋体" w:cs="宋体"/>
                <w:b/>
                <w:sz w:val="22"/>
                <w:szCs w:val="22"/>
              </w:rPr>
              <w:t>1</w:t>
            </w:r>
          </w:p>
        </w:tc>
        <w:tc>
          <w:tcPr>
            <w:tcW w:w="962" w:type="dxa"/>
            <w:tcBorders>
              <w:top w:val="single" w:color="auto" w:sz="4" w:space="0"/>
              <w:left w:val="single" w:color="auto" w:sz="4" w:space="0"/>
              <w:bottom w:val="single" w:color="auto" w:sz="4" w:space="0"/>
              <w:right w:val="single" w:color="auto" w:sz="4" w:space="0"/>
            </w:tcBorders>
            <w:noWrap/>
            <w:vAlign w:val="center"/>
          </w:tcPr>
          <w:p w14:paraId="457BBA99">
            <w:pPr>
              <w:spacing w:line="240" w:lineRule="auto"/>
              <w:jc w:val="center"/>
              <w:rPr>
                <w:rFonts w:hint="eastAsia" w:ascii="宋体" w:hAnsi="宋体" w:eastAsia="宋体" w:cs="宋体"/>
                <w:b/>
                <w:color w:val="000000"/>
                <w:kern w:val="0"/>
                <w:sz w:val="22"/>
                <w:szCs w:val="22"/>
                <w:lang w:val="en-US" w:eastAsia="zh-CN"/>
              </w:rPr>
            </w:pPr>
            <w:r>
              <w:rPr>
                <w:rFonts w:hint="eastAsia" w:ascii="宋体" w:hAnsi="宋体" w:eastAsia="宋体" w:cs="宋体"/>
                <w:b/>
                <w:color w:val="000000"/>
                <w:kern w:val="0"/>
                <w:sz w:val="22"/>
                <w:szCs w:val="22"/>
                <w:lang w:val="en-US" w:eastAsia="zh-CN"/>
              </w:rPr>
              <w:t>1.00</w:t>
            </w:r>
          </w:p>
        </w:tc>
        <w:tc>
          <w:tcPr>
            <w:tcW w:w="780" w:type="dxa"/>
            <w:tcBorders>
              <w:top w:val="single" w:color="auto" w:sz="4" w:space="0"/>
              <w:left w:val="single" w:color="auto" w:sz="4" w:space="0"/>
              <w:bottom w:val="single" w:color="auto" w:sz="4" w:space="0"/>
              <w:right w:val="single" w:color="auto" w:sz="4" w:space="0"/>
            </w:tcBorders>
            <w:noWrap/>
            <w:vAlign w:val="center"/>
          </w:tcPr>
          <w:p w14:paraId="0800D716">
            <w:pPr>
              <w:pStyle w:val="77"/>
              <w:spacing w:line="240" w:lineRule="auto"/>
              <w:ind w:right="-354" w:firstLine="221" w:firstLineChars="100"/>
              <w:jc w:val="both"/>
              <w:rPr>
                <w:rFonts w:hint="eastAsia" w:ascii="宋体" w:hAnsi="宋体" w:eastAsia="宋体" w:cs="宋体"/>
                <w:b/>
                <w:sz w:val="22"/>
                <w:szCs w:val="22"/>
                <w:lang w:val="en-US" w:eastAsia="zh-CN"/>
              </w:rPr>
            </w:pPr>
            <w:r>
              <w:rPr>
                <w:rFonts w:hint="eastAsia" w:ascii="宋体" w:hAnsi="宋体" w:eastAsia="宋体" w:cs="宋体"/>
                <w:b/>
                <w:sz w:val="22"/>
                <w:szCs w:val="22"/>
                <w:lang w:val="en-US" w:eastAsia="zh-CN"/>
              </w:rPr>
              <w:t>44</w:t>
            </w:r>
          </w:p>
        </w:tc>
        <w:tc>
          <w:tcPr>
            <w:tcW w:w="1702" w:type="dxa"/>
            <w:tcBorders>
              <w:top w:val="single" w:color="auto" w:sz="4" w:space="0"/>
              <w:left w:val="single" w:color="auto" w:sz="4" w:space="0"/>
              <w:bottom w:val="single" w:color="auto" w:sz="4" w:space="0"/>
              <w:right w:val="single" w:color="auto" w:sz="4" w:space="0"/>
            </w:tcBorders>
            <w:noWrap/>
            <w:vAlign w:val="center"/>
          </w:tcPr>
          <w:p w14:paraId="16DA6A0D">
            <w:pPr>
              <w:pStyle w:val="77"/>
              <w:tabs>
                <w:tab w:val="left" w:pos="4032"/>
              </w:tabs>
              <w:spacing w:line="240" w:lineRule="auto"/>
              <w:ind w:left="-342" w:right="-354"/>
              <w:jc w:val="center"/>
              <w:rPr>
                <w:rFonts w:hint="eastAsia" w:ascii="宋体" w:hAnsi="宋体" w:eastAsia="宋体" w:cs="宋体"/>
                <w:b/>
                <w:sz w:val="22"/>
                <w:szCs w:val="22"/>
                <w:lang w:val="en-US" w:eastAsia="zh-CN"/>
              </w:rPr>
            </w:pPr>
            <w:r>
              <w:rPr>
                <w:rFonts w:hint="eastAsia" w:ascii="宋体" w:hAnsi="宋体" w:eastAsia="宋体" w:cs="宋体"/>
                <w:b/>
                <w:sz w:val="22"/>
                <w:szCs w:val="22"/>
                <w:lang w:val="en-US" w:eastAsia="zh-CN"/>
              </w:rPr>
              <w:t>马甲</w:t>
            </w:r>
          </w:p>
        </w:tc>
        <w:tc>
          <w:tcPr>
            <w:tcW w:w="1234" w:type="dxa"/>
            <w:tcBorders>
              <w:top w:val="single" w:color="auto" w:sz="4" w:space="0"/>
              <w:left w:val="single" w:color="auto" w:sz="4" w:space="0"/>
              <w:bottom w:val="single" w:color="auto" w:sz="4" w:space="0"/>
              <w:right w:val="single" w:color="auto" w:sz="4" w:space="0"/>
            </w:tcBorders>
            <w:noWrap/>
            <w:vAlign w:val="center"/>
          </w:tcPr>
          <w:p w14:paraId="1EB09217">
            <w:pPr>
              <w:pStyle w:val="77"/>
              <w:spacing w:line="240" w:lineRule="auto"/>
              <w:ind w:left="-342" w:right="-354"/>
              <w:jc w:val="center"/>
              <w:rPr>
                <w:rFonts w:hint="eastAsia" w:ascii="宋体" w:hAnsi="宋体" w:eastAsia="宋体" w:cs="宋体"/>
                <w:b/>
                <w:sz w:val="22"/>
                <w:szCs w:val="22"/>
                <w:lang w:val="en-US" w:eastAsia="zh-CN"/>
              </w:rPr>
            </w:pPr>
            <w:r>
              <w:rPr>
                <w:rFonts w:hint="eastAsia" w:ascii="宋体" w:hAnsi="宋体" w:eastAsia="宋体" w:cs="宋体"/>
                <w:b/>
                <w:sz w:val="22"/>
                <w:szCs w:val="22"/>
                <w:lang w:val="en-US" w:eastAsia="zh-CN"/>
              </w:rPr>
              <w:t>1</w:t>
            </w:r>
          </w:p>
        </w:tc>
        <w:tc>
          <w:tcPr>
            <w:tcW w:w="1134" w:type="dxa"/>
            <w:tcBorders>
              <w:top w:val="single" w:color="auto" w:sz="4" w:space="0"/>
              <w:left w:val="single" w:color="auto" w:sz="4" w:space="0"/>
              <w:bottom w:val="single" w:color="auto" w:sz="4" w:space="0"/>
              <w:right w:val="single" w:color="auto" w:sz="4" w:space="0"/>
            </w:tcBorders>
            <w:noWrap/>
            <w:vAlign w:val="center"/>
          </w:tcPr>
          <w:p w14:paraId="41A392D5">
            <w:pPr>
              <w:spacing w:line="240" w:lineRule="auto"/>
              <w:jc w:val="center"/>
              <w:rPr>
                <w:rFonts w:hint="eastAsia" w:ascii="宋体" w:hAnsi="宋体" w:eastAsia="宋体" w:cs="宋体"/>
                <w:b/>
                <w:color w:val="000000"/>
                <w:kern w:val="0"/>
                <w:sz w:val="22"/>
                <w:szCs w:val="22"/>
                <w:lang w:val="en-US" w:eastAsia="zh-CN"/>
              </w:rPr>
            </w:pPr>
            <w:r>
              <w:rPr>
                <w:rFonts w:hint="eastAsia" w:ascii="宋体" w:hAnsi="宋体" w:eastAsia="宋体" w:cs="宋体"/>
                <w:b/>
                <w:color w:val="000000"/>
                <w:kern w:val="0"/>
                <w:sz w:val="22"/>
                <w:szCs w:val="22"/>
                <w:lang w:val="en-US" w:eastAsia="zh-CN"/>
              </w:rPr>
              <w:t>2.30</w:t>
            </w:r>
          </w:p>
        </w:tc>
      </w:tr>
      <w:tr w14:paraId="671949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5" w:hRule="atLeast"/>
        </w:trPr>
        <w:tc>
          <w:tcPr>
            <w:tcW w:w="709" w:type="dxa"/>
            <w:tcBorders>
              <w:top w:val="single" w:color="auto" w:sz="4" w:space="0"/>
              <w:left w:val="single" w:color="auto" w:sz="4" w:space="0"/>
              <w:bottom w:val="single" w:color="auto" w:sz="4" w:space="0"/>
              <w:right w:val="single" w:color="auto" w:sz="4" w:space="0"/>
            </w:tcBorders>
            <w:noWrap/>
            <w:vAlign w:val="center"/>
          </w:tcPr>
          <w:p w14:paraId="5F7B25DE">
            <w:pPr>
              <w:spacing w:line="240" w:lineRule="auto"/>
              <w:jc w:val="center"/>
              <w:rPr>
                <w:rFonts w:hint="eastAsia" w:ascii="宋体" w:hAnsi="宋体" w:eastAsia="宋体" w:cs="宋体"/>
                <w:b/>
                <w:color w:val="000000"/>
                <w:kern w:val="0"/>
                <w:sz w:val="22"/>
                <w:szCs w:val="22"/>
              </w:rPr>
            </w:pPr>
            <w:r>
              <w:rPr>
                <w:rFonts w:hint="eastAsia" w:ascii="宋体" w:hAnsi="宋体" w:eastAsia="宋体" w:cs="宋体"/>
                <w:b/>
                <w:color w:val="000000"/>
                <w:kern w:val="0"/>
                <w:sz w:val="22"/>
                <w:szCs w:val="22"/>
              </w:rPr>
              <w:t>22</w:t>
            </w:r>
          </w:p>
        </w:tc>
        <w:tc>
          <w:tcPr>
            <w:tcW w:w="1418" w:type="dxa"/>
            <w:tcBorders>
              <w:top w:val="single" w:color="auto" w:sz="4" w:space="0"/>
              <w:left w:val="single" w:color="auto" w:sz="4" w:space="0"/>
              <w:bottom w:val="single" w:color="auto" w:sz="4" w:space="0"/>
              <w:right w:val="single" w:color="auto" w:sz="4" w:space="0"/>
            </w:tcBorders>
            <w:noWrap/>
            <w:vAlign w:val="center"/>
          </w:tcPr>
          <w:p w14:paraId="26BA992E">
            <w:pPr>
              <w:pStyle w:val="77"/>
              <w:spacing w:line="240" w:lineRule="auto"/>
              <w:ind w:left="-342" w:right="-354"/>
              <w:jc w:val="center"/>
              <w:rPr>
                <w:rFonts w:hint="eastAsia" w:ascii="宋体" w:hAnsi="宋体" w:eastAsia="宋体" w:cs="宋体"/>
                <w:b/>
                <w:sz w:val="22"/>
                <w:szCs w:val="22"/>
              </w:rPr>
            </w:pPr>
            <w:r>
              <w:rPr>
                <w:rFonts w:hint="eastAsia" w:ascii="宋体" w:hAnsi="宋体" w:eastAsia="宋体" w:cs="宋体"/>
                <w:b/>
                <w:sz w:val="22"/>
                <w:szCs w:val="22"/>
              </w:rPr>
              <w:t>绑带</w:t>
            </w:r>
          </w:p>
        </w:tc>
        <w:tc>
          <w:tcPr>
            <w:tcW w:w="1559" w:type="dxa"/>
            <w:tcBorders>
              <w:top w:val="single" w:color="auto" w:sz="4" w:space="0"/>
              <w:left w:val="single" w:color="auto" w:sz="4" w:space="0"/>
              <w:bottom w:val="single" w:color="auto" w:sz="4" w:space="0"/>
              <w:right w:val="single" w:color="auto" w:sz="4" w:space="0"/>
            </w:tcBorders>
            <w:noWrap/>
            <w:vAlign w:val="center"/>
          </w:tcPr>
          <w:p w14:paraId="1A53AAD7">
            <w:pPr>
              <w:spacing w:line="240" w:lineRule="auto"/>
              <w:jc w:val="center"/>
              <w:rPr>
                <w:rFonts w:hint="eastAsia" w:ascii="宋体" w:hAnsi="宋体" w:eastAsia="宋体" w:cs="宋体"/>
                <w:b/>
                <w:color w:val="000000"/>
                <w:kern w:val="0"/>
                <w:sz w:val="22"/>
                <w:szCs w:val="22"/>
              </w:rPr>
            </w:pPr>
            <w:r>
              <w:rPr>
                <w:rFonts w:hint="eastAsia" w:ascii="宋体" w:hAnsi="宋体" w:eastAsia="宋体" w:cs="宋体"/>
                <w:b/>
                <w:color w:val="000000"/>
                <w:kern w:val="0"/>
                <w:sz w:val="22"/>
                <w:szCs w:val="22"/>
              </w:rPr>
              <w:t>1</w:t>
            </w:r>
          </w:p>
        </w:tc>
        <w:tc>
          <w:tcPr>
            <w:tcW w:w="962" w:type="dxa"/>
            <w:tcBorders>
              <w:top w:val="single" w:color="auto" w:sz="4" w:space="0"/>
              <w:left w:val="single" w:color="auto" w:sz="4" w:space="0"/>
              <w:bottom w:val="single" w:color="auto" w:sz="4" w:space="0"/>
              <w:right w:val="single" w:color="auto" w:sz="4" w:space="0"/>
            </w:tcBorders>
            <w:noWrap/>
            <w:vAlign w:val="center"/>
          </w:tcPr>
          <w:p w14:paraId="3BDBE48F">
            <w:pPr>
              <w:spacing w:line="240" w:lineRule="auto"/>
              <w:jc w:val="center"/>
              <w:rPr>
                <w:rFonts w:hint="eastAsia" w:ascii="宋体" w:hAnsi="宋体" w:eastAsia="宋体" w:cs="宋体"/>
                <w:b/>
                <w:color w:val="000000"/>
                <w:kern w:val="0"/>
                <w:sz w:val="22"/>
                <w:szCs w:val="22"/>
                <w:lang w:val="en-US" w:eastAsia="zh-CN"/>
              </w:rPr>
            </w:pPr>
            <w:r>
              <w:rPr>
                <w:rFonts w:hint="eastAsia" w:ascii="宋体" w:hAnsi="宋体" w:eastAsia="宋体" w:cs="宋体"/>
                <w:b/>
                <w:color w:val="000000"/>
                <w:kern w:val="0"/>
                <w:sz w:val="22"/>
                <w:szCs w:val="22"/>
                <w:lang w:val="en-US" w:eastAsia="zh-CN"/>
              </w:rPr>
              <w:t>2.00</w:t>
            </w:r>
          </w:p>
        </w:tc>
        <w:tc>
          <w:tcPr>
            <w:tcW w:w="780" w:type="dxa"/>
            <w:tcBorders>
              <w:top w:val="single" w:color="auto" w:sz="4" w:space="0"/>
              <w:left w:val="single" w:color="auto" w:sz="4" w:space="0"/>
              <w:bottom w:val="single" w:color="auto" w:sz="4" w:space="0"/>
              <w:right w:val="single" w:color="auto" w:sz="4" w:space="0"/>
            </w:tcBorders>
            <w:noWrap/>
            <w:vAlign w:val="center"/>
          </w:tcPr>
          <w:p w14:paraId="49DD3208">
            <w:pPr>
              <w:pStyle w:val="77"/>
              <w:spacing w:line="240" w:lineRule="auto"/>
              <w:ind w:right="-354" w:firstLine="221" w:firstLineChars="100"/>
              <w:jc w:val="both"/>
              <w:rPr>
                <w:rFonts w:hint="eastAsia" w:ascii="宋体" w:hAnsi="宋体" w:eastAsia="宋体" w:cs="宋体"/>
                <w:b/>
                <w:sz w:val="22"/>
                <w:szCs w:val="22"/>
              </w:rPr>
            </w:pPr>
          </w:p>
        </w:tc>
        <w:tc>
          <w:tcPr>
            <w:tcW w:w="1702" w:type="dxa"/>
            <w:tcBorders>
              <w:top w:val="single" w:color="auto" w:sz="4" w:space="0"/>
              <w:left w:val="single" w:color="auto" w:sz="4" w:space="0"/>
              <w:bottom w:val="single" w:color="auto" w:sz="4" w:space="0"/>
              <w:right w:val="single" w:color="auto" w:sz="4" w:space="0"/>
            </w:tcBorders>
            <w:noWrap/>
            <w:vAlign w:val="center"/>
          </w:tcPr>
          <w:p w14:paraId="65C51EEB">
            <w:pPr>
              <w:pStyle w:val="77"/>
              <w:tabs>
                <w:tab w:val="left" w:pos="4032"/>
              </w:tabs>
              <w:spacing w:line="240" w:lineRule="auto"/>
              <w:ind w:left="-342" w:right="-354"/>
              <w:jc w:val="center"/>
              <w:rPr>
                <w:rFonts w:hint="eastAsia" w:ascii="宋体" w:hAnsi="宋体" w:eastAsia="宋体" w:cs="宋体"/>
                <w:b/>
                <w:sz w:val="22"/>
                <w:szCs w:val="22"/>
              </w:rPr>
            </w:pPr>
          </w:p>
        </w:tc>
        <w:tc>
          <w:tcPr>
            <w:tcW w:w="1234" w:type="dxa"/>
            <w:tcBorders>
              <w:top w:val="single" w:color="auto" w:sz="4" w:space="0"/>
              <w:left w:val="single" w:color="auto" w:sz="4" w:space="0"/>
              <w:bottom w:val="single" w:color="auto" w:sz="4" w:space="0"/>
              <w:right w:val="single" w:color="auto" w:sz="4" w:space="0"/>
            </w:tcBorders>
            <w:noWrap/>
            <w:vAlign w:val="center"/>
          </w:tcPr>
          <w:p w14:paraId="329A4C81">
            <w:pPr>
              <w:pStyle w:val="77"/>
              <w:spacing w:line="240" w:lineRule="auto"/>
              <w:ind w:left="-342" w:right="-354"/>
              <w:jc w:val="center"/>
              <w:rPr>
                <w:rFonts w:hint="eastAsia" w:ascii="宋体" w:hAnsi="宋体" w:eastAsia="宋体" w:cs="宋体"/>
                <w:b/>
                <w:sz w:val="22"/>
                <w:szCs w:val="22"/>
              </w:rPr>
            </w:pPr>
          </w:p>
        </w:tc>
        <w:tc>
          <w:tcPr>
            <w:tcW w:w="1134" w:type="dxa"/>
            <w:tcBorders>
              <w:top w:val="single" w:color="auto" w:sz="4" w:space="0"/>
              <w:left w:val="single" w:color="auto" w:sz="4" w:space="0"/>
              <w:bottom w:val="single" w:color="auto" w:sz="4" w:space="0"/>
              <w:right w:val="single" w:color="auto" w:sz="4" w:space="0"/>
            </w:tcBorders>
            <w:noWrap/>
            <w:vAlign w:val="center"/>
          </w:tcPr>
          <w:p w14:paraId="78BF2D6C">
            <w:pPr>
              <w:spacing w:line="240" w:lineRule="auto"/>
              <w:jc w:val="center"/>
              <w:rPr>
                <w:rFonts w:hint="eastAsia" w:ascii="宋体" w:hAnsi="宋体" w:eastAsia="宋体" w:cs="宋体"/>
                <w:b/>
                <w:color w:val="000000"/>
                <w:kern w:val="0"/>
                <w:sz w:val="22"/>
                <w:szCs w:val="22"/>
              </w:rPr>
            </w:pPr>
          </w:p>
        </w:tc>
      </w:tr>
    </w:tbl>
    <w:p w14:paraId="79F457FE">
      <w:pPr>
        <w:pStyle w:val="28"/>
        <w:spacing w:after="0" w:line="360" w:lineRule="auto"/>
        <w:ind w:left="0" w:leftChars="0" w:firstLine="0" w:firstLineChars="0"/>
        <w:rPr>
          <w:rFonts w:hint="eastAsia" w:ascii="宋体" w:hAnsi="宋体" w:eastAsia="宋体" w:cs="宋体"/>
          <w:sz w:val="24"/>
          <w:szCs w:val="24"/>
          <w:lang w:val="en-US" w:eastAsia="zh-CN"/>
        </w:rPr>
      </w:pPr>
      <w:r>
        <w:rPr>
          <w:rFonts w:hint="eastAsia" w:ascii="宋体" w:hAnsi="宋体" w:eastAsia="宋体" w:cs="宋体"/>
          <w:sz w:val="24"/>
          <w:szCs w:val="24"/>
          <w:lang w:eastAsia="zh-CN"/>
        </w:rPr>
        <w:t>每月按实际发生清洗量（件）×单价</w:t>
      </w:r>
      <w:r>
        <w:rPr>
          <w:rFonts w:hint="eastAsia" w:ascii="宋体" w:hAnsi="宋体" w:eastAsia="宋体" w:cs="宋体"/>
          <w:sz w:val="24"/>
          <w:szCs w:val="24"/>
          <w:lang w:val="en-US" w:eastAsia="zh-CN"/>
        </w:rPr>
        <w:t>/件进行</w:t>
      </w:r>
      <w:r>
        <w:rPr>
          <w:rFonts w:hint="eastAsia" w:ascii="宋体" w:hAnsi="宋体" w:eastAsia="宋体" w:cs="宋体"/>
          <w:sz w:val="24"/>
          <w:szCs w:val="24"/>
          <w:lang w:eastAsia="zh-CN"/>
        </w:rPr>
        <w:t>计价，</w:t>
      </w:r>
      <w:r>
        <w:rPr>
          <w:rFonts w:hint="eastAsia" w:ascii="宋体" w:hAnsi="宋体" w:eastAsia="宋体" w:cs="宋体"/>
          <w:sz w:val="24"/>
          <w:szCs w:val="24"/>
          <w:lang w:val="en-US" w:eastAsia="zh-CN"/>
        </w:rPr>
        <w:t>1年最高洗涤费用总价</w:t>
      </w:r>
      <w:r>
        <w:rPr>
          <w:rFonts w:hint="eastAsia" w:ascii="宋体" w:hAnsi="宋体" w:eastAsia="宋体" w:cs="宋体"/>
          <w:kern w:val="2"/>
          <w:sz w:val="24"/>
          <w:szCs w:val="24"/>
          <w:lang w:val="en-US" w:eastAsia="zh-CN" w:bidi="ar-SA"/>
        </w:rPr>
        <w:t>不高于预算总金额</w:t>
      </w:r>
      <w:r>
        <w:rPr>
          <w:rFonts w:hint="eastAsia" w:ascii="宋体" w:hAnsi="宋体" w:eastAsia="宋体" w:cs="宋体"/>
          <w:sz w:val="24"/>
          <w:szCs w:val="24"/>
          <w:lang w:val="en-US" w:eastAsia="zh-CN"/>
        </w:rPr>
        <w:t>。</w:t>
      </w:r>
    </w:p>
    <w:p w14:paraId="693E945B">
      <w:pPr>
        <w:pStyle w:val="28"/>
        <w:spacing w:after="0" w:line="360" w:lineRule="auto"/>
        <w:ind w:left="0" w:leftChars="0" w:firstLine="0" w:firstLineChars="0"/>
        <w:rPr>
          <w:rFonts w:hint="eastAsia" w:ascii="宋体" w:hAnsi="宋体" w:eastAsia="宋体" w:cs="宋体"/>
          <w:sz w:val="24"/>
          <w:szCs w:val="24"/>
          <w:lang w:eastAsia="zh-CN"/>
        </w:rPr>
      </w:pPr>
    </w:p>
    <w:p w14:paraId="0676BE35">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sz w:val="24"/>
          <w:szCs w:val="24"/>
        </w:rPr>
      </w:pPr>
    </w:p>
    <w:p w14:paraId="11B227F7">
      <w:pPr>
        <w:pStyle w:val="2"/>
        <w:keepNext/>
        <w:keepLines/>
        <w:pageBreakBefore w:val="0"/>
        <w:widowControl w:val="0"/>
        <w:numPr>
          <w:ilvl w:val="0"/>
          <w:numId w:val="0"/>
        </w:numPr>
        <w:kinsoku/>
        <w:wordWrap/>
        <w:overflowPunct/>
        <w:topLinePunct w:val="0"/>
        <w:autoSpaceDE/>
        <w:autoSpaceDN/>
        <w:bidi w:val="0"/>
        <w:adjustRightInd/>
        <w:snapToGrid/>
        <w:spacing w:before="100" w:after="60" w:line="360" w:lineRule="auto"/>
        <w:ind w:left="420" w:leftChars="0" w:hanging="420" w:firstLineChars="0"/>
        <w:textAlignment w:val="auto"/>
        <w:rPr>
          <w:rFonts w:hint="eastAsia" w:ascii="宋体" w:hAnsi="宋体" w:eastAsia="宋体" w:cs="宋体"/>
          <w:b/>
          <w:bCs/>
          <w:color w:val="auto"/>
          <w:kern w:val="44"/>
          <w:sz w:val="36"/>
          <w:szCs w:val="36"/>
          <w:highlight w:val="none"/>
          <w:lang w:val="en-US" w:eastAsia="zh-CN" w:bidi="ar-SA"/>
        </w:rPr>
      </w:pPr>
      <w:bookmarkStart w:id="333" w:name="_Toc12673"/>
      <w:bookmarkStart w:id="334" w:name="_Toc7544"/>
      <w:bookmarkStart w:id="335" w:name="_Toc155185895"/>
      <w:r>
        <w:rPr>
          <w:rFonts w:hint="eastAsia" w:ascii="宋体" w:hAnsi="宋体" w:eastAsia="宋体" w:cs="宋体"/>
          <w:b/>
          <w:bCs/>
          <w:color w:val="auto"/>
          <w:kern w:val="44"/>
          <w:sz w:val="36"/>
          <w:szCs w:val="36"/>
          <w:highlight w:val="none"/>
          <w:lang w:val="en-US" w:eastAsia="zh-CN" w:bidi="ar-SA"/>
        </w:rPr>
        <w:t>第四章 资格审查</w:t>
      </w:r>
      <w:bookmarkEnd w:id="333"/>
      <w:bookmarkEnd w:id="334"/>
      <w:bookmarkEnd w:id="335"/>
    </w:p>
    <w:p w14:paraId="2133133E">
      <w:pPr>
        <w:pStyle w:val="3"/>
        <w:keepNext/>
        <w:keepLines/>
        <w:pageBreakBefore w:val="0"/>
        <w:widowControl w:val="0"/>
        <w:numPr>
          <w:ilvl w:val="0"/>
          <w:numId w:val="0"/>
        </w:numPr>
        <w:kinsoku/>
        <w:wordWrap/>
        <w:overflowPunct/>
        <w:topLinePunct w:val="0"/>
        <w:autoSpaceDE/>
        <w:autoSpaceDN/>
        <w:bidi w:val="0"/>
        <w:adjustRightInd/>
        <w:snapToGrid/>
        <w:spacing w:before="60" w:after="60" w:line="360" w:lineRule="auto"/>
        <w:ind w:left="420" w:leftChars="0" w:hanging="420" w:firstLineChars="0"/>
        <w:textAlignment w:val="auto"/>
        <w:rPr>
          <w:rFonts w:hint="eastAsia"/>
          <w:color w:val="auto"/>
          <w:sz w:val="28"/>
          <w:szCs w:val="28"/>
          <w:highlight w:val="none"/>
          <w:lang w:val="zh-CN" w:eastAsia="zh-CN"/>
        </w:rPr>
      </w:pPr>
      <w:bookmarkStart w:id="336" w:name="_Toc23139"/>
      <w:bookmarkStart w:id="337" w:name="_Toc26947"/>
      <w:bookmarkStart w:id="338" w:name="_Toc20891"/>
      <w:r>
        <w:rPr>
          <w:rFonts w:hint="eastAsia"/>
          <w:color w:val="auto"/>
          <w:sz w:val="28"/>
          <w:szCs w:val="28"/>
          <w:highlight w:val="none"/>
          <w:lang w:val="en-US" w:eastAsia="zh-CN"/>
        </w:rPr>
        <w:t>一、资格审查程序</w:t>
      </w:r>
      <w:bookmarkEnd w:id="336"/>
      <w:bookmarkEnd w:id="337"/>
      <w:bookmarkEnd w:id="338"/>
      <w:r>
        <w:rPr>
          <w:rFonts w:hint="eastAsia"/>
          <w:color w:val="auto"/>
          <w:sz w:val="28"/>
          <w:szCs w:val="28"/>
          <w:highlight w:val="none"/>
          <w:lang w:val="en-US" w:eastAsia="zh-CN"/>
        </w:rPr>
        <w:t xml:space="preserve"> </w:t>
      </w:r>
    </w:p>
    <w:p w14:paraId="4E4090D3">
      <w:pPr>
        <w:pStyle w:val="37"/>
        <w:keepNext w:val="0"/>
        <w:keepLines w:val="0"/>
        <w:pageBreakBefore w:val="0"/>
        <w:widowControl w:val="0"/>
        <w:kinsoku/>
        <w:wordWrap w:val="0"/>
        <w:overflowPunct/>
        <w:topLinePunct w:val="0"/>
        <w:autoSpaceDE/>
        <w:autoSpaceDN/>
        <w:bidi w:val="0"/>
        <w:adjustRightInd/>
        <w:snapToGrid/>
        <w:spacing w:line="400" w:lineRule="exact"/>
        <w:ind w:firstLine="482"/>
        <w:textAlignment w:val="auto"/>
        <w:rPr>
          <w:rFonts w:hint="eastAsia"/>
          <w:color w:val="auto"/>
          <w:highlight w:val="none"/>
        </w:rPr>
      </w:pPr>
      <w:r>
        <w:rPr>
          <w:rFonts w:hint="eastAsia"/>
          <w:color w:val="auto"/>
          <w:highlight w:val="none"/>
          <w:lang w:val="en-US" w:eastAsia="zh-CN"/>
        </w:rPr>
        <w:t xml:space="preserve">1 开标结束后，采购人或采购代理机构将根据《资格审查要求》中的规定，对投标人进行资格审查，并形成资格审查结果。 </w:t>
      </w:r>
    </w:p>
    <w:p w14:paraId="62799CDE">
      <w:pPr>
        <w:pStyle w:val="37"/>
        <w:keepNext w:val="0"/>
        <w:keepLines w:val="0"/>
        <w:pageBreakBefore w:val="0"/>
        <w:widowControl w:val="0"/>
        <w:kinsoku/>
        <w:wordWrap w:val="0"/>
        <w:overflowPunct/>
        <w:topLinePunct w:val="0"/>
        <w:autoSpaceDE/>
        <w:autoSpaceDN/>
        <w:bidi w:val="0"/>
        <w:adjustRightInd/>
        <w:snapToGrid/>
        <w:spacing w:line="400" w:lineRule="exact"/>
        <w:ind w:firstLine="482"/>
        <w:textAlignment w:val="auto"/>
        <w:rPr>
          <w:rFonts w:hint="eastAsia"/>
          <w:color w:val="auto"/>
          <w:highlight w:val="none"/>
        </w:rPr>
      </w:pPr>
      <w:r>
        <w:rPr>
          <w:rFonts w:hint="default"/>
          <w:color w:val="auto"/>
          <w:highlight w:val="none"/>
          <w:lang w:val="en-US" w:eastAsia="zh-CN"/>
        </w:rPr>
        <w:t xml:space="preserve">2 </w:t>
      </w:r>
      <w:r>
        <w:rPr>
          <w:rFonts w:hint="eastAsia"/>
          <w:color w:val="auto"/>
          <w:highlight w:val="none"/>
          <w:lang w:val="en-US" w:eastAsia="zh-CN"/>
        </w:rPr>
        <w:t>投标人《资格证明文件》有任何一项不符合《资格审查要求》的，资格审查不合格，其</w:t>
      </w:r>
      <w:r>
        <w:rPr>
          <w:rFonts w:hint="eastAsia"/>
          <w:b/>
          <w:bCs/>
          <w:color w:val="auto"/>
          <w:highlight w:val="none"/>
          <w:lang w:val="en-US" w:eastAsia="zh-CN"/>
        </w:rPr>
        <w:t>投标无效</w:t>
      </w:r>
      <w:r>
        <w:rPr>
          <w:rFonts w:hint="eastAsia"/>
          <w:color w:val="auto"/>
          <w:highlight w:val="none"/>
          <w:lang w:val="en-US" w:eastAsia="zh-CN"/>
        </w:rPr>
        <w:t xml:space="preserve">。 </w:t>
      </w:r>
    </w:p>
    <w:p w14:paraId="37E914D8">
      <w:pPr>
        <w:pStyle w:val="37"/>
        <w:keepNext w:val="0"/>
        <w:keepLines w:val="0"/>
        <w:pageBreakBefore w:val="0"/>
        <w:widowControl w:val="0"/>
        <w:kinsoku/>
        <w:wordWrap w:val="0"/>
        <w:overflowPunct/>
        <w:topLinePunct w:val="0"/>
        <w:autoSpaceDE/>
        <w:autoSpaceDN/>
        <w:bidi w:val="0"/>
        <w:adjustRightInd/>
        <w:snapToGrid/>
        <w:spacing w:line="400" w:lineRule="exact"/>
        <w:ind w:firstLine="482"/>
        <w:textAlignment w:val="auto"/>
        <w:rPr>
          <w:rFonts w:hint="eastAsia"/>
          <w:color w:val="auto"/>
          <w:highlight w:val="none"/>
        </w:rPr>
      </w:pPr>
      <w:r>
        <w:rPr>
          <w:rFonts w:hint="eastAsia"/>
          <w:color w:val="auto"/>
          <w:highlight w:val="none"/>
          <w:lang w:val="en-US" w:eastAsia="zh-CN"/>
        </w:rPr>
        <w:t>3</w:t>
      </w:r>
      <w:r>
        <w:rPr>
          <w:rFonts w:hint="default"/>
          <w:color w:val="auto"/>
          <w:highlight w:val="none"/>
          <w:lang w:val="en-US" w:eastAsia="zh-CN"/>
        </w:rPr>
        <w:t xml:space="preserve"> </w:t>
      </w:r>
      <w:r>
        <w:rPr>
          <w:rFonts w:hint="eastAsia"/>
          <w:color w:val="auto"/>
          <w:highlight w:val="none"/>
          <w:lang w:val="en-US" w:eastAsia="zh-CN"/>
        </w:rPr>
        <w:t xml:space="preserve">资格审查合格的投标人不足 </w:t>
      </w:r>
      <w:r>
        <w:rPr>
          <w:rFonts w:hint="default"/>
          <w:color w:val="auto"/>
          <w:highlight w:val="none"/>
          <w:lang w:val="en-US" w:eastAsia="zh-CN"/>
        </w:rPr>
        <w:t xml:space="preserve">3 </w:t>
      </w:r>
      <w:r>
        <w:rPr>
          <w:rFonts w:hint="eastAsia"/>
          <w:color w:val="auto"/>
          <w:highlight w:val="none"/>
          <w:lang w:val="en-US" w:eastAsia="zh-CN"/>
        </w:rPr>
        <w:t xml:space="preserve">家的，不进行评标。 </w:t>
      </w:r>
    </w:p>
    <w:p w14:paraId="0413E573">
      <w:pPr>
        <w:pStyle w:val="3"/>
        <w:keepNext/>
        <w:keepLines/>
        <w:pageBreakBefore w:val="0"/>
        <w:widowControl w:val="0"/>
        <w:numPr>
          <w:ilvl w:val="0"/>
          <w:numId w:val="4"/>
        </w:numPr>
        <w:kinsoku/>
        <w:wordWrap/>
        <w:overflowPunct/>
        <w:topLinePunct w:val="0"/>
        <w:autoSpaceDE/>
        <w:autoSpaceDN/>
        <w:bidi w:val="0"/>
        <w:adjustRightInd/>
        <w:snapToGrid/>
        <w:spacing w:before="60" w:after="60" w:line="360" w:lineRule="auto"/>
        <w:ind w:left="420" w:leftChars="0" w:hanging="420" w:firstLineChars="0"/>
        <w:textAlignment w:val="auto"/>
        <w:rPr>
          <w:rFonts w:hint="eastAsia"/>
          <w:lang w:val="en-US" w:eastAsia="zh-CN"/>
        </w:rPr>
      </w:pPr>
      <w:bookmarkStart w:id="339" w:name="_Toc15886"/>
      <w:bookmarkStart w:id="340" w:name="_Toc22545"/>
      <w:bookmarkStart w:id="341" w:name="_Toc17193"/>
      <w:r>
        <w:rPr>
          <w:rFonts w:hint="eastAsia"/>
          <w:color w:val="auto"/>
          <w:sz w:val="28"/>
          <w:szCs w:val="28"/>
          <w:highlight w:val="none"/>
          <w:lang w:val="en-US" w:eastAsia="zh-CN"/>
        </w:rPr>
        <w:t>资格审查要求</w:t>
      </w:r>
      <w:bookmarkEnd w:id="339"/>
      <w:bookmarkEnd w:id="340"/>
      <w:bookmarkEnd w:id="341"/>
      <w:r>
        <w:rPr>
          <w:rFonts w:hint="eastAsia"/>
          <w:color w:val="auto"/>
          <w:sz w:val="28"/>
          <w:szCs w:val="28"/>
          <w:highlight w:val="none"/>
          <w:lang w:val="en-US" w:eastAsia="zh-CN"/>
        </w:rPr>
        <w:t xml:space="preserve"> </w:t>
      </w:r>
    </w:p>
    <w:p w14:paraId="1E680B49">
      <w:pPr>
        <w:jc w:val="center"/>
        <w:rPr>
          <w:rFonts w:hint="default"/>
          <w:b/>
          <w:bCs/>
          <w:lang w:val="en-US" w:eastAsia="zh-CN"/>
        </w:rPr>
      </w:pPr>
      <w:r>
        <w:rPr>
          <w:rFonts w:hint="eastAsia"/>
          <w:b/>
          <w:bCs/>
          <w:color w:val="auto"/>
          <w:sz w:val="28"/>
          <w:szCs w:val="28"/>
          <w:highlight w:val="none"/>
          <w:lang w:val="en-US" w:eastAsia="zh-CN"/>
        </w:rPr>
        <w:t>资格审查要求</w:t>
      </w:r>
    </w:p>
    <w:tbl>
      <w:tblPr>
        <w:tblStyle w:val="75"/>
        <w:tblW w:w="8644"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487"/>
        <w:gridCol w:w="1176"/>
        <w:gridCol w:w="5639"/>
        <w:gridCol w:w="1342"/>
      </w:tblGrid>
      <w:tr w14:paraId="313978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74" w:hRule="atLeast"/>
        </w:trPr>
        <w:tc>
          <w:tcPr>
            <w:tcW w:w="487" w:type="dxa"/>
            <w:vAlign w:val="top"/>
          </w:tcPr>
          <w:p w14:paraId="698B607F">
            <w:pPr>
              <w:pStyle w:val="74"/>
              <w:spacing w:before="116" w:line="240" w:lineRule="auto"/>
              <w:jc w:val="center"/>
              <w:rPr>
                <w:rFonts w:hint="eastAsia" w:eastAsia="宋体"/>
                <w:spacing w:val="-5"/>
                <w:highlight w:val="none"/>
                <w:lang w:val="en-US" w:eastAsia="zh-CN"/>
              </w:rPr>
            </w:pPr>
            <w:r>
              <w:rPr>
                <w:rFonts w:hint="eastAsia"/>
                <w:spacing w:val="-5"/>
                <w:highlight w:val="none"/>
                <w:lang w:val="en-US" w:eastAsia="zh-CN"/>
              </w:rPr>
              <w:t>序号</w:t>
            </w:r>
          </w:p>
        </w:tc>
        <w:tc>
          <w:tcPr>
            <w:tcW w:w="1176" w:type="dxa"/>
            <w:vAlign w:val="top"/>
          </w:tcPr>
          <w:p w14:paraId="20827271">
            <w:pPr>
              <w:pStyle w:val="74"/>
              <w:spacing w:before="116" w:line="240" w:lineRule="auto"/>
              <w:jc w:val="center"/>
              <w:rPr>
                <w:highlight w:val="none"/>
              </w:rPr>
            </w:pPr>
            <w:r>
              <w:rPr>
                <w:spacing w:val="-5"/>
                <w:highlight w:val="none"/>
              </w:rPr>
              <w:t>类型</w:t>
            </w:r>
          </w:p>
        </w:tc>
        <w:tc>
          <w:tcPr>
            <w:tcW w:w="5639" w:type="dxa"/>
            <w:vAlign w:val="top"/>
          </w:tcPr>
          <w:p w14:paraId="0514FD5F">
            <w:pPr>
              <w:pStyle w:val="74"/>
              <w:spacing w:before="115" w:line="240" w:lineRule="auto"/>
              <w:jc w:val="center"/>
              <w:rPr>
                <w:highlight w:val="none"/>
              </w:rPr>
            </w:pPr>
            <w:r>
              <w:rPr>
                <w:spacing w:val="-5"/>
                <w:highlight w:val="none"/>
              </w:rPr>
              <w:t>审查要求</w:t>
            </w:r>
          </w:p>
        </w:tc>
        <w:tc>
          <w:tcPr>
            <w:tcW w:w="1342" w:type="dxa"/>
            <w:vAlign w:val="top"/>
          </w:tcPr>
          <w:p w14:paraId="31DDB759">
            <w:pPr>
              <w:pStyle w:val="74"/>
              <w:spacing w:before="115" w:line="240" w:lineRule="auto"/>
              <w:jc w:val="center"/>
              <w:rPr>
                <w:rFonts w:hint="default" w:eastAsia="宋体"/>
                <w:spacing w:val="-5"/>
                <w:highlight w:val="none"/>
                <w:lang w:val="en-US" w:eastAsia="zh-CN"/>
              </w:rPr>
            </w:pPr>
            <w:r>
              <w:rPr>
                <w:rFonts w:hint="eastAsia"/>
                <w:spacing w:val="-5"/>
                <w:highlight w:val="none"/>
                <w:lang w:val="en-US" w:eastAsia="zh-CN"/>
              </w:rPr>
              <w:t>要求说明</w:t>
            </w:r>
          </w:p>
        </w:tc>
      </w:tr>
      <w:tr w14:paraId="4A9948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4" w:hRule="atLeast"/>
        </w:trPr>
        <w:tc>
          <w:tcPr>
            <w:tcW w:w="487" w:type="dxa"/>
            <w:vAlign w:val="center"/>
          </w:tcPr>
          <w:p w14:paraId="757B117F">
            <w:pPr>
              <w:pStyle w:val="74"/>
              <w:spacing w:before="280" w:line="240" w:lineRule="auto"/>
              <w:jc w:val="center"/>
              <w:rPr>
                <w:rFonts w:hint="eastAsia" w:eastAsia="宋体"/>
                <w:spacing w:val="-6"/>
                <w:highlight w:val="none"/>
                <w:lang w:val="en-US" w:eastAsia="zh-CN"/>
              </w:rPr>
            </w:pPr>
            <w:r>
              <w:rPr>
                <w:rFonts w:hint="eastAsia"/>
                <w:spacing w:val="-6"/>
                <w:highlight w:val="none"/>
                <w:lang w:val="en-US" w:eastAsia="zh-CN"/>
              </w:rPr>
              <w:t>1</w:t>
            </w:r>
          </w:p>
        </w:tc>
        <w:tc>
          <w:tcPr>
            <w:tcW w:w="1176" w:type="dxa"/>
            <w:vAlign w:val="center"/>
          </w:tcPr>
          <w:p w14:paraId="7DD7B5DA">
            <w:pPr>
              <w:pStyle w:val="74"/>
              <w:spacing w:before="280" w:line="240" w:lineRule="auto"/>
              <w:jc w:val="center"/>
              <w:rPr>
                <w:spacing w:val="-3"/>
                <w:highlight w:val="none"/>
              </w:rPr>
            </w:pPr>
            <w:r>
              <w:rPr>
                <w:spacing w:val="-6"/>
                <w:highlight w:val="none"/>
              </w:rPr>
              <w:t>落实政府采购政策需满足的资格要求</w:t>
            </w:r>
          </w:p>
        </w:tc>
        <w:tc>
          <w:tcPr>
            <w:tcW w:w="5639" w:type="dxa"/>
            <w:vAlign w:val="center"/>
          </w:tcPr>
          <w:p w14:paraId="0C36208F">
            <w:pPr>
              <w:pStyle w:val="74"/>
              <w:spacing w:before="115" w:line="240" w:lineRule="auto"/>
              <w:ind w:left="16" w:hanging="5"/>
              <w:jc w:val="left"/>
              <w:rPr>
                <w:rFonts w:ascii="宋体" w:hAnsi="宋体" w:eastAsia="宋体" w:cs="宋体"/>
                <w:spacing w:val="-3"/>
                <w:highlight w:val="none"/>
              </w:rPr>
            </w:pPr>
            <w:r>
              <w:rPr>
                <w:rFonts w:ascii="宋体" w:hAnsi="宋体" w:eastAsia="宋体" w:cs="宋体"/>
                <w:spacing w:val="-3"/>
                <w:highlight w:val="none"/>
              </w:rPr>
              <w:t>本项目专门面向</w:t>
            </w:r>
            <w:r>
              <w:rPr>
                <w:rFonts w:hint="eastAsia" w:ascii="宋体" w:hAnsi="宋体" w:eastAsia="宋体" w:cs="宋体"/>
                <w:spacing w:val="-3"/>
                <w:highlight w:val="none"/>
                <w:lang w:val="en-US" w:eastAsia="zh-CN"/>
              </w:rPr>
              <w:t>中</w:t>
            </w:r>
            <w:r>
              <w:rPr>
                <w:rFonts w:ascii="宋体" w:hAnsi="宋体" w:eastAsia="宋体" w:cs="宋体"/>
                <w:spacing w:val="-3"/>
                <w:highlight w:val="none"/>
              </w:rPr>
              <w:t>小微企业采购，供应商需提交《中小企业声明函》</w:t>
            </w:r>
            <w:r>
              <w:rPr>
                <w:rFonts w:hint="eastAsia" w:ascii="宋体" w:hAnsi="宋体" w:eastAsia="宋体" w:cs="宋体"/>
                <w:snapToGrid w:val="0"/>
                <w:color w:val="000000"/>
                <w:spacing w:val="-1"/>
                <w:sz w:val="24"/>
                <w:szCs w:val="24"/>
                <w:highlight w:val="none"/>
                <w:lang w:val="en-US" w:eastAsia="zh-CN" w:bidi="ar-SA"/>
              </w:rPr>
              <w:t>。</w:t>
            </w:r>
          </w:p>
        </w:tc>
        <w:tc>
          <w:tcPr>
            <w:tcW w:w="1342" w:type="dxa"/>
            <w:vAlign w:val="center"/>
          </w:tcPr>
          <w:p w14:paraId="56D29B46">
            <w:pPr>
              <w:spacing w:before="115" w:line="240" w:lineRule="auto"/>
              <w:ind w:left="16" w:hanging="5"/>
              <w:jc w:val="center"/>
              <w:rPr>
                <w:rFonts w:hint="default" w:ascii="宋体" w:hAnsi="宋体" w:eastAsia="宋体" w:cs="宋体"/>
                <w:spacing w:val="-3"/>
                <w:highlight w:val="none"/>
                <w:lang w:val="en-US" w:eastAsia="zh-CN"/>
              </w:rPr>
            </w:pPr>
            <w:r>
              <w:rPr>
                <w:rFonts w:hint="eastAsia" w:cs="宋体"/>
                <w:spacing w:val="-3"/>
                <w:highlight w:val="none"/>
                <w:lang w:val="en-US" w:eastAsia="zh-CN"/>
              </w:rPr>
              <w:t>加盖投标企业电子公章</w:t>
            </w:r>
          </w:p>
        </w:tc>
      </w:tr>
      <w:tr w14:paraId="3173A8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4" w:hRule="atLeast"/>
        </w:trPr>
        <w:tc>
          <w:tcPr>
            <w:tcW w:w="487" w:type="dxa"/>
            <w:vAlign w:val="center"/>
          </w:tcPr>
          <w:p w14:paraId="64C534C9">
            <w:pPr>
              <w:pStyle w:val="74"/>
              <w:spacing w:before="280" w:line="240" w:lineRule="auto"/>
              <w:jc w:val="center"/>
              <w:rPr>
                <w:rFonts w:hint="eastAsia" w:eastAsia="宋体"/>
                <w:spacing w:val="-3"/>
                <w:highlight w:val="none"/>
                <w:lang w:val="en-US" w:eastAsia="zh-CN"/>
              </w:rPr>
            </w:pPr>
            <w:r>
              <w:rPr>
                <w:rFonts w:hint="eastAsia"/>
                <w:spacing w:val="-3"/>
                <w:highlight w:val="none"/>
                <w:lang w:val="en-US" w:eastAsia="zh-CN"/>
              </w:rPr>
              <w:t>2</w:t>
            </w:r>
          </w:p>
        </w:tc>
        <w:tc>
          <w:tcPr>
            <w:tcW w:w="1176" w:type="dxa"/>
            <w:vAlign w:val="center"/>
          </w:tcPr>
          <w:p w14:paraId="767A573F">
            <w:pPr>
              <w:pStyle w:val="74"/>
              <w:spacing w:before="280" w:line="240" w:lineRule="auto"/>
              <w:jc w:val="center"/>
              <w:rPr>
                <w:highlight w:val="none"/>
              </w:rPr>
            </w:pPr>
            <w:r>
              <w:rPr>
                <w:spacing w:val="-3"/>
                <w:highlight w:val="none"/>
              </w:rPr>
              <w:t>基本资质</w:t>
            </w:r>
          </w:p>
        </w:tc>
        <w:tc>
          <w:tcPr>
            <w:tcW w:w="5639" w:type="dxa"/>
            <w:vAlign w:val="top"/>
          </w:tcPr>
          <w:p w14:paraId="2FE2BDB9">
            <w:pPr>
              <w:pStyle w:val="74"/>
              <w:spacing w:before="115" w:line="240" w:lineRule="auto"/>
              <w:ind w:left="16" w:hanging="5"/>
              <w:rPr>
                <w:rFonts w:ascii="宋体" w:hAnsi="宋体" w:eastAsia="宋体" w:cs="宋体"/>
                <w:spacing w:val="-3"/>
                <w:highlight w:val="none"/>
              </w:rPr>
            </w:pPr>
            <w:r>
              <w:rPr>
                <w:rFonts w:ascii="宋体" w:hAnsi="宋体" w:eastAsia="宋体" w:cs="宋体"/>
                <w:spacing w:val="-3"/>
                <w:highlight w:val="none"/>
              </w:rPr>
              <w:t>法定代表人身份证明或法人授权委托书；法定代表人身份证或委托代理人身份证</w:t>
            </w:r>
            <w:r>
              <w:rPr>
                <w:rFonts w:hint="eastAsia" w:ascii="宋体" w:hAnsi="宋体" w:eastAsia="宋体" w:cs="宋体"/>
                <w:snapToGrid w:val="0"/>
                <w:color w:val="000000"/>
                <w:spacing w:val="-1"/>
                <w:sz w:val="24"/>
                <w:szCs w:val="24"/>
                <w:highlight w:val="none"/>
                <w:lang w:val="en-US" w:eastAsia="zh-CN" w:bidi="ar-SA"/>
              </w:rPr>
              <w:t>。</w:t>
            </w:r>
          </w:p>
        </w:tc>
        <w:tc>
          <w:tcPr>
            <w:tcW w:w="1342" w:type="dxa"/>
            <w:vAlign w:val="center"/>
          </w:tcPr>
          <w:p w14:paraId="47E97A41">
            <w:pPr>
              <w:spacing w:before="115" w:line="240" w:lineRule="auto"/>
              <w:ind w:left="16" w:hanging="5"/>
              <w:jc w:val="center"/>
              <w:rPr>
                <w:rFonts w:ascii="宋体" w:hAnsi="宋体" w:eastAsia="宋体" w:cs="宋体"/>
                <w:spacing w:val="-3"/>
                <w:highlight w:val="none"/>
              </w:rPr>
            </w:pPr>
            <w:r>
              <w:rPr>
                <w:rFonts w:hint="eastAsia" w:cs="宋体"/>
                <w:spacing w:val="-3"/>
                <w:highlight w:val="none"/>
                <w:lang w:val="en-US" w:eastAsia="zh-CN"/>
              </w:rPr>
              <w:t>加盖投标企业电子公章</w:t>
            </w:r>
          </w:p>
        </w:tc>
      </w:tr>
      <w:tr w14:paraId="6DDACF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2" w:hRule="atLeast"/>
        </w:trPr>
        <w:tc>
          <w:tcPr>
            <w:tcW w:w="487" w:type="dxa"/>
            <w:vAlign w:val="center"/>
          </w:tcPr>
          <w:p w14:paraId="48491B90">
            <w:pPr>
              <w:pStyle w:val="74"/>
              <w:spacing w:before="109" w:line="240" w:lineRule="auto"/>
              <w:jc w:val="center"/>
              <w:rPr>
                <w:rFonts w:hint="eastAsia" w:eastAsia="宋体"/>
                <w:spacing w:val="-5"/>
                <w:highlight w:val="none"/>
                <w:lang w:val="en-US" w:eastAsia="zh-CN"/>
              </w:rPr>
            </w:pPr>
            <w:r>
              <w:rPr>
                <w:rFonts w:hint="eastAsia"/>
                <w:spacing w:val="-5"/>
                <w:highlight w:val="none"/>
                <w:lang w:val="en-US" w:eastAsia="zh-CN"/>
              </w:rPr>
              <w:t>3</w:t>
            </w:r>
          </w:p>
        </w:tc>
        <w:tc>
          <w:tcPr>
            <w:tcW w:w="1176" w:type="dxa"/>
            <w:vAlign w:val="center"/>
          </w:tcPr>
          <w:p w14:paraId="011DCD09">
            <w:pPr>
              <w:pStyle w:val="74"/>
              <w:spacing w:before="109" w:line="240" w:lineRule="auto"/>
              <w:jc w:val="center"/>
              <w:rPr>
                <w:highlight w:val="none"/>
              </w:rPr>
            </w:pPr>
            <w:r>
              <w:rPr>
                <w:spacing w:val="-5"/>
                <w:highlight w:val="none"/>
              </w:rPr>
              <w:t>营业执照</w:t>
            </w:r>
          </w:p>
        </w:tc>
        <w:tc>
          <w:tcPr>
            <w:tcW w:w="5639" w:type="dxa"/>
            <w:vAlign w:val="top"/>
          </w:tcPr>
          <w:p w14:paraId="68D061FC">
            <w:pPr>
              <w:pStyle w:val="74"/>
              <w:spacing w:before="145" w:line="240" w:lineRule="auto"/>
              <w:ind w:left="15"/>
              <w:rPr>
                <w:highlight w:val="none"/>
              </w:rPr>
            </w:pPr>
            <w:r>
              <w:rPr>
                <w:spacing w:val="1"/>
                <w:highlight w:val="none"/>
              </w:rPr>
              <w:t>在中华人民共和国境内注册或登记，提供有效的</w:t>
            </w:r>
            <w:r>
              <w:rPr>
                <w:highlight w:val="none"/>
              </w:rPr>
              <w:t>营业</w:t>
            </w:r>
            <w:r>
              <w:rPr>
                <w:spacing w:val="-4"/>
                <w:highlight w:val="none"/>
              </w:rPr>
              <w:t>执照</w:t>
            </w:r>
            <w:r>
              <w:rPr>
                <w:rFonts w:hint="eastAsia" w:ascii="宋体" w:hAnsi="宋体" w:eastAsia="宋体" w:cs="宋体"/>
                <w:snapToGrid w:val="0"/>
                <w:color w:val="000000"/>
                <w:spacing w:val="-1"/>
                <w:sz w:val="24"/>
                <w:szCs w:val="24"/>
                <w:highlight w:val="none"/>
                <w:lang w:val="en-US" w:eastAsia="zh-CN" w:bidi="ar-SA"/>
              </w:rPr>
              <w:t>。</w:t>
            </w:r>
          </w:p>
        </w:tc>
        <w:tc>
          <w:tcPr>
            <w:tcW w:w="1342" w:type="dxa"/>
            <w:vAlign w:val="center"/>
          </w:tcPr>
          <w:p w14:paraId="42FE5500">
            <w:pPr>
              <w:spacing w:before="145" w:line="240" w:lineRule="auto"/>
              <w:ind w:left="15"/>
              <w:jc w:val="center"/>
              <w:rPr>
                <w:spacing w:val="1"/>
                <w:highlight w:val="none"/>
              </w:rPr>
            </w:pPr>
            <w:r>
              <w:rPr>
                <w:rFonts w:hint="eastAsia" w:cs="宋体"/>
                <w:spacing w:val="-3"/>
                <w:highlight w:val="none"/>
                <w:lang w:val="en-US" w:eastAsia="zh-CN"/>
              </w:rPr>
              <w:t>加盖投标企业电子公章</w:t>
            </w:r>
          </w:p>
        </w:tc>
      </w:tr>
      <w:tr w14:paraId="52ABCB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4" w:hRule="atLeast"/>
        </w:trPr>
        <w:tc>
          <w:tcPr>
            <w:tcW w:w="487" w:type="dxa"/>
            <w:vAlign w:val="center"/>
          </w:tcPr>
          <w:p w14:paraId="028C37D4">
            <w:pPr>
              <w:pStyle w:val="74"/>
              <w:spacing w:before="78" w:line="240" w:lineRule="auto"/>
              <w:jc w:val="center"/>
              <w:rPr>
                <w:rFonts w:hint="eastAsia" w:eastAsia="宋体"/>
                <w:spacing w:val="-3"/>
                <w:highlight w:val="none"/>
                <w:lang w:val="en-US" w:eastAsia="zh-CN"/>
              </w:rPr>
            </w:pPr>
            <w:r>
              <w:rPr>
                <w:rFonts w:hint="eastAsia"/>
                <w:spacing w:val="-3"/>
                <w:highlight w:val="none"/>
                <w:lang w:val="en-US" w:eastAsia="zh-CN"/>
              </w:rPr>
              <w:t>4</w:t>
            </w:r>
          </w:p>
        </w:tc>
        <w:tc>
          <w:tcPr>
            <w:tcW w:w="1176" w:type="dxa"/>
            <w:vAlign w:val="center"/>
          </w:tcPr>
          <w:p w14:paraId="0B8A1F5B">
            <w:pPr>
              <w:pStyle w:val="74"/>
              <w:spacing w:before="78" w:line="240" w:lineRule="auto"/>
              <w:jc w:val="center"/>
              <w:rPr>
                <w:highlight w:val="none"/>
              </w:rPr>
            </w:pPr>
            <w:r>
              <w:rPr>
                <w:spacing w:val="-3"/>
                <w:highlight w:val="none"/>
              </w:rPr>
              <w:t>财务报告</w:t>
            </w:r>
          </w:p>
        </w:tc>
        <w:tc>
          <w:tcPr>
            <w:tcW w:w="5639" w:type="dxa"/>
            <w:vAlign w:val="top"/>
          </w:tcPr>
          <w:p w14:paraId="7B7096D4">
            <w:pPr>
              <w:pStyle w:val="74"/>
              <w:spacing w:before="117" w:line="240" w:lineRule="auto"/>
              <w:ind w:left="11" w:firstLine="1"/>
              <w:jc w:val="both"/>
              <w:rPr>
                <w:highlight w:val="none"/>
              </w:rPr>
            </w:pPr>
            <w:r>
              <w:rPr>
                <w:spacing w:val="-5"/>
                <w:highlight w:val="none"/>
              </w:rPr>
              <w:t>投标人没有处于被责令停业、财产被接管、冻结、破产状态，提供下述任意一种形式的证明材料：①2024年度</w:t>
            </w:r>
            <w:r>
              <w:rPr>
                <w:rFonts w:hint="eastAsia"/>
                <w:spacing w:val="-5"/>
                <w:highlight w:val="none"/>
                <w:lang w:val="en-US" w:eastAsia="zh-CN"/>
              </w:rPr>
              <w:t>或2025年度</w:t>
            </w:r>
            <w:r>
              <w:rPr>
                <w:spacing w:val="-5"/>
                <w:highlight w:val="none"/>
              </w:rPr>
              <w:t>经审计完整有效的财务报告；②</w:t>
            </w:r>
            <w:r>
              <w:rPr>
                <w:rFonts w:hint="eastAsia"/>
                <w:spacing w:val="-5"/>
                <w:highlight w:val="none"/>
              </w:rPr>
              <w:t>2024年度或2025年度财务报表(财务报表应包括资产负债表、利润表、损益表、现金流量表或财务状况变动表;成立时间至提交投标文件截止时间不足一年的可提供公司成立之日起到招标公告发布之日止的财务报表)</w:t>
            </w:r>
            <w:r>
              <w:rPr>
                <w:rFonts w:hint="eastAsia"/>
                <w:spacing w:val="-5"/>
                <w:highlight w:val="none"/>
                <w:lang w:eastAsia="zh-CN"/>
              </w:rPr>
              <w:t>；</w:t>
            </w:r>
            <w:r>
              <w:rPr>
                <w:rFonts w:hint="default" w:ascii="宋体" w:hAnsi="宋体" w:eastAsia="宋体" w:cs="宋体"/>
                <w:spacing w:val="-5"/>
                <w:highlight w:val="none"/>
                <w:lang w:eastAsia="zh-CN"/>
              </w:rPr>
              <w:t>③</w:t>
            </w:r>
            <w:r>
              <w:rPr>
                <w:spacing w:val="-5"/>
                <w:highlight w:val="none"/>
              </w:rPr>
              <w:t>银行出具的资信证明（202</w:t>
            </w:r>
            <w:r>
              <w:rPr>
                <w:rFonts w:hint="eastAsia"/>
                <w:spacing w:val="-5"/>
                <w:highlight w:val="none"/>
                <w:lang w:val="en-US" w:eastAsia="zh-CN"/>
              </w:rPr>
              <w:t>5</w:t>
            </w:r>
            <w:r>
              <w:rPr>
                <w:spacing w:val="-5"/>
                <w:highlight w:val="none"/>
              </w:rPr>
              <w:t>年</w:t>
            </w:r>
            <w:r>
              <w:rPr>
                <w:rFonts w:hint="eastAsia"/>
                <w:spacing w:val="-5"/>
                <w:highlight w:val="none"/>
                <w:lang w:val="en-US" w:eastAsia="zh-CN"/>
              </w:rPr>
              <w:t>3</w:t>
            </w:r>
            <w:r>
              <w:rPr>
                <w:spacing w:val="-5"/>
                <w:highlight w:val="none"/>
              </w:rPr>
              <w:t>月1日至采购公告发布之日止的资信证明</w:t>
            </w:r>
            <w:r>
              <w:rPr>
                <w:rFonts w:hint="eastAsia"/>
                <w:spacing w:val="-5"/>
                <w:highlight w:val="none"/>
                <w:lang w:eastAsia="zh-CN"/>
              </w:rPr>
              <w:t>；</w:t>
            </w:r>
            <w:r>
              <w:rPr>
                <w:rFonts w:hint="eastAsia"/>
                <w:spacing w:val="-5"/>
                <w:highlight w:val="none"/>
                <w:lang w:val="en-US" w:eastAsia="zh-CN"/>
              </w:rPr>
              <w:t>新</w:t>
            </w:r>
            <w:r>
              <w:rPr>
                <w:spacing w:val="-5"/>
                <w:highlight w:val="none"/>
              </w:rPr>
              <w:t>成立的公司提供自成立之日起公告发布之日止的资信证明）</w:t>
            </w:r>
            <w:r>
              <w:rPr>
                <w:rFonts w:hint="eastAsia" w:ascii="宋体" w:hAnsi="宋体" w:eastAsia="宋体" w:cs="宋体"/>
                <w:snapToGrid w:val="0"/>
                <w:color w:val="000000"/>
                <w:spacing w:val="-1"/>
                <w:sz w:val="24"/>
                <w:szCs w:val="24"/>
                <w:highlight w:val="none"/>
                <w:lang w:val="en-US" w:eastAsia="zh-CN" w:bidi="ar-SA"/>
              </w:rPr>
              <w:t>。</w:t>
            </w:r>
          </w:p>
        </w:tc>
        <w:tc>
          <w:tcPr>
            <w:tcW w:w="1342" w:type="dxa"/>
            <w:vAlign w:val="center"/>
          </w:tcPr>
          <w:p w14:paraId="69E52044">
            <w:pPr>
              <w:spacing w:before="117" w:line="240" w:lineRule="auto"/>
              <w:ind w:left="11" w:firstLine="1"/>
              <w:jc w:val="center"/>
              <w:rPr>
                <w:spacing w:val="-5"/>
                <w:highlight w:val="none"/>
              </w:rPr>
            </w:pPr>
            <w:r>
              <w:rPr>
                <w:rFonts w:hint="eastAsia" w:cs="宋体"/>
                <w:spacing w:val="-3"/>
                <w:highlight w:val="none"/>
                <w:lang w:val="en-US" w:eastAsia="zh-CN"/>
              </w:rPr>
              <w:t>加盖投标企业电子公章</w:t>
            </w:r>
          </w:p>
        </w:tc>
      </w:tr>
      <w:tr w14:paraId="2AD031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6" w:hRule="atLeast"/>
        </w:trPr>
        <w:tc>
          <w:tcPr>
            <w:tcW w:w="487" w:type="dxa"/>
            <w:vAlign w:val="center"/>
          </w:tcPr>
          <w:p w14:paraId="436D2CC7">
            <w:pPr>
              <w:pStyle w:val="74"/>
              <w:spacing w:before="78" w:line="240" w:lineRule="auto"/>
              <w:jc w:val="center"/>
              <w:rPr>
                <w:rFonts w:hint="eastAsia" w:eastAsia="宋体"/>
                <w:spacing w:val="-3"/>
                <w:highlight w:val="none"/>
                <w:lang w:val="en-US" w:eastAsia="zh-CN"/>
              </w:rPr>
            </w:pPr>
            <w:r>
              <w:rPr>
                <w:rFonts w:hint="eastAsia"/>
                <w:spacing w:val="-3"/>
                <w:highlight w:val="none"/>
                <w:lang w:val="en-US" w:eastAsia="zh-CN"/>
              </w:rPr>
              <w:t>5</w:t>
            </w:r>
          </w:p>
        </w:tc>
        <w:tc>
          <w:tcPr>
            <w:tcW w:w="1176" w:type="dxa"/>
            <w:vAlign w:val="center"/>
          </w:tcPr>
          <w:p w14:paraId="7DAE10F1">
            <w:pPr>
              <w:pStyle w:val="74"/>
              <w:spacing w:before="78" w:line="240" w:lineRule="auto"/>
              <w:jc w:val="center"/>
              <w:rPr>
                <w:highlight w:val="none"/>
              </w:rPr>
            </w:pPr>
            <w:r>
              <w:rPr>
                <w:spacing w:val="-3"/>
                <w:highlight w:val="none"/>
              </w:rPr>
              <w:t>基本资质</w:t>
            </w:r>
          </w:p>
        </w:tc>
        <w:tc>
          <w:tcPr>
            <w:tcW w:w="5639" w:type="dxa"/>
            <w:vAlign w:val="top"/>
          </w:tcPr>
          <w:p w14:paraId="61B54DEE">
            <w:pPr>
              <w:pStyle w:val="74"/>
              <w:spacing w:before="117" w:line="240" w:lineRule="auto"/>
              <w:ind w:left="9" w:right="1"/>
              <w:jc w:val="both"/>
              <w:rPr>
                <w:highlight w:val="none"/>
              </w:rPr>
            </w:pPr>
            <w:r>
              <w:rPr>
                <w:highlight w:val="none"/>
              </w:rPr>
              <w:t>提供投标人</w:t>
            </w:r>
            <w:r>
              <w:rPr>
                <w:spacing w:val="-5"/>
                <w:highlight w:val="none"/>
              </w:rPr>
              <w:t>202</w:t>
            </w:r>
            <w:r>
              <w:rPr>
                <w:rFonts w:hint="eastAsia"/>
                <w:spacing w:val="-5"/>
                <w:highlight w:val="none"/>
                <w:lang w:val="en-US" w:eastAsia="zh-CN"/>
              </w:rPr>
              <w:t>5</w:t>
            </w:r>
            <w:r>
              <w:rPr>
                <w:spacing w:val="-5"/>
                <w:highlight w:val="none"/>
              </w:rPr>
              <w:t>年</w:t>
            </w:r>
            <w:r>
              <w:rPr>
                <w:rFonts w:hint="eastAsia"/>
                <w:spacing w:val="-5"/>
                <w:highlight w:val="none"/>
                <w:lang w:val="en-US" w:eastAsia="zh-CN"/>
              </w:rPr>
              <w:t>3</w:t>
            </w:r>
            <w:r>
              <w:rPr>
                <w:spacing w:val="-5"/>
                <w:highlight w:val="none"/>
              </w:rPr>
              <w:t>月1日</w:t>
            </w:r>
            <w:r>
              <w:rPr>
                <w:highlight w:val="none"/>
              </w:rPr>
              <w:t>至今任意一个月（以税款所属时期为准）依法纳税凭证原件或有电子专用章的完税证明；如未达到应缴税标准，须同时提供以下三项材料：①相应说明、②证明材料(如：增值税纳税申报 表或零纳税申报表)、③加盖税务局章（或电子章）的无欠税证明</w:t>
            </w:r>
            <w:r>
              <w:rPr>
                <w:rFonts w:hint="eastAsia" w:ascii="宋体" w:hAnsi="宋体" w:eastAsia="宋体" w:cs="宋体"/>
                <w:snapToGrid w:val="0"/>
                <w:color w:val="000000"/>
                <w:spacing w:val="-1"/>
                <w:sz w:val="24"/>
                <w:szCs w:val="24"/>
                <w:highlight w:val="none"/>
                <w:lang w:val="en-US" w:eastAsia="zh-CN" w:bidi="ar-SA"/>
              </w:rPr>
              <w:t>。</w:t>
            </w:r>
          </w:p>
          <w:p w14:paraId="1943D60B">
            <w:pPr>
              <w:pStyle w:val="74"/>
              <w:spacing w:before="117" w:line="240" w:lineRule="auto"/>
              <w:ind w:left="9" w:right="1"/>
              <w:jc w:val="both"/>
              <w:rPr>
                <w:highlight w:val="none"/>
              </w:rPr>
            </w:pPr>
            <w:r>
              <w:rPr>
                <w:highlight w:val="none"/>
              </w:rPr>
              <w:t>注：依法免税的投标人，应提供相应文件证明其依法免税。</w:t>
            </w:r>
          </w:p>
        </w:tc>
        <w:tc>
          <w:tcPr>
            <w:tcW w:w="1342" w:type="dxa"/>
            <w:vAlign w:val="center"/>
          </w:tcPr>
          <w:p w14:paraId="11A8FA9A">
            <w:pPr>
              <w:spacing w:before="117" w:line="240" w:lineRule="auto"/>
              <w:ind w:left="9" w:right="1"/>
              <w:jc w:val="center"/>
              <w:rPr>
                <w:highlight w:val="none"/>
              </w:rPr>
            </w:pPr>
            <w:r>
              <w:rPr>
                <w:rFonts w:hint="eastAsia" w:cs="宋体"/>
                <w:spacing w:val="-3"/>
                <w:highlight w:val="none"/>
                <w:lang w:val="en-US" w:eastAsia="zh-CN"/>
              </w:rPr>
              <w:t>加盖投标企业电子公章</w:t>
            </w:r>
          </w:p>
        </w:tc>
      </w:tr>
      <w:tr w14:paraId="4A5774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5" w:hRule="atLeast"/>
        </w:trPr>
        <w:tc>
          <w:tcPr>
            <w:tcW w:w="487" w:type="dxa"/>
            <w:vAlign w:val="center"/>
          </w:tcPr>
          <w:p w14:paraId="11304A67">
            <w:pPr>
              <w:pStyle w:val="74"/>
              <w:spacing w:before="282" w:line="240" w:lineRule="auto"/>
              <w:jc w:val="center"/>
              <w:rPr>
                <w:rFonts w:hint="eastAsia" w:eastAsia="宋体"/>
                <w:spacing w:val="-3"/>
                <w:highlight w:val="none"/>
                <w:lang w:val="en-US" w:eastAsia="zh-CN"/>
              </w:rPr>
            </w:pPr>
            <w:r>
              <w:rPr>
                <w:rFonts w:hint="eastAsia"/>
                <w:spacing w:val="-3"/>
                <w:highlight w:val="none"/>
                <w:lang w:val="en-US" w:eastAsia="zh-CN"/>
              </w:rPr>
              <w:t>6</w:t>
            </w:r>
          </w:p>
        </w:tc>
        <w:tc>
          <w:tcPr>
            <w:tcW w:w="1176" w:type="dxa"/>
            <w:vAlign w:val="center"/>
          </w:tcPr>
          <w:p w14:paraId="0F8583C1">
            <w:pPr>
              <w:pStyle w:val="74"/>
              <w:spacing w:before="282" w:line="240" w:lineRule="auto"/>
              <w:jc w:val="center"/>
              <w:rPr>
                <w:highlight w:val="none"/>
              </w:rPr>
            </w:pPr>
            <w:r>
              <w:rPr>
                <w:spacing w:val="-3"/>
                <w:highlight w:val="none"/>
              </w:rPr>
              <w:t>基本资质</w:t>
            </w:r>
          </w:p>
        </w:tc>
        <w:tc>
          <w:tcPr>
            <w:tcW w:w="5639" w:type="dxa"/>
            <w:vAlign w:val="top"/>
          </w:tcPr>
          <w:p w14:paraId="3C86F364">
            <w:pPr>
              <w:pStyle w:val="74"/>
              <w:spacing w:before="278" w:line="240" w:lineRule="auto"/>
              <w:ind w:right="100"/>
              <w:rPr>
                <w:highlight w:val="none"/>
              </w:rPr>
            </w:pPr>
            <w:r>
              <w:rPr>
                <w:spacing w:val="-2"/>
                <w:highlight w:val="none"/>
              </w:rPr>
              <w:t>提供投标人</w:t>
            </w:r>
            <w:r>
              <w:rPr>
                <w:spacing w:val="-32"/>
                <w:highlight w:val="none"/>
              </w:rPr>
              <w:t xml:space="preserve"> </w:t>
            </w:r>
            <w:r>
              <w:rPr>
                <w:spacing w:val="-5"/>
                <w:highlight w:val="none"/>
              </w:rPr>
              <w:t>202</w:t>
            </w:r>
            <w:r>
              <w:rPr>
                <w:rFonts w:hint="eastAsia"/>
                <w:spacing w:val="-5"/>
                <w:highlight w:val="none"/>
                <w:lang w:val="en-US" w:eastAsia="zh-CN"/>
              </w:rPr>
              <w:t>5</w:t>
            </w:r>
            <w:r>
              <w:rPr>
                <w:spacing w:val="-5"/>
                <w:highlight w:val="none"/>
              </w:rPr>
              <w:t>年</w:t>
            </w:r>
            <w:r>
              <w:rPr>
                <w:rFonts w:hint="eastAsia"/>
                <w:spacing w:val="-5"/>
                <w:highlight w:val="none"/>
                <w:lang w:val="en-US" w:eastAsia="zh-CN"/>
              </w:rPr>
              <w:t>3</w:t>
            </w:r>
            <w:r>
              <w:rPr>
                <w:spacing w:val="-5"/>
                <w:highlight w:val="none"/>
              </w:rPr>
              <w:t>月1日</w:t>
            </w:r>
            <w:r>
              <w:rPr>
                <w:spacing w:val="-2"/>
                <w:highlight w:val="none"/>
              </w:rPr>
              <w:t>至今任意一个月依法缴纳社会保险的凭据；</w:t>
            </w:r>
          </w:p>
          <w:p w14:paraId="1D618C3C">
            <w:pPr>
              <w:pStyle w:val="74"/>
              <w:spacing w:before="118" w:line="240" w:lineRule="auto"/>
              <w:ind w:left="29" w:hanging="18"/>
              <w:rPr>
                <w:rFonts w:hint="eastAsia" w:eastAsia="宋体"/>
                <w:highlight w:val="none"/>
                <w:lang w:eastAsia="zh-CN"/>
              </w:rPr>
            </w:pPr>
            <w:r>
              <w:rPr>
                <w:spacing w:val="1"/>
                <w:highlight w:val="none"/>
              </w:rPr>
              <w:t>注：依法不需要缴纳社会保障资金的投标人，</w:t>
            </w:r>
            <w:r>
              <w:rPr>
                <w:highlight w:val="none"/>
              </w:rPr>
              <w:t>应提供</w:t>
            </w:r>
            <w:r>
              <w:rPr>
                <w:spacing w:val="-1"/>
                <w:highlight w:val="none"/>
              </w:rPr>
              <w:t>相应文件证明其依法不需要缴纳社会保障资金</w:t>
            </w:r>
            <w:r>
              <w:rPr>
                <w:rFonts w:hint="eastAsia" w:ascii="宋体" w:hAnsi="宋体" w:eastAsia="宋体" w:cs="宋体"/>
                <w:snapToGrid w:val="0"/>
                <w:color w:val="000000"/>
                <w:spacing w:val="-1"/>
                <w:sz w:val="24"/>
                <w:szCs w:val="24"/>
                <w:highlight w:val="none"/>
                <w:lang w:val="en-US" w:eastAsia="zh-CN" w:bidi="ar-SA"/>
              </w:rPr>
              <w:t>。</w:t>
            </w:r>
          </w:p>
        </w:tc>
        <w:tc>
          <w:tcPr>
            <w:tcW w:w="1342" w:type="dxa"/>
            <w:vAlign w:val="center"/>
          </w:tcPr>
          <w:p w14:paraId="0EE5B1F6">
            <w:pPr>
              <w:spacing w:before="118" w:line="240" w:lineRule="auto"/>
              <w:ind w:left="29" w:hanging="18"/>
              <w:jc w:val="center"/>
              <w:rPr>
                <w:spacing w:val="1"/>
                <w:highlight w:val="none"/>
              </w:rPr>
            </w:pPr>
            <w:r>
              <w:rPr>
                <w:rFonts w:hint="eastAsia" w:cs="宋体"/>
                <w:spacing w:val="-3"/>
                <w:highlight w:val="none"/>
                <w:lang w:val="en-US" w:eastAsia="zh-CN"/>
              </w:rPr>
              <w:t>加盖投标企业电子公章</w:t>
            </w:r>
          </w:p>
        </w:tc>
      </w:tr>
      <w:tr w14:paraId="46E90B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1" w:hRule="atLeast"/>
        </w:trPr>
        <w:tc>
          <w:tcPr>
            <w:tcW w:w="487" w:type="dxa"/>
            <w:vAlign w:val="center"/>
          </w:tcPr>
          <w:p w14:paraId="7C2FE842">
            <w:pPr>
              <w:pStyle w:val="74"/>
              <w:spacing w:before="282" w:line="240" w:lineRule="auto"/>
              <w:jc w:val="center"/>
              <w:rPr>
                <w:rFonts w:hint="default"/>
                <w:spacing w:val="-3"/>
                <w:highlight w:val="none"/>
                <w:lang w:val="en-US" w:eastAsia="zh-CN"/>
              </w:rPr>
            </w:pPr>
            <w:r>
              <w:rPr>
                <w:rFonts w:hint="eastAsia"/>
                <w:spacing w:val="-3"/>
                <w:highlight w:val="none"/>
                <w:lang w:val="en-US" w:eastAsia="zh-CN"/>
              </w:rPr>
              <w:t>7</w:t>
            </w:r>
          </w:p>
        </w:tc>
        <w:tc>
          <w:tcPr>
            <w:tcW w:w="1176" w:type="dxa"/>
            <w:vAlign w:val="center"/>
          </w:tcPr>
          <w:p w14:paraId="409A1ACB">
            <w:pPr>
              <w:pStyle w:val="74"/>
              <w:spacing w:before="282" w:line="240" w:lineRule="auto"/>
              <w:jc w:val="center"/>
              <w:rPr>
                <w:rFonts w:hint="eastAsia" w:eastAsia="宋体"/>
                <w:spacing w:val="-3"/>
                <w:highlight w:val="none"/>
                <w:lang w:val="en-US" w:eastAsia="zh-CN"/>
              </w:rPr>
            </w:pPr>
            <w:r>
              <w:rPr>
                <w:rFonts w:hint="eastAsia"/>
                <w:spacing w:val="-3"/>
                <w:highlight w:val="none"/>
                <w:lang w:val="en-US" w:eastAsia="zh-CN"/>
              </w:rPr>
              <w:t>基本资质</w:t>
            </w:r>
          </w:p>
        </w:tc>
        <w:tc>
          <w:tcPr>
            <w:tcW w:w="5639" w:type="dxa"/>
            <w:vAlign w:val="center"/>
          </w:tcPr>
          <w:p w14:paraId="7117546F">
            <w:pPr>
              <w:pStyle w:val="74"/>
              <w:spacing w:before="118" w:line="240" w:lineRule="auto"/>
              <w:ind w:left="29" w:hanging="18"/>
              <w:jc w:val="left"/>
              <w:rPr>
                <w:rFonts w:hint="default" w:eastAsia="宋体"/>
                <w:spacing w:val="1"/>
                <w:highlight w:val="none"/>
                <w:lang w:val="en-US" w:eastAsia="zh-CN"/>
              </w:rPr>
            </w:pPr>
            <w:r>
              <w:rPr>
                <w:spacing w:val="6"/>
                <w:highlight w:val="none"/>
              </w:rPr>
              <w:t>具有履行合同所必需的设备和专业技术能力</w:t>
            </w:r>
            <w:r>
              <w:rPr>
                <w:rFonts w:hint="eastAsia"/>
                <w:spacing w:val="6"/>
                <w:highlight w:val="none"/>
                <w:lang w:val="en-US" w:eastAsia="zh-CN"/>
              </w:rPr>
              <w:t>的承诺函</w:t>
            </w:r>
            <w:r>
              <w:rPr>
                <w:rFonts w:hint="eastAsia" w:ascii="宋体" w:hAnsi="宋体" w:eastAsia="宋体" w:cs="宋体"/>
                <w:snapToGrid w:val="0"/>
                <w:color w:val="000000"/>
                <w:spacing w:val="-1"/>
                <w:sz w:val="24"/>
                <w:szCs w:val="24"/>
                <w:highlight w:val="none"/>
                <w:lang w:val="en-US" w:eastAsia="zh-CN" w:bidi="ar-SA"/>
              </w:rPr>
              <w:t>。</w:t>
            </w:r>
          </w:p>
        </w:tc>
        <w:tc>
          <w:tcPr>
            <w:tcW w:w="1342" w:type="dxa"/>
            <w:vAlign w:val="center"/>
          </w:tcPr>
          <w:p w14:paraId="68F11F06">
            <w:pPr>
              <w:spacing w:before="118" w:line="240" w:lineRule="auto"/>
              <w:ind w:left="29" w:hanging="18"/>
              <w:jc w:val="center"/>
              <w:rPr>
                <w:spacing w:val="6"/>
                <w:highlight w:val="none"/>
              </w:rPr>
            </w:pPr>
            <w:r>
              <w:rPr>
                <w:rFonts w:hint="eastAsia" w:cs="宋体"/>
                <w:spacing w:val="-3"/>
                <w:highlight w:val="none"/>
                <w:lang w:val="en-US" w:eastAsia="zh-CN"/>
              </w:rPr>
              <w:t>加盖投标企业电子公章</w:t>
            </w:r>
          </w:p>
        </w:tc>
      </w:tr>
      <w:tr w14:paraId="39D49A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1" w:hRule="atLeast"/>
        </w:trPr>
        <w:tc>
          <w:tcPr>
            <w:tcW w:w="487" w:type="dxa"/>
            <w:vAlign w:val="center"/>
          </w:tcPr>
          <w:p w14:paraId="2F06A3DA">
            <w:pPr>
              <w:pStyle w:val="74"/>
              <w:spacing w:before="282" w:line="240" w:lineRule="auto"/>
              <w:jc w:val="center"/>
              <w:rPr>
                <w:rFonts w:hint="default"/>
                <w:spacing w:val="-3"/>
                <w:highlight w:val="none"/>
                <w:lang w:val="en-US" w:eastAsia="zh-CN"/>
              </w:rPr>
            </w:pPr>
            <w:r>
              <w:rPr>
                <w:rFonts w:hint="eastAsia"/>
                <w:spacing w:val="-3"/>
                <w:highlight w:val="none"/>
                <w:lang w:val="en-US" w:eastAsia="zh-CN"/>
              </w:rPr>
              <w:t>8</w:t>
            </w:r>
          </w:p>
        </w:tc>
        <w:tc>
          <w:tcPr>
            <w:tcW w:w="1176" w:type="dxa"/>
            <w:vAlign w:val="center"/>
          </w:tcPr>
          <w:p w14:paraId="62B86E1E">
            <w:pPr>
              <w:pStyle w:val="74"/>
              <w:spacing w:before="282" w:line="240" w:lineRule="auto"/>
              <w:jc w:val="center"/>
              <w:rPr>
                <w:rFonts w:hint="default"/>
                <w:spacing w:val="-3"/>
                <w:highlight w:val="none"/>
                <w:lang w:val="en-US" w:eastAsia="zh-CN"/>
              </w:rPr>
            </w:pPr>
            <w:r>
              <w:rPr>
                <w:rFonts w:hint="eastAsia"/>
                <w:spacing w:val="-3"/>
                <w:highlight w:val="none"/>
                <w:lang w:val="en-US" w:eastAsia="zh-CN"/>
              </w:rPr>
              <w:t>其他</w:t>
            </w:r>
          </w:p>
        </w:tc>
        <w:tc>
          <w:tcPr>
            <w:tcW w:w="5639" w:type="dxa"/>
            <w:vAlign w:val="center"/>
          </w:tcPr>
          <w:p w14:paraId="12DBF64D">
            <w:pPr>
              <w:pStyle w:val="74"/>
              <w:spacing w:before="118" w:line="240" w:lineRule="auto"/>
              <w:ind w:left="29" w:hanging="18"/>
              <w:jc w:val="left"/>
              <w:rPr>
                <w:spacing w:val="6"/>
                <w:highlight w:val="none"/>
              </w:rPr>
            </w:pPr>
            <w:r>
              <w:rPr>
                <w:rFonts w:hint="eastAsia" w:ascii="宋体" w:hAnsi="宋体" w:eastAsia="宋体" w:cs="宋体"/>
                <w:snapToGrid w:val="0"/>
                <w:color w:val="000000"/>
                <w:spacing w:val="-1"/>
                <w:sz w:val="24"/>
                <w:szCs w:val="24"/>
                <w:highlight w:val="none"/>
                <w:lang w:val="en-US" w:eastAsia="zh-CN" w:bidi="ar-SA"/>
              </w:rPr>
              <w:t>投标人需提供参加采购活动前三年内(开业不满三年的提供公司成立之日起到招标公告发布之日止)，在经营活动中没有重大违法记录需提供无重大违法记录声明函。</w:t>
            </w:r>
          </w:p>
        </w:tc>
        <w:tc>
          <w:tcPr>
            <w:tcW w:w="1342" w:type="dxa"/>
            <w:vAlign w:val="center"/>
          </w:tcPr>
          <w:p w14:paraId="755F628A">
            <w:pPr>
              <w:spacing w:before="118" w:line="240" w:lineRule="auto"/>
              <w:ind w:left="29" w:hanging="18"/>
              <w:jc w:val="center"/>
              <w:rPr>
                <w:rFonts w:hint="eastAsia" w:ascii="宋体" w:hAnsi="宋体" w:eastAsia="宋体" w:cs="宋体"/>
                <w:snapToGrid w:val="0"/>
                <w:color w:val="000000"/>
                <w:spacing w:val="-1"/>
                <w:sz w:val="24"/>
                <w:szCs w:val="24"/>
                <w:highlight w:val="none"/>
                <w:lang w:val="en-US" w:eastAsia="zh-CN" w:bidi="ar-SA"/>
              </w:rPr>
            </w:pPr>
            <w:r>
              <w:rPr>
                <w:rFonts w:hint="eastAsia" w:cs="宋体"/>
                <w:spacing w:val="-3"/>
                <w:highlight w:val="none"/>
                <w:lang w:val="en-US" w:eastAsia="zh-CN"/>
              </w:rPr>
              <w:t>加盖投标企业电子公章</w:t>
            </w:r>
          </w:p>
        </w:tc>
      </w:tr>
      <w:tr w14:paraId="47DEF8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9" w:hRule="atLeast"/>
        </w:trPr>
        <w:tc>
          <w:tcPr>
            <w:tcW w:w="487" w:type="dxa"/>
            <w:vAlign w:val="center"/>
          </w:tcPr>
          <w:p w14:paraId="7544E00C">
            <w:pPr>
              <w:pStyle w:val="74"/>
              <w:spacing w:before="78" w:line="240" w:lineRule="auto"/>
              <w:jc w:val="center"/>
              <w:rPr>
                <w:rFonts w:hint="default" w:eastAsia="宋体"/>
                <w:spacing w:val="-6"/>
                <w:highlight w:val="none"/>
                <w:lang w:val="en-US" w:eastAsia="zh-CN"/>
              </w:rPr>
            </w:pPr>
            <w:r>
              <w:rPr>
                <w:rFonts w:hint="eastAsia"/>
                <w:spacing w:val="-6"/>
                <w:highlight w:val="none"/>
                <w:lang w:val="en-US" w:eastAsia="zh-CN"/>
              </w:rPr>
              <w:t>9</w:t>
            </w:r>
          </w:p>
        </w:tc>
        <w:tc>
          <w:tcPr>
            <w:tcW w:w="1176" w:type="dxa"/>
            <w:vAlign w:val="center"/>
          </w:tcPr>
          <w:p w14:paraId="2F8F4DB3">
            <w:pPr>
              <w:pStyle w:val="74"/>
              <w:spacing w:before="78" w:line="240" w:lineRule="auto"/>
              <w:jc w:val="center"/>
              <w:rPr>
                <w:highlight w:val="none"/>
              </w:rPr>
            </w:pPr>
            <w:r>
              <w:rPr>
                <w:spacing w:val="-6"/>
                <w:highlight w:val="none"/>
              </w:rPr>
              <w:t>其他</w:t>
            </w:r>
          </w:p>
        </w:tc>
        <w:tc>
          <w:tcPr>
            <w:tcW w:w="5639" w:type="dxa"/>
            <w:vAlign w:val="top"/>
          </w:tcPr>
          <w:p w14:paraId="55446EC8">
            <w:pPr>
              <w:pStyle w:val="49"/>
              <w:spacing w:line="24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pacing w:val="-6"/>
                <w:sz w:val="24"/>
                <w:szCs w:val="24"/>
                <w:highlight w:val="none"/>
                <w:lang w:val="en-US" w:eastAsia="zh-CN"/>
              </w:rPr>
              <w:t>查询渠道：信用中国网站和中国政府采购网（ www.creditchina.gov.cn 、www.ccgp.gov.cn）；</w:t>
            </w:r>
            <w:r>
              <w:rPr>
                <w:rFonts w:hint="eastAsia" w:ascii="宋体" w:hAnsi="宋体" w:eastAsia="宋体" w:cs="宋体"/>
                <w:color w:val="auto"/>
                <w:sz w:val="24"/>
                <w:szCs w:val="24"/>
                <w:highlight w:val="none"/>
                <w:lang w:val="en-US" w:eastAsia="zh-CN"/>
              </w:rPr>
              <w:t xml:space="preserve"> </w:t>
            </w:r>
          </w:p>
          <w:p w14:paraId="563C0288">
            <w:pPr>
              <w:pStyle w:val="49"/>
              <w:spacing w:line="24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截止时点：投标截止时间以后、资格审查阶段采购人或采购代理机构的实际查询时间； </w:t>
            </w:r>
          </w:p>
          <w:p w14:paraId="3F1DD242">
            <w:pPr>
              <w:pStyle w:val="49"/>
              <w:spacing w:line="240" w:lineRule="auto"/>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信用信息查询记录和证据留存具体方式：查询结果网页打印页作为查询记录和证据，与其他采购文件一并保存； </w:t>
            </w:r>
          </w:p>
          <w:p w14:paraId="659D0B20">
            <w:pPr>
              <w:pStyle w:val="74"/>
              <w:spacing w:before="125" w:line="240" w:lineRule="auto"/>
              <w:ind w:right="3"/>
              <w:jc w:val="both"/>
              <w:rPr>
                <w:rFonts w:hint="eastAsia" w:ascii="宋体" w:hAnsi="宋体" w:eastAsia="宋体" w:cs="宋体"/>
                <w:color w:val="auto"/>
                <w:spacing w:val="-6"/>
                <w:sz w:val="24"/>
                <w:szCs w:val="24"/>
                <w:highlight w:val="none"/>
                <w:lang w:val="en-US" w:eastAsia="zh-CN"/>
              </w:rPr>
            </w:pPr>
            <w:r>
              <w:rPr>
                <w:rFonts w:hint="eastAsia" w:ascii="宋体" w:hAnsi="宋体" w:eastAsia="宋体" w:cs="宋体"/>
                <w:color w:val="auto"/>
                <w:spacing w:val="-6"/>
                <w:sz w:val="24"/>
                <w:szCs w:val="24"/>
                <w:highlight w:val="none"/>
                <w:lang w:val="en-US" w:eastAsia="zh-CN"/>
              </w:rPr>
              <w:t>信用信息的使用原则：经认定的被列入失信被执行人、重大税收违法失信主体、政府采购严重违法失信行为记录名单的投标人，其</w:t>
            </w:r>
            <w:r>
              <w:rPr>
                <w:rFonts w:hint="eastAsia" w:ascii="宋体" w:hAnsi="宋体" w:eastAsia="宋体" w:cs="宋体"/>
                <w:b/>
                <w:bCs/>
                <w:color w:val="auto"/>
                <w:spacing w:val="-6"/>
                <w:sz w:val="24"/>
                <w:szCs w:val="24"/>
                <w:highlight w:val="none"/>
                <w:lang w:val="en-US" w:eastAsia="zh-CN"/>
              </w:rPr>
              <w:t>投标无效</w:t>
            </w:r>
            <w:r>
              <w:rPr>
                <w:rFonts w:hint="eastAsia" w:ascii="宋体" w:hAnsi="宋体" w:eastAsia="宋体" w:cs="宋体"/>
                <w:color w:val="auto"/>
                <w:spacing w:val="-6"/>
                <w:sz w:val="24"/>
                <w:szCs w:val="24"/>
                <w:highlight w:val="none"/>
                <w:lang w:val="en-US" w:eastAsia="zh-CN"/>
              </w:rPr>
              <w:t>。联合体形式投标的，联合体成员存在不良信用记录，视同联合体存在不良信用记录。</w:t>
            </w:r>
          </w:p>
          <w:p w14:paraId="66DE2D53">
            <w:pPr>
              <w:pStyle w:val="74"/>
              <w:spacing w:before="125" w:line="240" w:lineRule="auto"/>
              <w:ind w:right="3"/>
              <w:jc w:val="both"/>
              <w:rPr>
                <w:highlight w:val="none"/>
              </w:rPr>
            </w:pPr>
            <w:r>
              <w:rPr>
                <w:b/>
                <w:bCs/>
                <w:spacing w:val="-2"/>
                <w:highlight w:val="none"/>
              </w:rPr>
              <w:t>注：信用查询记录内容以资格审查现场查询为准，供</w:t>
            </w:r>
            <w:r>
              <w:rPr>
                <w:b/>
                <w:bCs/>
                <w:spacing w:val="-3"/>
                <w:highlight w:val="none"/>
              </w:rPr>
              <w:t>应商无需上传证明材料。</w:t>
            </w:r>
          </w:p>
        </w:tc>
        <w:tc>
          <w:tcPr>
            <w:tcW w:w="1342" w:type="dxa"/>
            <w:vAlign w:val="center"/>
          </w:tcPr>
          <w:p w14:paraId="3E56D2DD">
            <w:pPr>
              <w:spacing w:before="125" w:line="240" w:lineRule="auto"/>
              <w:ind w:right="3"/>
              <w:jc w:val="center"/>
              <w:rPr>
                <w:b/>
                <w:bCs/>
                <w:spacing w:val="-2"/>
                <w:highlight w:val="none"/>
              </w:rPr>
            </w:pPr>
            <w:r>
              <w:rPr>
                <w:rFonts w:hint="eastAsia" w:cs="宋体"/>
                <w:spacing w:val="-3"/>
                <w:highlight w:val="none"/>
                <w:lang w:val="en-US" w:eastAsia="zh-CN"/>
              </w:rPr>
              <w:t>加盖投标企业电子公章</w:t>
            </w:r>
          </w:p>
        </w:tc>
      </w:tr>
      <w:tr w14:paraId="23D465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487" w:type="dxa"/>
            <w:vAlign w:val="center"/>
          </w:tcPr>
          <w:p w14:paraId="28E08C6B">
            <w:pPr>
              <w:pStyle w:val="74"/>
              <w:spacing w:before="82" w:line="240" w:lineRule="auto"/>
              <w:jc w:val="center"/>
              <w:rPr>
                <w:rFonts w:hint="default" w:eastAsia="宋体"/>
                <w:spacing w:val="-6"/>
                <w:highlight w:val="none"/>
                <w:lang w:val="en-US" w:eastAsia="zh-CN"/>
              </w:rPr>
            </w:pPr>
            <w:r>
              <w:rPr>
                <w:rFonts w:hint="eastAsia"/>
                <w:spacing w:val="-6"/>
                <w:highlight w:val="none"/>
                <w:lang w:val="en-US" w:eastAsia="zh-CN"/>
              </w:rPr>
              <w:t>10</w:t>
            </w:r>
          </w:p>
        </w:tc>
        <w:tc>
          <w:tcPr>
            <w:tcW w:w="1176" w:type="dxa"/>
            <w:vAlign w:val="center"/>
          </w:tcPr>
          <w:p w14:paraId="33CE17F3">
            <w:pPr>
              <w:pStyle w:val="74"/>
              <w:spacing w:before="82" w:line="240" w:lineRule="auto"/>
              <w:jc w:val="center"/>
              <w:rPr>
                <w:highlight w:val="none"/>
              </w:rPr>
            </w:pPr>
            <w:r>
              <w:rPr>
                <w:spacing w:val="-6"/>
                <w:highlight w:val="none"/>
              </w:rPr>
              <w:t>其他</w:t>
            </w:r>
          </w:p>
        </w:tc>
        <w:tc>
          <w:tcPr>
            <w:tcW w:w="5639" w:type="dxa"/>
            <w:vAlign w:val="center"/>
          </w:tcPr>
          <w:p w14:paraId="6D6F34F0">
            <w:pPr>
              <w:pStyle w:val="74"/>
              <w:spacing w:before="119" w:line="240" w:lineRule="auto"/>
              <w:ind w:left="13"/>
              <w:jc w:val="left"/>
              <w:rPr>
                <w:highlight w:val="none"/>
              </w:rPr>
            </w:pPr>
            <w:r>
              <w:rPr>
                <w:spacing w:val="-1"/>
                <w:highlight w:val="none"/>
              </w:rPr>
              <w:t>投标保证金缴纳凭证或保函。</w:t>
            </w:r>
          </w:p>
        </w:tc>
        <w:tc>
          <w:tcPr>
            <w:tcW w:w="1342" w:type="dxa"/>
            <w:vAlign w:val="center"/>
          </w:tcPr>
          <w:p w14:paraId="058F4D10">
            <w:pPr>
              <w:spacing w:before="119" w:line="240" w:lineRule="auto"/>
              <w:ind w:left="13"/>
              <w:jc w:val="center"/>
              <w:rPr>
                <w:spacing w:val="-1"/>
                <w:highlight w:val="none"/>
              </w:rPr>
            </w:pPr>
            <w:r>
              <w:rPr>
                <w:rFonts w:hint="eastAsia" w:cs="宋体"/>
                <w:spacing w:val="-3"/>
                <w:highlight w:val="none"/>
                <w:lang w:val="en-US" w:eastAsia="zh-CN"/>
              </w:rPr>
              <w:t>加盖投标企业电子公章</w:t>
            </w:r>
          </w:p>
        </w:tc>
      </w:tr>
      <w:tr w14:paraId="789414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17" w:hRule="atLeast"/>
        </w:trPr>
        <w:tc>
          <w:tcPr>
            <w:tcW w:w="487" w:type="dxa"/>
            <w:vAlign w:val="center"/>
          </w:tcPr>
          <w:p w14:paraId="510A3B2C">
            <w:pPr>
              <w:pStyle w:val="74"/>
              <w:spacing w:before="78" w:line="240" w:lineRule="auto"/>
              <w:ind w:left="605"/>
              <w:jc w:val="center"/>
              <w:rPr>
                <w:b/>
                <w:bCs/>
                <w:spacing w:val="-9"/>
                <w:highlight w:val="none"/>
              </w:rPr>
            </w:pPr>
          </w:p>
        </w:tc>
        <w:tc>
          <w:tcPr>
            <w:tcW w:w="1176" w:type="dxa"/>
            <w:vAlign w:val="center"/>
          </w:tcPr>
          <w:p w14:paraId="644A1653">
            <w:pPr>
              <w:spacing w:line="240" w:lineRule="auto"/>
              <w:jc w:val="center"/>
              <w:rPr>
                <w:rFonts w:ascii="Arial"/>
                <w:sz w:val="21"/>
                <w:highlight w:val="none"/>
              </w:rPr>
            </w:pPr>
          </w:p>
          <w:p w14:paraId="57D7FD8B">
            <w:pPr>
              <w:spacing w:line="240" w:lineRule="auto"/>
              <w:jc w:val="center"/>
              <w:rPr>
                <w:rFonts w:ascii="Arial"/>
                <w:sz w:val="21"/>
                <w:highlight w:val="none"/>
              </w:rPr>
            </w:pPr>
          </w:p>
          <w:p w14:paraId="51E39F4D">
            <w:pPr>
              <w:pStyle w:val="74"/>
              <w:spacing w:before="78" w:line="240" w:lineRule="auto"/>
              <w:jc w:val="center"/>
              <w:rPr>
                <w:highlight w:val="none"/>
              </w:rPr>
            </w:pPr>
            <w:r>
              <w:rPr>
                <w:b/>
                <w:bCs/>
                <w:spacing w:val="-9"/>
                <w:highlight w:val="none"/>
              </w:rPr>
              <w:t>备注</w:t>
            </w:r>
          </w:p>
        </w:tc>
        <w:tc>
          <w:tcPr>
            <w:tcW w:w="6981" w:type="dxa"/>
            <w:gridSpan w:val="2"/>
            <w:vAlign w:val="top"/>
          </w:tcPr>
          <w:p w14:paraId="04BB39B1">
            <w:pPr>
              <w:pStyle w:val="74"/>
              <w:numPr>
                <w:ilvl w:val="0"/>
                <w:numId w:val="5"/>
              </w:numPr>
              <w:spacing w:before="120" w:line="240" w:lineRule="auto"/>
              <w:ind w:left="10" w:right="6" w:firstLine="2"/>
              <w:jc w:val="both"/>
              <w:rPr>
                <w:b/>
                <w:bCs/>
                <w:spacing w:val="-5"/>
                <w:highlight w:val="none"/>
              </w:rPr>
            </w:pPr>
            <w:r>
              <w:rPr>
                <w:b/>
                <w:bCs/>
                <w:spacing w:val="-3"/>
                <w:highlight w:val="none"/>
              </w:rPr>
              <w:t>投标人须按上述表格格式要求提供相关证明文件，投标文件中须编入</w:t>
            </w:r>
            <w:r>
              <w:rPr>
                <w:b/>
                <w:bCs/>
                <w:spacing w:val="-6"/>
                <w:highlight w:val="none"/>
              </w:rPr>
              <w:t>清晰的扫描件或网页截图。所有证明材料须清晰可辨认，如因证明材料模</w:t>
            </w:r>
            <w:r>
              <w:rPr>
                <w:spacing w:val="14"/>
                <w:highlight w:val="none"/>
              </w:rPr>
              <w:t xml:space="preserve"> </w:t>
            </w:r>
            <w:r>
              <w:rPr>
                <w:b/>
                <w:bCs/>
                <w:spacing w:val="-6"/>
                <w:highlight w:val="none"/>
              </w:rPr>
              <w:t>糊不清无法辨认，缺页、漏页导致无法进行评审认定的，责任由投标人自</w:t>
            </w:r>
            <w:r>
              <w:rPr>
                <w:b/>
                <w:bCs/>
                <w:spacing w:val="-5"/>
                <w:highlight w:val="none"/>
              </w:rPr>
              <w:t>行承担。</w:t>
            </w:r>
          </w:p>
          <w:p w14:paraId="43283848">
            <w:pPr>
              <w:pStyle w:val="74"/>
              <w:numPr>
                <w:ilvl w:val="0"/>
                <w:numId w:val="0"/>
              </w:numPr>
              <w:spacing w:before="120" w:line="240" w:lineRule="auto"/>
              <w:ind w:left="12" w:leftChars="0" w:right="6" w:rightChars="0"/>
              <w:jc w:val="both"/>
              <w:rPr>
                <w:highlight w:val="none"/>
              </w:rPr>
            </w:pPr>
            <w:r>
              <w:rPr>
                <w:b/>
                <w:bCs/>
                <w:spacing w:val="-3"/>
                <w:highlight w:val="none"/>
              </w:rPr>
              <w:t>2、投标人须将以上有效证件的扫描件上传到“政采云</w:t>
            </w:r>
            <w:r>
              <w:rPr>
                <w:spacing w:val="-86"/>
                <w:highlight w:val="none"/>
              </w:rPr>
              <w:t xml:space="preserve"> </w:t>
            </w:r>
            <w:r>
              <w:rPr>
                <w:b/>
                <w:bCs/>
                <w:spacing w:val="-3"/>
                <w:highlight w:val="none"/>
              </w:rPr>
              <w:t>”平台指</w:t>
            </w:r>
            <w:r>
              <w:rPr>
                <w:b/>
                <w:bCs/>
                <w:spacing w:val="-4"/>
                <w:highlight w:val="none"/>
              </w:rPr>
              <w:t>定位置以</w:t>
            </w:r>
            <w:r>
              <w:rPr>
                <w:b/>
                <w:bCs/>
                <w:spacing w:val="-6"/>
                <w:highlight w:val="none"/>
              </w:rPr>
              <w:t>供查验，如果提供不全或未在指定位置按要求上传则视为对招标文件资格</w:t>
            </w:r>
            <w:r>
              <w:rPr>
                <w:b/>
                <w:bCs/>
                <w:spacing w:val="-2"/>
                <w:highlight w:val="none"/>
              </w:rPr>
              <w:t>审查内容的不响应，其投标作为无效标，不进入后期评审阶段</w:t>
            </w:r>
          </w:p>
          <w:p w14:paraId="24AAEA4B">
            <w:pPr>
              <w:pStyle w:val="74"/>
              <w:spacing w:before="119" w:line="240" w:lineRule="auto"/>
              <w:ind w:left="10" w:right="6" w:firstLine="17"/>
              <w:jc w:val="both"/>
              <w:rPr>
                <w:b/>
                <w:bCs/>
                <w:spacing w:val="-2"/>
                <w:highlight w:val="none"/>
              </w:rPr>
            </w:pPr>
            <w:r>
              <w:rPr>
                <w:b/>
                <w:bCs/>
                <w:spacing w:val="-2"/>
                <w:highlight w:val="none"/>
              </w:rPr>
              <w:t>3、对于投标文件中有任意一条不满足上述要求的，将导致其响应无效，</w:t>
            </w:r>
            <w:r>
              <w:rPr>
                <w:b/>
                <w:bCs/>
                <w:spacing w:val="-6"/>
                <w:highlight w:val="none"/>
              </w:rPr>
              <w:t>不得进入下一阶段的评审，并且不允许投标人通过修改或撤销其不符合要</w:t>
            </w:r>
            <w:r>
              <w:rPr>
                <w:b/>
                <w:bCs/>
                <w:spacing w:val="-3"/>
                <w:highlight w:val="none"/>
              </w:rPr>
              <w:t>求的差异或保留，使之成为具有响应性的投标文件。</w:t>
            </w:r>
          </w:p>
        </w:tc>
      </w:tr>
    </w:tbl>
    <w:p w14:paraId="4EBEA889">
      <w:pPr>
        <w:rPr>
          <w:rFonts w:hint="eastAsia" w:ascii="宋体" w:hAnsi="宋体" w:eastAsia="宋体" w:cs="宋体"/>
          <w:color w:val="auto"/>
          <w:kern w:val="0"/>
          <w:sz w:val="24"/>
          <w:szCs w:val="24"/>
          <w:highlight w:val="none"/>
          <w:lang w:val="en-US" w:eastAsia="zh-CN" w:bidi="ar"/>
        </w:rPr>
      </w:pPr>
    </w:p>
    <w:p w14:paraId="07EACB5D">
      <w:pPr>
        <w:rPr>
          <w:rFonts w:hint="eastAsia" w:ascii="宋体" w:hAnsi="宋体" w:eastAsia="宋体" w:cs="宋体"/>
          <w:color w:val="auto"/>
          <w:kern w:val="0"/>
          <w:sz w:val="24"/>
          <w:szCs w:val="24"/>
          <w:highlight w:val="none"/>
          <w:lang w:val="en-US" w:eastAsia="zh-CN" w:bidi="ar"/>
        </w:rPr>
      </w:pPr>
    </w:p>
    <w:p w14:paraId="21B53EAD">
      <w:pPr>
        <w:pStyle w:val="2"/>
        <w:keepNext/>
        <w:keepLines/>
        <w:pageBreakBefore w:val="0"/>
        <w:widowControl w:val="0"/>
        <w:numPr>
          <w:ilvl w:val="0"/>
          <w:numId w:val="0"/>
        </w:numPr>
        <w:kinsoku/>
        <w:wordWrap/>
        <w:overflowPunct/>
        <w:topLinePunct w:val="0"/>
        <w:autoSpaceDE/>
        <w:autoSpaceDN/>
        <w:bidi w:val="0"/>
        <w:adjustRightInd/>
        <w:snapToGrid/>
        <w:spacing w:before="220" w:after="220" w:line="480" w:lineRule="auto"/>
        <w:ind w:left="420" w:leftChars="0" w:hanging="420" w:firstLineChars="0"/>
        <w:textAlignment w:val="auto"/>
        <w:rPr>
          <w:rFonts w:hint="default" w:ascii="宋体" w:hAnsi="宋体" w:eastAsia="宋体" w:cs="宋体"/>
          <w:b/>
          <w:bCs/>
          <w:color w:val="auto"/>
          <w:kern w:val="44"/>
          <w:sz w:val="36"/>
          <w:szCs w:val="36"/>
          <w:highlight w:val="none"/>
          <w:lang w:val="en-US" w:eastAsia="zh-CN" w:bidi="ar-SA"/>
        </w:rPr>
      </w:pPr>
      <w:bookmarkStart w:id="342" w:name="_Toc155185903"/>
      <w:bookmarkStart w:id="343" w:name="_Toc28158"/>
      <w:bookmarkStart w:id="344" w:name="_Toc30175"/>
      <w:r>
        <w:rPr>
          <w:rFonts w:hint="eastAsia" w:ascii="宋体" w:hAnsi="宋体" w:eastAsia="宋体" w:cs="宋体"/>
          <w:b/>
          <w:bCs/>
          <w:color w:val="auto"/>
          <w:kern w:val="44"/>
          <w:sz w:val="36"/>
          <w:szCs w:val="36"/>
          <w:highlight w:val="none"/>
          <w:lang w:val="en-US" w:eastAsia="zh-CN" w:bidi="ar-SA"/>
        </w:rPr>
        <w:t>第五章 评标方法</w:t>
      </w:r>
      <w:bookmarkEnd w:id="342"/>
      <w:r>
        <w:rPr>
          <w:rFonts w:hint="eastAsia" w:ascii="宋体" w:hAnsi="宋体" w:eastAsia="宋体" w:cs="宋体"/>
          <w:b/>
          <w:bCs/>
          <w:color w:val="auto"/>
          <w:kern w:val="44"/>
          <w:sz w:val="36"/>
          <w:szCs w:val="36"/>
          <w:highlight w:val="none"/>
          <w:lang w:val="en-US" w:eastAsia="zh-CN" w:bidi="ar-SA"/>
        </w:rPr>
        <w:t>及标准(综合评分法)</w:t>
      </w:r>
      <w:bookmarkEnd w:id="343"/>
      <w:bookmarkEnd w:id="344"/>
    </w:p>
    <w:p w14:paraId="2BB6F8A4">
      <w:pPr>
        <w:pStyle w:val="37"/>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根据《中华人民共和国政府采购法》及其实施条例、《政府采购货物和服务招标投标管理办法》</w:t>
      </w:r>
      <w:r>
        <w:rPr>
          <w:rFonts w:hint="eastAsia" w:ascii="宋体" w:hAnsi="宋体" w:eastAsia="宋体" w:cs="宋体"/>
          <w:color w:val="auto"/>
          <w:sz w:val="24"/>
          <w:szCs w:val="24"/>
          <w:highlight w:val="none"/>
          <w:lang w:val="en-US" w:eastAsia="zh-CN"/>
        </w:rPr>
        <w:t>及</w:t>
      </w:r>
      <w:r>
        <w:rPr>
          <w:rFonts w:hint="eastAsia" w:ascii="宋体" w:hAnsi="宋体" w:eastAsia="宋体" w:cs="宋体"/>
          <w:color w:val="auto"/>
          <w:sz w:val="24"/>
          <w:szCs w:val="24"/>
          <w:highlight w:val="none"/>
        </w:rPr>
        <w:t>相关法律法规确定以下评标</w:t>
      </w:r>
      <w:r>
        <w:rPr>
          <w:rFonts w:hint="eastAsia" w:ascii="宋体" w:hAnsi="宋体" w:eastAsia="宋体" w:cs="宋体"/>
          <w:color w:val="auto"/>
          <w:sz w:val="24"/>
          <w:szCs w:val="24"/>
          <w:highlight w:val="none"/>
          <w:lang w:val="en-US" w:eastAsia="zh-CN"/>
        </w:rPr>
        <w:t>方</w:t>
      </w:r>
      <w:r>
        <w:rPr>
          <w:rFonts w:hint="eastAsia" w:ascii="宋体" w:hAnsi="宋体" w:eastAsia="宋体" w:cs="宋体"/>
          <w:color w:val="auto"/>
          <w:sz w:val="24"/>
          <w:szCs w:val="24"/>
          <w:highlight w:val="none"/>
        </w:rPr>
        <w:t>法及标准。</w:t>
      </w:r>
    </w:p>
    <w:p w14:paraId="040C2DF7">
      <w:pPr>
        <w:pStyle w:val="3"/>
        <w:keepNext/>
        <w:keepLines/>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jc w:val="both"/>
        <w:textAlignment w:val="auto"/>
        <w:rPr>
          <w:rFonts w:hint="eastAsia" w:ascii="宋体" w:hAnsi="宋体" w:eastAsia="宋体" w:cs="宋体"/>
          <w:color w:val="auto"/>
          <w:sz w:val="28"/>
          <w:szCs w:val="28"/>
          <w:highlight w:val="none"/>
          <w:lang w:val="zh-CN" w:eastAsia="zh-CN"/>
        </w:rPr>
      </w:pPr>
      <w:bookmarkStart w:id="345" w:name="_Toc4301"/>
      <w:bookmarkStart w:id="346" w:name="_Toc17592"/>
      <w:bookmarkStart w:id="347" w:name="_Toc61280402"/>
      <w:bookmarkStart w:id="348" w:name="_Toc511894518"/>
      <w:bookmarkStart w:id="349" w:name="_Toc494561962"/>
      <w:bookmarkStart w:id="350" w:name="_Toc278891606"/>
      <w:bookmarkStart w:id="351" w:name="_Toc140132826"/>
      <w:bookmarkStart w:id="352" w:name="_Toc109899903"/>
      <w:bookmarkStart w:id="353" w:name="_Toc109899484"/>
      <w:bookmarkStart w:id="354" w:name="_Toc272247709"/>
      <w:bookmarkStart w:id="355" w:name="_Toc155185905"/>
      <w:bookmarkStart w:id="356" w:name="_Toc109900322"/>
      <w:r>
        <w:rPr>
          <w:rFonts w:hint="eastAsia" w:ascii="宋体" w:hAnsi="宋体" w:eastAsia="宋体" w:cs="宋体"/>
          <w:color w:val="auto"/>
          <w:sz w:val="28"/>
          <w:szCs w:val="28"/>
          <w:highlight w:val="none"/>
          <w:lang w:val="zh-CN" w:eastAsia="zh-CN"/>
        </w:rPr>
        <w:t>一、评标</w:t>
      </w:r>
      <w:r>
        <w:rPr>
          <w:rFonts w:hint="eastAsia" w:ascii="宋体" w:hAnsi="宋体" w:eastAsia="宋体" w:cs="宋体"/>
          <w:color w:val="auto"/>
          <w:sz w:val="28"/>
          <w:szCs w:val="28"/>
          <w:highlight w:val="none"/>
          <w:lang w:val="en-US" w:eastAsia="zh-CN"/>
        </w:rPr>
        <w:t>方</w:t>
      </w:r>
      <w:r>
        <w:rPr>
          <w:rFonts w:hint="eastAsia" w:ascii="宋体" w:hAnsi="宋体" w:eastAsia="宋体" w:cs="宋体"/>
          <w:color w:val="auto"/>
          <w:sz w:val="28"/>
          <w:szCs w:val="28"/>
          <w:highlight w:val="none"/>
          <w:lang w:val="zh-CN" w:eastAsia="zh-CN"/>
        </w:rPr>
        <w:t>法</w:t>
      </w:r>
      <w:bookmarkEnd w:id="345"/>
      <w:bookmarkEnd w:id="346"/>
    </w:p>
    <w:p w14:paraId="40F9AE81">
      <w:pPr>
        <w:pStyle w:val="37"/>
        <w:keepNext w:val="0"/>
        <w:keepLines w:val="0"/>
        <w:pageBreakBefore w:val="0"/>
        <w:widowControl w:val="0"/>
        <w:kinsoku/>
        <w:wordWrap w:val="0"/>
        <w:overflowPunct/>
        <w:topLinePunct w:val="0"/>
        <w:autoSpaceDE/>
        <w:autoSpaceDN/>
        <w:bidi w:val="0"/>
        <w:adjustRightInd/>
        <w:snapToGrid/>
        <w:ind w:firstLine="482"/>
        <w:jc w:val="both"/>
        <w:textAlignment w:val="auto"/>
        <w:rPr>
          <w:color w:val="auto"/>
          <w:highlight w:val="none"/>
        </w:rPr>
      </w:pPr>
      <w:r>
        <w:rPr>
          <w:rFonts w:hint="eastAsia"/>
          <w:color w:val="auto"/>
          <w:highlight w:val="none"/>
        </w:rPr>
        <w:t>1.</w:t>
      </w:r>
      <w:r>
        <w:rPr>
          <w:rFonts w:hint="eastAsia"/>
          <w:b/>
          <w:bCs/>
          <w:color w:val="auto"/>
          <w:highlight w:val="none"/>
        </w:rPr>
        <w:t>本项目采用综合评分法</w:t>
      </w:r>
      <w:r>
        <w:rPr>
          <w:rFonts w:hint="eastAsia"/>
          <w:color w:val="auto"/>
          <w:highlight w:val="none"/>
        </w:rPr>
        <w:t>。综合评分法，是指投标文件满足招标文件全部实质性要求，且按照评审因素的量化指标评审得分最高的投标人为中标候选人的评标方法。</w:t>
      </w:r>
    </w:p>
    <w:p w14:paraId="5EC2DCA1">
      <w:pPr>
        <w:pStyle w:val="3"/>
        <w:keepNext/>
        <w:keepLines/>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jc w:val="both"/>
        <w:textAlignment w:val="auto"/>
        <w:rPr>
          <w:rFonts w:hint="eastAsia" w:ascii="宋体" w:hAnsi="宋体" w:eastAsia="宋体" w:cs="宋体"/>
          <w:color w:val="auto"/>
          <w:sz w:val="28"/>
          <w:szCs w:val="28"/>
          <w:highlight w:val="none"/>
          <w:lang w:val="zh-CN" w:eastAsia="zh-CN"/>
        </w:rPr>
      </w:pPr>
      <w:bookmarkStart w:id="357" w:name="_Toc2887"/>
      <w:bookmarkStart w:id="358" w:name="_Toc27095"/>
      <w:r>
        <w:rPr>
          <w:rFonts w:hint="eastAsia" w:ascii="宋体" w:hAnsi="宋体" w:eastAsia="宋体" w:cs="宋体"/>
          <w:color w:val="auto"/>
          <w:sz w:val="28"/>
          <w:szCs w:val="28"/>
          <w:highlight w:val="none"/>
          <w:lang w:val="en-US" w:eastAsia="zh-CN"/>
        </w:rPr>
        <w:t>二</w:t>
      </w:r>
      <w:r>
        <w:rPr>
          <w:rFonts w:hint="eastAsia" w:ascii="宋体" w:hAnsi="宋体" w:eastAsia="宋体" w:cs="宋体"/>
          <w:color w:val="auto"/>
          <w:sz w:val="28"/>
          <w:szCs w:val="28"/>
          <w:highlight w:val="none"/>
          <w:lang w:val="zh-CN" w:eastAsia="zh-CN"/>
        </w:rPr>
        <w:t>、评标程序</w:t>
      </w:r>
      <w:bookmarkEnd w:id="357"/>
      <w:bookmarkEnd w:id="358"/>
    </w:p>
    <w:p w14:paraId="2CEA851A">
      <w:pPr>
        <w:pStyle w:val="4"/>
        <w:keepNext/>
        <w:keepLines/>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jc w:val="both"/>
        <w:textAlignment w:val="auto"/>
        <w:rPr>
          <w:rFonts w:hint="eastAsia" w:ascii="宋体" w:hAnsi="宋体" w:eastAsia="宋体" w:cs="宋体"/>
          <w:b/>
          <w:bCs/>
          <w:color w:val="auto"/>
          <w:kern w:val="2"/>
          <w:sz w:val="24"/>
          <w:szCs w:val="24"/>
          <w:highlight w:val="none"/>
          <w:lang w:val="zh-CN" w:eastAsia="zh-CN" w:bidi="ar-SA"/>
        </w:rPr>
      </w:pPr>
      <w:bookmarkStart w:id="359" w:name="_Toc19642"/>
      <w:r>
        <w:rPr>
          <w:rFonts w:hint="eastAsia" w:ascii="宋体" w:hAnsi="宋体" w:eastAsia="宋体" w:cs="宋体"/>
          <w:b/>
          <w:bCs/>
          <w:color w:val="auto"/>
          <w:kern w:val="2"/>
          <w:sz w:val="24"/>
          <w:szCs w:val="24"/>
          <w:highlight w:val="none"/>
          <w:lang w:val="zh-CN" w:eastAsia="zh-CN" w:bidi="ar-SA"/>
        </w:rPr>
        <w:t>（一）符合性审查</w:t>
      </w:r>
      <w:bookmarkEnd w:id="359"/>
    </w:p>
    <w:p w14:paraId="4E726315">
      <w:pPr>
        <w:pStyle w:val="37"/>
        <w:jc w:val="both"/>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评标委员会应当对</w:t>
      </w:r>
      <w:r>
        <w:rPr>
          <w:rFonts w:hint="eastAsia" w:ascii="宋体" w:hAnsi="宋体" w:eastAsia="宋体" w:cs="宋体"/>
          <w:color w:val="auto"/>
          <w:sz w:val="24"/>
          <w:szCs w:val="24"/>
          <w:highlight w:val="none"/>
          <w:lang w:val="en-US" w:eastAsia="zh-CN"/>
        </w:rPr>
        <w:t>通过</w:t>
      </w:r>
      <w:r>
        <w:rPr>
          <w:rFonts w:hint="eastAsia" w:ascii="宋体" w:hAnsi="宋体" w:eastAsia="宋体" w:cs="宋体"/>
          <w:color w:val="auto"/>
          <w:sz w:val="24"/>
          <w:szCs w:val="24"/>
          <w:highlight w:val="none"/>
        </w:rPr>
        <w:t>资格</w:t>
      </w:r>
      <w:r>
        <w:rPr>
          <w:rFonts w:hint="eastAsia" w:ascii="宋体" w:hAnsi="宋体" w:eastAsia="宋体" w:cs="宋体"/>
          <w:color w:val="auto"/>
          <w:sz w:val="24"/>
          <w:szCs w:val="24"/>
          <w:highlight w:val="none"/>
          <w:lang w:val="en-US" w:eastAsia="zh-CN"/>
        </w:rPr>
        <w:t>审查</w:t>
      </w:r>
      <w:r>
        <w:rPr>
          <w:rFonts w:hint="eastAsia" w:ascii="宋体" w:hAnsi="宋体" w:eastAsia="宋体" w:cs="宋体"/>
          <w:color w:val="auto"/>
          <w:sz w:val="24"/>
          <w:szCs w:val="24"/>
          <w:highlight w:val="none"/>
        </w:rPr>
        <w:t>的投标人的投标文件进行符合性审查，以确定其是否满足招标文件的实质性要求。投标人必须通过符合性审查的全部评审指标</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不满足招标文件的实质性要求的，</w:t>
      </w:r>
      <w:r>
        <w:rPr>
          <w:rFonts w:hint="eastAsia" w:ascii="宋体" w:hAnsi="宋体" w:eastAsia="宋体" w:cs="宋体"/>
          <w:color w:val="auto"/>
          <w:sz w:val="24"/>
          <w:szCs w:val="24"/>
          <w:highlight w:val="none"/>
          <w:lang w:val="en-US" w:eastAsia="zh-CN"/>
        </w:rPr>
        <w:t>其</w:t>
      </w:r>
      <w:r>
        <w:rPr>
          <w:rFonts w:hint="eastAsia" w:ascii="宋体" w:hAnsi="宋体" w:eastAsia="宋体" w:cs="宋体"/>
          <w:b/>
          <w:bCs/>
          <w:color w:val="auto"/>
          <w:sz w:val="24"/>
          <w:szCs w:val="24"/>
          <w:highlight w:val="none"/>
        </w:rPr>
        <w:t>投标无效</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具体内容详</w:t>
      </w:r>
      <w:r>
        <w:rPr>
          <w:rFonts w:hint="eastAsia" w:ascii="宋体" w:hAnsi="宋体" w:eastAsia="宋体" w:cs="宋体"/>
          <w:color w:val="auto"/>
          <w:sz w:val="24"/>
          <w:szCs w:val="24"/>
          <w:highlight w:val="none"/>
          <w:lang w:val="zh-CN"/>
        </w:rPr>
        <w:t>本章“</w:t>
      </w:r>
      <w:r>
        <w:rPr>
          <w:rFonts w:hint="eastAsia" w:ascii="宋体" w:hAnsi="宋体" w:eastAsia="宋体" w:cs="宋体"/>
          <w:color w:val="auto"/>
          <w:sz w:val="24"/>
          <w:szCs w:val="24"/>
          <w:highlight w:val="none"/>
          <w:lang w:val="en-US" w:eastAsia="zh-CN"/>
        </w:rPr>
        <w:t>四</w:t>
      </w:r>
      <w:r>
        <w:rPr>
          <w:rFonts w:hint="eastAsia" w:ascii="宋体" w:hAnsi="宋体" w:eastAsia="宋体" w:cs="宋体"/>
          <w:color w:val="auto"/>
          <w:sz w:val="24"/>
          <w:szCs w:val="24"/>
          <w:highlight w:val="none"/>
          <w:lang w:val="zh-CN"/>
        </w:rPr>
        <w:t>、评标标准”中</w:t>
      </w:r>
      <w:r>
        <w:rPr>
          <w:rFonts w:hint="eastAsia" w:ascii="宋体" w:hAnsi="宋体" w:eastAsia="宋体" w:cs="宋体"/>
          <w:color w:val="auto"/>
          <w:sz w:val="24"/>
          <w:szCs w:val="24"/>
          <w:highlight w:val="none"/>
          <w:lang w:val="en-US" w:eastAsia="zh-CN"/>
        </w:rPr>
        <w:t>的</w:t>
      </w:r>
      <w:r>
        <w:rPr>
          <w:rFonts w:hint="eastAsia" w:ascii="宋体" w:hAnsi="宋体" w:eastAsia="宋体" w:cs="宋体"/>
          <w:color w:val="auto"/>
          <w:sz w:val="24"/>
          <w:szCs w:val="24"/>
          <w:highlight w:val="none"/>
          <w:lang w:val="zh-CN"/>
        </w:rPr>
        <w:t>“（一）符合性审查”。</w:t>
      </w:r>
    </w:p>
    <w:p w14:paraId="6117DC47">
      <w:pPr>
        <w:pStyle w:val="37"/>
        <w:jc w:val="both"/>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en-US" w:eastAsia="zh-CN"/>
        </w:rPr>
        <w:t>通过</w:t>
      </w:r>
      <w:r>
        <w:rPr>
          <w:rFonts w:hint="eastAsia" w:ascii="宋体" w:hAnsi="宋体" w:eastAsia="宋体" w:cs="宋体"/>
          <w:color w:val="auto"/>
          <w:sz w:val="24"/>
          <w:szCs w:val="24"/>
          <w:highlight w:val="none"/>
        </w:rPr>
        <w:t>符合性审查</w:t>
      </w:r>
      <w:r>
        <w:rPr>
          <w:rFonts w:hint="eastAsia" w:ascii="宋体" w:hAnsi="宋体" w:eastAsia="宋体" w:cs="宋体"/>
          <w:color w:val="auto"/>
          <w:sz w:val="24"/>
          <w:szCs w:val="24"/>
          <w:highlight w:val="none"/>
          <w:lang w:val="en-US" w:eastAsia="zh-CN"/>
        </w:rPr>
        <w:t>的</w:t>
      </w:r>
      <w:r>
        <w:rPr>
          <w:rFonts w:hint="eastAsia" w:ascii="宋体" w:hAnsi="宋体" w:eastAsia="宋体" w:cs="宋体"/>
          <w:color w:val="auto"/>
          <w:sz w:val="24"/>
          <w:szCs w:val="24"/>
          <w:highlight w:val="none"/>
        </w:rPr>
        <w:t>有效</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不足3家的应当终止采购活动，发布项目终止公告并说明原因，重新开展采购活动。</w:t>
      </w:r>
    </w:p>
    <w:p w14:paraId="34580356">
      <w:pPr>
        <w:pStyle w:val="4"/>
        <w:keepNext/>
        <w:keepLines/>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jc w:val="both"/>
        <w:textAlignment w:val="auto"/>
        <w:rPr>
          <w:rFonts w:hint="eastAsia" w:ascii="宋体" w:hAnsi="宋体" w:eastAsia="宋体" w:cs="宋体"/>
          <w:b/>
          <w:bCs/>
          <w:color w:val="auto"/>
          <w:kern w:val="2"/>
          <w:sz w:val="24"/>
          <w:szCs w:val="24"/>
          <w:highlight w:val="none"/>
          <w:lang w:val="zh-CN" w:eastAsia="zh-CN" w:bidi="ar-SA"/>
        </w:rPr>
      </w:pPr>
      <w:bookmarkStart w:id="360" w:name="_Toc102116178"/>
      <w:bookmarkStart w:id="361" w:name="_Toc102057744"/>
      <w:bookmarkStart w:id="362" w:name="_Toc102056244"/>
      <w:bookmarkStart w:id="363" w:name="_Toc155185907"/>
      <w:bookmarkStart w:id="364" w:name="_Toc102116048"/>
      <w:bookmarkStart w:id="365" w:name="_Toc102114946"/>
      <w:bookmarkStart w:id="366" w:name="_Toc102119879"/>
      <w:bookmarkStart w:id="367" w:name="_Toc32172"/>
      <w:bookmarkStart w:id="368" w:name="_Toc163492903"/>
      <w:r>
        <w:rPr>
          <w:rFonts w:hint="eastAsia" w:ascii="宋体" w:hAnsi="宋体" w:eastAsia="宋体" w:cs="宋体"/>
          <w:b/>
          <w:bCs/>
          <w:color w:val="auto"/>
          <w:kern w:val="2"/>
          <w:sz w:val="24"/>
          <w:szCs w:val="24"/>
          <w:highlight w:val="none"/>
          <w:lang w:val="zh-CN" w:eastAsia="zh-CN" w:bidi="ar-SA"/>
        </w:rPr>
        <w:t>（</w:t>
      </w:r>
      <w:r>
        <w:rPr>
          <w:rFonts w:hint="eastAsia" w:ascii="宋体" w:hAnsi="宋体" w:eastAsia="宋体" w:cs="宋体"/>
          <w:b/>
          <w:bCs/>
          <w:color w:val="auto"/>
          <w:kern w:val="2"/>
          <w:sz w:val="24"/>
          <w:szCs w:val="24"/>
          <w:highlight w:val="none"/>
          <w:lang w:val="en-US" w:eastAsia="zh-CN" w:bidi="ar-SA"/>
        </w:rPr>
        <w:t>二</w:t>
      </w:r>
      <w:r>
        <w:rPr>
          <w:rFonts w:hint="eastAsia" w:ascii="宋体" w:hAnsi="宋体" w:eastAsia="宋体" w:cs="宋体"/>
          <w:b/>
          <w:bCs/>
          <w:color w:val="auto"/>
          <w:kern w:val="2"/>
          <w:sz w:val="24"/>
          <w:szCs w:val="24"/>
          <w:highlight w:val="none"/>
          <w:lang w:val="zh-CN" w:eastAsia="zh-CN" w:bidi="ar-SA"/>
        </w:rPr>
        <w:t>）投标文件澄清</w:t>
      </w:r>
      <w:bookmarkEnd w:id="360"/>
      <w:bookmarkEnd w:id="361"/>
      <w:bookmarkEnd w:id="362"/>
      <w:bookmarkEnd w:id="363"/>
      <w:bookmarkEnd w:id="364"/>
      <w:bookmarkEnd w:id="365"/>
      <w:bookmarkEnd w:id="366"/>
      <w:r>
        <w:rPr>
          <w:rFonts w:hint="eastAsia" w:ascii="宋体" w:hAnsi="宋体" w:eastAsia="宋体" w:cs="宋体"/>
          <w:b/>
          <w:bCs/>
          <w:color w:val="auto"/>
          <w:kern w:val="2"/>
          <w:sz w:val="24"/>
          <w:szCs w:val="24"/>
          <w:highlight w:val="none"/>
          <w:lang w:val="zh-CN" w:eastAsia="zh-CN" w:bidi="ar-SA"/>
        </w:rPr>
        <w:t>及修正</w:t>
      </w:r>
      <w:bookmarkEnd w:id="367"/>
      <w:bookmarkEnd w:id="368"/>
    </w:p>
    <w:p w14:paraId="0EC9197C">
      <w:pPr>
        <w:pStyle w:val="37"/>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评标期间，对于投标文件中含义不明确、同类问题表述不一致或者有明显文字和计算错误的内容需要投标人作出必要的澄清、说明或者补正的，评标委员会应当在政采云平台评标系统中以书面形式要求投标人作出必要的澄清、说明或者补正。</w:t>
      </w:r>
    </w:p>
    <w:p w14:paraId="079329DA">
      <w:pPr>
        <w:pStyle w:val="37"/>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4.投标人应按照评标委员会要求在规定时间内作出澄清、说明或者补正，澄清、说明或者补正不得超出投标文件的范围或者改变投标文件的实质性内容。</w:t>
      </w:r>
    </w:p>
    <w:p w14:paraId="591A6455">
      <w:pPr>
        <w:pStyle w:val="37"/>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5.投标人的澄清、说明或者补正是其投标文件的有效组成部分，澄清、说明或者补正应当在政采云平台评标系统中加盖电子印章后提交。</w:t>
      </w:r>
    </w:p>
    <w:p w14:paraId="3B466024">
      <w:pPr>
        <w:pStyle w:val="37"/>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报价合理性说明：评标委员会认为投标人的报价明显低于其他通过符合性审查投标人的报价，有可能影响服务质量或者不能诚信履约的，应当要求该投标人在合理的时间内提供说明，必要时提交相关证明材料；若投标人不能证明其报价合理性的，评标委员会应当将其作</w:t>
      </w:r>
      <w:r>
        <w:rPr>
          <w:rFonts w:hint="eastAsia" w:ascii="宋体" w:hAnsi="宋体" w:eastAsia="宋体" w:cs="宋体"/>
          <w:b/>
          <w:bCs/>
          <w:color w:val="auto"/>
          <w:sz w:val="24"/>
          <w:szCs w:val="24"/>
          <w:highlight w:val="none"/>
          <w:lang w:val="en-US" w:eastAsia="zh-CN"/>
        </w:rPr>
        <w:t>无效投标</w:t>
      </w:r>
      <w:r>
        <w:rPr>
          <w:rFonts w:hint="eastAsia" w:ascii="宋体" w:hAnsi="宋体" w:eastAsia="宋体" w:cs="宋体"/>
          <w:color w:val="auto"/>
          <w:sz w:val="24"/>
          <w:szCs w:val="24"/>
          <w:highlight w:val="none"/>
          <w:lang w:val="en-US" w:eastAsia="zh-CN"/>
        </w:rPr>
        <w:t>处理。</w:t>
      </w:r>
    </w:p>
    <w:p w14:paraId="4FD6345C">
      <w:pPr>
        <w:pStyle w:val="37"/>
        <w:jc w:val="both"/>
        <w:rPr>
          <w:rFonts w:hint="eastAsia"/>
          <w:color w:val="auto"/>
          <w:highlight w:val="none"/>
          <w:lang w:val="en-US" w:eastAsia="zh-CN"/>
        </w:rPr>
      </w:pPr>
      <w:r>
        <w:rPr>
          <w:rFonts w:hint="eastAsia" w:ascii="宋体" w:hAnsi="宋体" w:eastAsia="宋体" w:cs="宋体"/>
          <w:color w:val="auto"/>
          <w:sz w:val="24"/>
          <w:szCs w:val="24"/>
          <w:highlight w:val="none"/>
          <w:lang w:val="en-US" w:eastAsia="zh-CN"/>
        </w:rPr>
        <w:t>7.投标报价须包含招标文件全部内容，如分项报价表有缺漏视为已含在其他各项报价中，将不对投标总价进行调整。评标委员会有权要求投标人在评标现场合理的时间内对此进行书面确认，投标人不确认的，视为</w:t>
      </w:r>
      <w:r>
        <w:rPr>
          <w:rFonts w:hint="eastAsia"/>
          <w:color w:val="auto"/>
          <w:highlight w:val="none"/>
          <w:lang w:val="en-US" w:eastAsia="zh-CN"/>
        </w:rPr>
        <w:t>将一个采购包中的内容拆分投标，其</w:t>
      </w:r>
      <w:r>
        <w:rPr>
          <w:rFonts w:hint="eastAsia"/>
          <w:b/>
          <w:bCs/>
          <w:color w:val="auto"/>
          <w:highlight w:val="none"/>
          <w:lang w:val="en-US" w:eastAsia="zh-CN"/>
        </w:rPr>
        <w:t>投标无效</w:t>
      </w:r>
      <w:r>
        <w:rPr>
          <w:rFonts w:hint="eastAsia"/>
          <w:color w:val="auto"/>
          <w:highlight w:val="none"/>
          <w:lang w:val="en-US" w:eastAsia="zh-CN"/>
        </w:rPr>
        <w:t>。</w:t>
      </w:r>
    </w:p>
    <w:p w14:paraId="015D7E7F">
      <w:pPr>
        <w:pStyle w:val="37"/>
        <w:keepNext w:val="0"/>
        <w:keepLines w:val="0"/>
        <w:pageBreakBefore w:val="0"/>
        <w:widowControl w:val="0"/>
        <w:kinsoku/>
        <w:wordWrap w:val="0"/>
        <w:overflowPunct/>
        <w:topLinePunct w:val="0"/>
        <w:autoSpaceDE/>
        <w:autoSpaceDN/>
        <w:bidi w:val="0"/>
        <w:adjustRightInd/>
        <w:snapToGrid/>
        <w:ind w:left="0" w:leftChars="0" w:firstLine="480" w:firstLineChars="200"/>
        <w:jc w:val="both"/>
        <w:textAlignment w:val="auto"/>
        <w:rPr>
          <w:rFonts w:hint="eastAsia"/>
          <w:color w:val="auto"/>
          <w:highlight w:val="none"/>
          <w:lang w:val="en-US" w:eastAsia="zh-CN"/>
        </w:rPr>
      </w:pPr>
      <w:r>
        <w:rPr>
          <w:rFonts w:hint="eastAsia"/>
          <w:color w:val="auto"/>
          <w:highlight w:val="none"/>
          <w:lang w:val="en-US" w:eastAsia="zh-CN"/>
        </w:rPr>
        <w:t>8.投标文件报价出现前后不一致的，除招标文件另有规定外，按照下列规定修正：</w:t>
      </w:r>
    </w:p>
    <w:p w14:paraId="4D967018">
      <w:pPr>
        <w:pStyle w:val="37"/>
        <w:keepNext w:val="0"/>
        <w:keepLines w:val="0"/>
        <w:pageBreakBefore w:val="0"/>
        <w:widowControl w:val="0"/>
        <w:kinsoku/>
        <w:wordWrap w:val="0"/>
        <w:overflowPunct/>
        <w:topLinePunct w:val="0"/>
        <w:autoSpaceDE/>
        <w:autoSpaceDN/>
        <w:bidi w:val="0"/>
        <w:adjustRightInd/>
        <w:snapToGrid/>
        <w:ind w:left="0" w:leftChars="0" w:firstLine="480" w:firstLineChars="200"/>
        <w:jc w:val="both"/>
        <w:textAlignment w:val="auto"/>
        <w:rPr>
          <w:rFonts w:hint="eastAsia"/>
          <w:color w:val="auto"/>
          <w:highlight w:val="none"/>
          <w:lang w:val="en-US" w:eastAsia="zh-CN"/>
        </w:rPr>
      </w:pPr>
      <w:r>
        <w:rPr>
          <w:rFonts w:hint="eastAsia"/>
          <w:color w:val="auto"/>
          <w:highlight w:val="none"/>
          <w:lang w:val="en-US" w:eastAsia="zh-CN"/>
        </w:rPr>
        <w:t>8.1投标文件中开标一览表（报价表）内容与投标文件中相应内容不一致的，以开标一览表（报价表）为准；</w:t>
      </w:r>
    </w:p>
    <w:p w14:paraId="657B9F51">
      <w:pPr>
        <w:pStyle w:val="37"/>
        <w:keepNext w:val="0"/>
        <w:keepLines w:val="0"/>
        <w:pageBreakBefore w:val="0"/>
        <w:widowControl w:val="0"/>
        <w:kinsoku/>
        <w:wordWrap w:val="0"/>
        <w:overflowPunct/>
        <w:topLinePunct w:val="0"/>
        <w:autoSpaceDE/>
        <w:autoSpaceDN/>
        <w:bidi w:val="0"/>
        <w:adjustRightInd/>
        <w:snapToGrid/>
        <w:ind w:left="0" w:leftChars="0" w:firstLine="480" w:firstLineChars="200"/>
        <w:jc w:val="both"/>
        <w:textAlignment w:val="auto"/>
        <w:rPr>
          <w:rFonts w:hint="eastAsia"/>
          <w:color w:val="auto"/>
          <w:highlight w:val="none"/>
          <w:lang w:val="en-US" w:eastAsia="zh-CN"/>
        </w:rPr>
      </w:pPr>
      <w:r>
        <w:rPr>
          <w:rFonts w:hint="eastAsia"/>
          <w:color w:val="auto"/>
          <w:highlight w:val="none"/>
          <w:lang w:val="en-US" w:eastAsia="zh-CN"/>
        </w:rPr>
        <w:t>8.2大写金额和小写金额不一致的，以大写金额为准；</w:t>
      </w:r>
    </w:p>
    <w:p w14:paraId="628E9D79">
      <w:pPr>
        <w:pStyle w:val="37"/>
        <w:keepNext w:val="0"/>
        <w:keepLines w:val="0"/>
        <w:pageBreakBefore w:val="0"/>
        <w:widowControl w:val="0"/>
        <w:kinsoku/>
        <w:wordWrap w:val="0"/>
        <w:overflowPunct/>
        <w:topLinePunct w:val="0"/>
        <w:autoSpaceDE/>
        <w:autoSpaceDN/>
        <w:bidi w:val="0"/>
        <w:adjustRightInd/>
        <w:snapToGrid/>
        <w:ind w:left="0" w:leftChars="0" w:firstLine="480" w:firstLineChars="200"/>
        <w:jc w:val="both"/>
        <w:textAlignment w:val="auto"/>
        <w:rPr>
          <w:rFonts w:hint="eastAsia"/>
          <w:color w:val="auto"/>
          <w:highlight w:val="none"/>
          <w:lang w:val="en-US" w:eastAsia="zh-CN"/>
        </w:rPr>
      </w:pPr>
      <w:r>
        <w:rPr>
          <w:rFonts w:hint="eastAsia"/>
          <w:color w:val="auto"/>
          <w:highlight w:val="none"/>
          <w:lang w:val="en-US" w:eastAsia="zh-CN"/>
        </w:rPr>
        <w:t>8.3单价金额小数点或者百分比有明显错位的，以开标一览表的总价为准，并修改单价；</w:t>
      </w:r>
    </w:p>
    <w:p w14:paraId="3D45997F">
      <w:pPr>
        <w:pStyle w:val="37"/>
        <w:keepNext w:val="0"/>
        <w:keepLines w:val="0"/>
        <w:pageBreakBefore w:val="0"/>
        <w:widowControl w:val="0"/>
        <w:kinsoku/>
        <w:wordWrap w:val="0"/>
        <w:overflowPunct/>
        <w:topLinePunct w:val="0"/>
        <w:autoSpaceDE/>
        <w:autoSpaceDN/>
        <w:bidi w:val="0"/>
        <w:adjustRightInd/>
        <w:snapToGrid/>
        <w:ind w:left="0" w:leftChars="0" w:firstLine="480" w:firstLineChars="200"/>
        <w:jc w:val="both"/>
        <w:textAlignment w:val="auto"/>
        <w:rPr>
          <w:rFonts w:hint="eastAsia"/>
          <w:color w:val="auto"/>
          <w:highlight w:val="none"/>
          <w:lang w:val="en-US" w:eastAsia="zh-CN"/>
        </w:rPr>
      </w:pPr>
      <w:r>
        <w:rPr>
          <w:rFonts w:hint="eastAsia"/>
          <w:color w:val="auto"/>
          <w:highlight w:val="none"/>
          <w:lang w:val="en-US" w:eastAsia="zh-CN"/>
        </w:rPr>
        <w:t>8.4总价金额与按单价汇总金额不一致的，以单价金额计算结果为准。</w:t>
      </w:r>
    </w:p>
    <w:p w14:paraId="4E5FFFFF">
      <w:pPr>
        <w:pStyle w:val="37"/>
        <w:keepNext w:val="0"/>
        <w:keepLines w:val="0"/>
        <w:pageBreakBefore w:val="0"/>
        <w:widowControl w:val="0"/>
        <w:kinsoku/>
        <w:wordWrap w:val="0"/>
        <w:overflowPunct/>
        <w:topLinePunct w:val="0"/>
        <w:autoSpaceDE/>
        <w:autoSpaceDN/>
        <w:bidi w:val="0"/>
        <w:adjustRightInd/>
        <w:snapToGrid/>
        <w:ind w:left="0" w:leftChars="0" w:firstLine="480" w:firstLineChars="200"/>
        <w:jc w:val="both"/>
        <w:textAlignment w:val="auto"/>
        <w:rPr>
          <w:rFonts w:hint="eastAsia"/>
          <w:color w:val="auto"/>
          <w:highlight w:val="none"/>
          <w:lang w:val="en-US" w:eastAsia="zh-CN"/>
        </w:rPr>
      </w:pPr>
      <w:r>
        <w:rPr>
          <w:rFonts w:hint="eastAsia"/>
          <w:color w:val="auto"/>
          <w:highlight w:val="none"/>
          <w:lang w:val="en-US" w:eastAsia="zh-CN"/>
        </w:rPr>
        <w:t>同时出现两种以上不一致的，按照8.1—8.4的顺序修正。修正后的报价采用书面形式，并加盖公章，或者由法定代表人或其授权的代表签字，经投标人确认后产生约束力，投标人不确认的，其</w:t>
      </w:r>
      <w:r>
        <w:rPr>
          <w:rFonts w:hint="eastAsia"/>
          <w:b/>
          <w:bCs/>
          <w:color w:val="auto"/>
          <w:highlight w:val="none"/>
          <w:lang w:val="en-US" w:eastAsia="zh-CN"/>
        </w:rPr>
        <w:t>投标无效</w:t>
      </w:r>
      <w:r>
        <w:rPr>
          <w:rFonts w:hint="eastAsia"/>
          <w:color w:val="auto"/>
          <w:highlight w:val="none"/>
          <w:lang w:val="en-US" w:eastAsia="zh-CN"/>
        </w:rPr>
        <w:t>。</w:t>
      </w:r>
    </w:p>
    <w:p w14:paraId="33748C4F">
      <w:pPr>
        <w:pStyle w:val="4"/>
        <w:keepNext/>
        <w:keepLines/>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jc w:val="both"/>
        <w:textAlignment w:val="auto"/>
        <w:rPr>
          <w:rFonts w:hint="eastAsia" w:ascii="宋体" w:hAnsi="宋体" w:eastAsia="宋体" w:cs="宋体"/>
          <w:b/>
          <w:bCs/>
          <w:color w:val="auto"/>
          <w:kern w:val="2"/>
          <w:sz w:val="24"/>
          <w:szCs w:val="24"/>
          <w:highlight w:val="none"/>
          <w:lang w:val="zh-CN" w:eastAsia="zh-CN" w:bidi="ar-SA"/>
        </w:rPr>
      </w:pPr>
      <w:bookmarkStart w:id="369" w:name="_Toc13089"/>
      <w:r>
        <w:rPr>
          <w:rFonts w:hint="eastAsia" w:ascii="宋体" w:hAnsi="宋体" w:eastAsia="宋体" w:cs="宋体"/>
          <w:b/>
          <w:bCs/>
          <w:color w:val="auto"/>
          <w:kern w:val="2"/>
          <w:sz w:val="24"/>
          <w:szCs w:val="24"/>
          <w:highlight w:val="none"/>
          <w:lang w:val="zh-CN" w:eastAsia="zh-CN" w:bidi="ar-SA"/>
        </w:rPr>
        <w:t>（</w:t>
      </w:r>
      <w:r>
        <w:rPr>
          <w:rFonts w:hint="eastAsia" w:ascii="宋体" w:hAnsi="宋体" w:eastAsia="宋体" w:cs="宋体"/>
          <w:b/>
          <w:bCs/>
          <w:color w:val="auto"/>
          <w:kern w:val="2"/>
          <w:sz w:val="24"/>
          <w:szCs w:val="24"/>
          <w:highlight w:val="none"/>
          <w:lang w:val="en-US" w:eastAsia="zh-CN" w:bidi="ar-SA"/>
        </w:rPr>
        <w:t>三</w:t>
      </w:r>
      <w:r>
        <w:rPr>
          <w:rFonts w:hint="eastAsia" w:ascii="宋体" w:hAnsi="宋体" w:eastAsia="宋体" w:cs="宋体"/>
          <w:b/>
          <w:bCs/>
          <w:color w:val="auto"/>
          <w:kern w:val="2"/>
          <w:sz w:val="24"/>
          <w:szCs w:val="24"/>
          <w:highlight w:val="none"/>
          <w:lang w:val="zh-CN" w:eastAsia="zh-CN" w:bidi="ar-SA"/>
        </w:rPr>
        <w:t>）比较与评价</w:t>
      </w:r>
      <w:bookmarkEnd w:id="369"/>
    </w:p>
    <w:p w14:paraId="2BE6ECB2">
      <w:pPr>
        <w:pStyle w:val="37"/>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rPr>
        <w:t>评标委员会应当按照招标文件中规定的评标方法和标准，对符合性审查合格的投标文件进行商务和技术评</w:t>
      </w:r>
      <w:r>
        <w:rPr>
          <w:rFonts w:hint="eastAsia" w:ascii="宋体" w:hAnsi="宋体" w:eastAsia="宋体" w:cs="宋体"/>
          <w:color w:val="auto"/>
          <w:sz w:val="24"/>
          <w:szCs w:val="24"/>
          <w:highlight w:val="none"/>
          <w:lang w:val="en-US" w:eastAsia="zh-CN"/>
        </w:rPr>
        <w:t>估</w:t>
      </w:r>
      <w:r>
        <w:rPr>
          <w:rFonts w:hint="eastAsia" w:ascii="宋体" w:hAnsi="宋体" w:eastAsia="宋体" w:cs="宋体"/>
          <w:color w:val="auto"/>
          <w:sz w:val="24"/>
          <w:szCs w:val="24"/>
          <w:highlight w:val="none"/>
        </w:rPr>
        <w:t>，综合比较与评价</w:t>
      </w:r>
      <w:r>
        <w:rPr>
          <w:rFonts w:hint="eastAsia" w:ascii="宋体" w:hAnsi="宋体" w:eastAsia="宋体" w:cs="宋体"/>
          <w:color w:val="auto"/>
          <w:sz w:val="24"/>
          <w:szCs w:val="24"/>
          <w:highlight w:val="none"/>
          <w:lang w:val="en-US" w:eastAsia="zh-CN"/>
        </w:rPr>
        <w:t>；未通过符合性审查的投标文件不得进入比较与评价</w:t>
      </w:r>
      <w:r>
        <w:rPr>
          <w:rFonts w:hint="eastAsia" w:ascii="宋体" w:hAnsi="宋体" w:eastAsia="宋体" w:cs="宋体"/>
          <w:color w:val="auto"/>
          <w:sz w:val="24"/>
          <w:szCs w:val="24"/>
          <w:highlight w:val="none"/>
        </w:rPr>
        <w:t>。评审因素包括投标报价、商务技术以及落实政府采购政策。评审因素及标准见本章</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四、</w:t>
      </w:r>
      <w:r>
        <w:rPr>
          <w:rFonts w:hint="eastAsia" w:ascii="宋体" w:hAnsi="宋体" w:eastAsia="宋体" w:cs="宋体"/>
          <w:color w:val="auto"/>
          <w:sz w:val="24"/>
          <w:szCs w:val="24"/>
          <w:highlight w:val="none"/>
        </w:rPr>
        <w:t>评</w:t>
      </w:r>
      <w:r>
        <w:rPr>
          <w:rFonts w:hint="eastAsia" w:ascii="宋体" w:hAnsi="宋体" w:eastAsia="宋体" w:cs="宋体"/>
          <w:color w:val="auto"/>
          <w:sz w:val="24"/>
          <w:szCs w:val="24"/>
          <w:highlight w:val="none"/>
          <w:lang w:val="en-US" w:eastAsia="zh-CN"/>
        </w:rPr>
        <w:t>标</w:t>
      </w:r>
      <w:r>
        <w:rPr>
          <w:rFonts w:hint="eastAsia" w:ascii="宋体" w:hAnsi="宋体" w:eastAsia="宋体" w:cs="宋体"/>
          <w:color w:val="auto"/>
          <w:sz w:val="24"/>
          <w:szCs w:val="24"/>
          <w:highlight w:val="none"/>
        </w:rPr>
        <w:t>标准</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w:t>
      </w:r>
    </w:p>
    <w:p w14:paraId="384D833B">
      <w:pPr>
        <w:pStyle w:val="37"/>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.有效投标</w:t>
      </w:r>
      <w:r>
        <w:rPr>
          <w:rFonts w:hint="eastAsia" w:ascii="宋体" w:hAnsi="宋体" w:eastAsia="宋体" w:cs="宋体"/>
          <w:color w:val="auto"/>
          <w:sz w:val="24"/>
          <w:szCs w:val="24"/>
          <w:highlight w:val="none"/>
          <w:lang w:val="en-US" w:eastAsia="zh-CN"/>
        </w:rPr>
        <w:t>人</w:t>
      </w:r>
      <w:r>
        <w:rPr>
          <w:rFonts w:hint="eastAsia" w:ascii="宋体" w:hAnsi="宋体" w:eastAsia="宋体" w:cs="宋体"/>
          <w:color w:val="auto"/>
          <w:sz w:val="24"/>
          <w:szCs w:val="24"/>
          <w:highlight w:val="none"/>
        </w:rPr>
        <w:t>不足3家的应按</w:t>
      </w:r>
      <w:r>
        <w:rPr>
          <w:rFonts w:hint="eastAsia" w:ascii="宋体" w:hAnsi="宋体" w:eastAsia="宋体" w:cs="宋体"/>
          <w:b/>
          <w:bCs/>
          <w:color w:val="auto"/>
          <w:sz w:val="24"/>
          <w:szCs w:val="24"/>
          <w:highlight w:val="none"/>
        </w:rPr>
        <w:t>废标</w:t>
      </w:r>
      <w:r>
        <w:rPr>
          <w:rFonts w:hint="eastAsia" w:ascii="宋体" w:hAnsi="宋体" w:eastAsia="宋体" w:cs="宋体"/>
          <w:color w:val="auto"/>
          <w:sz w:val="24"/>
          <w:szCs w:val="24"/>
          <w:highlight w:val="none"/>
        </w:rPr>
        <w:t>处理。</w:t>
      </w:r>
    </w:p>
    <w:p w14:paraId="7C54BD9F">
      <w:pPr>
        <w:pStyle w:val="4"/>
        <w:keepNext/>
        <w:keepLines/>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jc w:val="both"/>
        <w:textAlignment w:val="auto"/>
        <w:rPr>
          <w:rFonts w:hint="eastAsia" w:ascii="宋体" w:hAnsi="宋体" w:eastAsia="宋体" w:cs="宋体"/>
          <w:b/>
          <w:bCs/>
          <w:color w:val="auto"/>
          <w:kern w:val="2"/>
          <w:sz w:val="24"/>
          <w:szCs w:val="24"/>
          <w:highlight w:val="none"/>
          <w:lang w:val="zh-CN" w:eastAsia="zh-CN" w:bidi="ar-SA"/>
        </w:rPr>
      </w:pPr>
      <w:bookmarkStart w:id="370" w:name="_Toc337"/>
      <w:r>
        <w:rPr>
          <w:rFonts w:hint="eastAsia" w:ascii="宋体" w:hAnsi="宋体" w:eastAsia="宋体" w:cs="宋体"/>
          <w:b/>
          <w:bCs/>
          <w:color w:val="auto"/>
          <w:kern w:val="2"/>
          <w:sz w:val="24"/>
          <w:szCs w:val="24"/>
          <w:highlight w:val="none"/>
          <w:lang w:val="zh-CN" w:eastAsia="zh-CN" w:bidi="ar-SA"/>
        </w:rPr>
        <w:t>（</w:t>
      </w:r>
      <w:r>
        <w:rPr>
          <w:rFonts w:hint="eastAsia" w:ascii="宋体" w:hAnsi="宋体" w:eastAsia="宋体" w:cs="宋体"/>
          <w:b/>
          <w:bCs/>
          <w:color w:val="auto"/>
          <w:kern w:val="2"/>
          <w:sz w:val="24"/>
          <w:szCs w:val="24"/>
          <w:highlight w:val="none"/>
          <w:lang w:val="en-US" w:eastAsia="zh-CN" w:bidi="ar-SA"/>
        </w:rPr>
        <w:t>四</w:t>
      </w:r>
      <w:r>
        <w:rPr>
          <w:rFonts w:hint="eastAsia" w:ascii="宋体" w:hAnsi="宋体" w:eastAsia="宋体" w:cs="宋体"/>
          <w:b/>
          <w:bCs/>
          <w:color w:val="auto"/>
          <w:kern w:val="2"/>
          <w:sz w:val="24"/>
          <w:szCs w:val="24"/>
          <w:highlight w:val="none"/>
          <w:lang w:val="zh-CN" w:eastAsia="zh-CN" w:bidi="ar-SA"/>
        </w:rPr>
        <w:t>）报价评审</w:t>
      </w:r>
      <w:bookmarkEnd w:id="370"/>
    </w:p>
    <w:p w14:paraId="21874171">
      <w:pPr>
        <w:pStyle w:val="37"/>
        <w:jc w:val="both"/>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11.</w:t>
      </w:r>
      <w:r>
        <w:rPr>
          <w:rFonts w:hint="eastAsia" w:ascii="宋体" w:hAnsi="宋体" w:eastAsia="宋体" w:cs="宋体"/>
          <w:b/>
          <w:bCs/>
          <w:color w:val="auto"/>
          <w:sz w:val="24"/>
          <w:szCs w:val="24"/>
          <w:highlight w:val="none"/>
        </w:rPr>
        <w:t>投标报价评审</w:t>
      </w:r>
    </w:p>
    <w:p w14:paraId="266BD854">
      <w:pPr>
        <w:pStyle w:val="37"/>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11.1服务项目的价格分值占总分值的比重不得低于</w:t>
      </w:r>
      <w:r>
        <w:rPr>
          <w:rFonts w:hint="default"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lang w:val="en-US" w:eastAsia="zh-CN"/>
        </w:rPr>
        <w:t>执行国家统一定价标准和采用固定价格采购的项目，其价格不列为评审因素。价格分应当采用低价优先法计算，即满足招标文件要求且投标价格最低的投标报价为评标基准价，其价格分为满分。其他投标人的价格分统一按照下列公式计算：</w:t>
      </w:r>
    </w:p>
    <w:p w14:paraId="2D86B7AD">
      <w:pPr>
        <w:pStyle w:val="37"/>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投标报价得分=(评标基准价／投标报价)×价格分值</w:t>
      </w:r>
    </w:p>
    <w:p w14:paraId="0CCB2E48">
      <w:pPr>
        <w:pStyle w:val="37"/>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评标过程中，不得去掉报价中的最高报价和最低报价。</w:t>
      </w:r>
    </w:p>
    <w:p w14:paraId="14E623B0">
      <w:pPr>
        <w:pStyle w:val="37"/>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11.2除算术修正和落实政府采购政策的价格扣除外，不对投标报价进行调整；</w:t>
      </w:r>
    </w:p>
    <w:p w14:paraId="03B9CB3F">
      <w:pPr>
        <w:pStyle w:val="37"/>
        <w:jc w:val="both"/>
        <w:rPr>
          <w:color w:val="auto"/>
          <w:highlight w:val="none"/>
        </w:rPr>
      </w:pPr>
      <w:r>
        <w:rPr>
          <w:rFonts w:hint="eastAsia" w:ascii="宋体" w:hAnsi="宋体" w:eastAsia="宋体" w:cs="宋体"/>
          <w:color w:val="auto"/>
          <w:sz w:val="24"/>
          <w:szCs w:val="24"/>
          <w:highlight w:val="none"/>
          <w:lang w:val="en-US" w:eastAsia="zh-CN"/>
        </w:rPr>
        <w:t>11.3价格分值见本章“四、评标标准”</w:t>
      </w:r>
      <w:r>
        <w:rPr>
          <w:color w:val="auto"/>
          <w:highlight w:val="none"/>
        </w:rPr>
        <w:t>。</w:t>
      </w:r>
    </w:p>
    <w:p w14:paraId="083553FD">
      <w:pPr>
        <w:pStyle w:val="37"/>
        <w:jc w:val="both"/>
        <w:rPr>
          <w:rFonts w:hint="default"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12.</w:t>
      </w:r>
      <w:r>
        <w:rPr>
          <w:rFonts w:hint="eastAsia" w:ascii="宋体" w:hAnsi="宋体" w:eastAsia="宋体" w:cs="宋体"/>
          <w:b/>
          <w:bCs/>
          <w:color w:val="auto"/>
          <w:sz w:val="24"/>
          <w:szCs w:val="24"/>
          <w:highlight w:val="none"/>
        </w:rPr>
        <w:t>政府采购异常低价审查</w:t>
      </w:r>
    </w:p>
    <w:p w14:paraId="38CC1E8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color w:val="auto"/>
          <w:sz w:val="24"/>
          <w:szCs w:val="24"/>
          <w:highlight w:val="none"/>
        </w:rPr>
      </w:pPr>
      <w:r>
        <w:rPr>
          <w:rFonts w:hint="eastAsia"/>
          <w:color w:val="auto"/>
          <w:sz w:val="24"/>
          <w:szCs w:val="24"/>
          <w:highlight w:val="none"/>
          <w:lang w:val="en-US" w:eastAsia="zh-CN"/>
        </w:rPr>
        <w:t>12.1</w:t>
      </w:r>
      <w:r>
        <w:rPr>
          <w:rFonts w:hint="eastAsia"/>
          <w:color w:val="auto"/>
          <w:sz w:val="24"/>
          <w:szCs w:val="24"/>
          <w:highlight w:val="none"/>
        </w:rPr>
        <w:t>政府采购评审中出现下列情形之一的，评审委员会应当启动异常低价投标（响应）审查程序：</w:t>
      </w:r>
    </w:p>
    <w:p w14:paraId="1FEE2E5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color w:val="auto"/>
          <w:sz w:val="24"/>
          <w:szCs w:val="24"/>
          <w:highlight w:val="none"/>
        </w:rPr>
      </w:pPr>
      <w:r>
        <w:rPr>
          <w:rFonts w:hint="eastAsia"/>
          <w:color w:val="auto"/>
          <w:sz w:val="24"/>
          <w:szCs w:val="24"/>
          <w:highlight w:val="none"/>
          <w:lang w:eastAsia="zh-CN"/>
        </w:rPr>
        <w:t>（</w:t>
      </w:r>
      <w:r>
        <w:rPr>
          <w:rFonts w:hint="eastAsia"/>
          <w:color w:val="auto"/>
          <w:sz w:val="24"/>
          <w:szCs w:val="24"/>
          <w:highlight w:val="none"/>
          <w:lang w:val="en-US" w:eastAsia="zh-CN"/>
        </w:rPr>
        <w:t>1</w:t>
      </w:r>
      <w:r>
        <w:rPr>
          <w:rFonts w:hint="eastAsia"/>
          <w:color w:val="auto"/>
          <w:sz w:val="24"/>
          <w:szCs w:val="24"/>
          <w:highlight w:val="none"/>
          <w:lang w:eastAsia="zh-CN"/>
        </w:rPr>
        <w:t>）</w:t>
      </w:r>
      <w:r>
        <w:rPr>
          <w:rFonts w:hint="eastAsia"/>
          <w:color w:val="auto"/>
          <w:sz w:val="24"/>
          <w:szCs w:val="24"/>
          <w:highlight w:val="none"/>
        </w:rPr>
        <w:t>投标（响应）报价低于全部通过符合性审查供应商投标（响应）报价平均值50%的，即投标（响应）报价&lt;全部通过符合性审查供应商投标（响应）报价平均值×50%；</w:t>
      </w:r>
    </w:p>
    <w:p w14:paraId="64C6CB3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color w:val="auto"/>
          <w:sz w:val="24"/>
          <w:szCs w:val="24"/>
          <w:highlight w:val="none"/>
        </w:rPr>
      </w:pPr>
      <w:r>
        <w:rPr>
          <w:rFonts w:hint="eastAsia"/>
          <w:color w:val="auto"/>
          <w:sz w:val="24"/>
          <w:szCs w:val="24"/>
          <w:highlight w:val="none"/>
          <w:lang w:eastAsia="zh-CN"/>
        </w:rPr>
        <w:t>（</w:t>
      </w:r>
      <w:r>
        <w:rPr>
          <w:rFonts w:hint="eastAsia"/>
          <w:color w:val="auto"/>
          <w:sz w:val="24"/>
          <w:szCs w:val="24"/>
          <w:highlight w:val="none"/>
          <w:lang w:val="en-US" w:eastAsia="zh-CN"/>
        </w:rPr>
        <w:t>2</w:t>
      </w:r>
      <w:r>
        <w:rPr>
          <w:rFonts w:hint="eastAsia"/>
          <w:color w:val="auto"/>
          <w:sz w:val="24"/>
          <w:szCs w:val="24"/>
          <w:highlight w:val="none"/>
          <w:lang w:eastAsia="zh-CN"/>
        </w:rPr>
        <w:t>）</w:t>
      </w:r>
      <w:r>
        <w:rPr>
          <w:rFonts w:hint="eastAsia"/>
          <w:color w:val="auto"/>
          <w:sz w:val="24"/>
          <w:szCs w:val="24"/>
          <w:highlight w:val="none"/>
        </w:rPr>
        <w:t>投标（响应）报价低于通过符合性审查的次低报价供应商投标（响应）报价50%的，即投标（响应）报价&lt;通过符合性审查的次低报价供应商投标（响应）报价×50%；</w:t>
      </w:r>
    </w:p>
    <w:p w14:paraId="347172C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color w:val="auto"/>
          <w:sz w:val="24"/>
          <w:szCs w:val="24"/>
          <w:highlight w:val="none"/>
        </w:rPr>
      </w:pPr>
      <w:r>
        <w:rPr>
          <w:rFonts w:hint="eastAsia"/>
          <w:color w:val="auto"/>
          <w:sz w:val="24"/>
          <w:szCs w:val="24"/>
          <w:highlight w:val="none"/>
          <w:lang w:eastAsia="zh-CN"/>
        </w:rPr>
        <w:t>（</w:t>
      </w:r>
      <w:r>
        <w:rPr>
          <w:rFonts w:hint="eastAsia"/>
          <w:color w:val="auto"/>
          <w:sz w:val="24"/>
          <w:szCs w:val="24"/>
          <w:highlight w:val="none"/>
          <w:lang w:val="en-US" w:eastAsia="zh-CN"/>
        </w:rPr>
        <w:t>3</w:t>
      </w:r>
      <w:r>
        <w:rPr>
          <w:rFonts w:hint="eastAsia"/>
          <w:color w:val="auto"/>
          <w:sz w:val="24"/>
          <w:szCs w:val="24"/>
          <w:highlight w:val="none"/>
          <w:lang w:eastAsia="zh-CN"/>
        </w:rPr>
        <w:t>）</w:t>
      </w:r>
      <w:r>
        <w:rPr>
          <w:rFonts w:hint="eastAsia"/>
          <w:color w:val="auto"/>
          <w:sz w:val="24"/>
          <w:szCs w:val="24"/>
          <w:highlight w:val="none"/>
        </w:rPr>
        <w:t>投标（响应）报价低于采购项目最高限价45%的，即投标（响应）报价&lt;采购项目最高限价×45%；</w:t>
      </w:r>
    </w:p>
    <w:p w14:paraId="66584A2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color w:val="auto"/>
          <w:sz w:val="24"/>
          <w:szCs w:val="24"/>
          <w:highlight w:val="none"/>
        </w:rPr>
      </w:pPr>
      <w:r>
        <w:rPr>
          <w:rFonts w:hint="eastAsia"/>
          <w:color w:val="auto"/>
          <w:sz w:val="24"/>
          <w:szCs w:val="24"/>
          <w:highlight w:val="none"/>
          <w:lang w:eastAsia="zh-CN"/>
        </w:rPr>
        <w:t>（</w:t>
      </w:r>
      <w:r>
        <w:rPr>
          <w:rFonts w:hint="eastAsia"/>
          <w:color w:val="auto"/>
          <w:sz w:val="24"/>
          <w:szCs w:val="24"/>
          <w:highlight w:val="none"/>
          <w:lang w:val="en-US" w:eastAsia="zh-CN"/>
        </w:rPr>
        <w:t>4</w:t>
      </w:r>
      <w:r>
        <w:rPr>
          <w:rFonts w:hint="eastAsia"/>
          <w:color w:val="auto"/>
          <w:sz w:val="24"/>
          <w:szCs w:val="24"/>
          <w:highlight w:val="none"/>
          <w:lang w:eastAsia="zh-CN"/>
        </w:rPr>
        <w:t>）</w:t>
      </w:r>
      <w:r>
        <w:rPr>
          <w:rFonts w:hint="eastAsia"/>
          <w:color w:val="auto"/>
          <w:sz w:val="24"/>
          <w:szCs w:val="24"/>
          <w:highlight w:val="none"/>
        </w:rPr>
        <w:t>评审委员会基于专业判断，认为供应商报价过低，有可能影响产品质量或者不能诚信履约的其他情形。</w:t>
      </w:r>
    </w:p>
    <w:p w14:paraId="1131AEF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color w:val="auto"/>
          <w:sz w:val="24"/>
          <w:szCs w:val="24"/>
          <w:highlight w:val="none"/>
        </w:rPr>
      </w:pPr>
      <w:r>
        <w:rPr>
          <w:rFonts w:hint="eastAsia"/>
          <w:color w:val="auto"/>
          <w:sz w:val="24"/>
          <w:szCs w:val="24"/>
          <w:highlight w:val="none"/>
          <w:lang w:val="en-US" w:eastAsia="zh-CN"/>
        </w:rPr>
        <w:t>12.2</w:t>
      </w:r>
      <w:r>
        <w:rPr>
          <w:rFonts w:hint="eastAsia"/>
          <w:color w:val="auto"/>
          <w:sz w:val="24"/>
          <w:szCs w:val="24"/>
          <w:highlight w:val="none"/>
        </w:rPr>
        <w:t>评审委员会启动异常低价投标（响应）审查后，属于前述第</w:t>
      </w:r>
      <w:r>
        <w:rPr>
          <w:rFonts w:hint="eastAsia"/>
          <w:color w:val="auto"/>
          <w:sz w:val="24"/>
          <w:szCs w:val="24"/>
          <w:highlight w:val="none"/>
          <w:lang w:eastAsia="zh-CN"/>
        </w:rPr>
        <w:t>（</w:t>
      </w:r>
      <w:r>
        <w:rPr>
          <w:rFonts w:hint="eastAsia"/>
          <w:color w:val="auto"/>
          <w:sz w:val="24"/>
          <w:szCs w:val="24"/>
          <w:highlight w:val="none"/>
          <w:lang w:val="en-US" w:eastAsia="zh-CN"/>
        </w:rPr>
        <w:t>1</w:t>
      </w:r>
      <w:r>
        <w:rPr>
          <w:rFonts w:hint="eastAsia"/>
          <w:color w:val="auto"/>
          <w:sz w:val="24"/>
          <w:szCs w:val="24"/>
          <w:highlight w:val="none"/>
          <w:lang w:eastAsia="zh-CN"/>
        </w:rPr>
        <w:t>）</w:t>
      </w:r>
      <w:r>
        <w:rPr>
          <w:rFonts w:hint="eastAsia"/>
          <w:color w:val="auto"/>
          <w:sz w:val="24"/>
          <w:szCs w:val="24"/>
          <w:highlight w:val="none"/>
        </w:rPr>
        <w:t>项至第</w:t>
      </w:r>
      <w:r>
        <w:rPr>
          <w:rFonts w:hint="eastAsia"/>
          <w:color w:val="auto"/>
          <w:sz w:val="24"/>
          <w:szCs w:val="24"/>
          <w:highlight w:val="none"/>
          <w:lang w:eastAsia="zh-CN"/>
        </w:rPr>
        <w:t>（</w:t>
      </w:r>
      <w:r>
        <w:rPr>
          <w:rFonts w:hint="eastAsia"/>
          <w:color w:val="auto"/>
          <w:sz w:val="24"/>
          <w:szCs w:val="24"/>
          <w:highlight w:val="none"/>
          <w:lang w:val="en-US" w:eastAsia="zh-CN"/>
        </w:rPr>
        <w:t>4</w:t>
      </w:r>
      <w:r>
        <w:rPr>
          <w:rFonts w:hint="eastAsia"/>
          <w:color w:val="auto"/>
          <w:sz w:val="24"/>
          <w:szCs w:val="24"/>
          <w:highlight w:val="none"/>
          <w:lang w:eastAsia="zh-CN"/>
        </w:rPr>
        <w:t>）</w:t>
      </w:r>
      <w:r>
        <w:rPr>
          <w:rFonts w:hint="eastAsia"/>
          <w:color w:val="auto"/>
          <w:sz w:val="24"/>
          <w:szCs w:val="24"/>
          <w:highlight w:val="none"/>
        </w:rPr>
        <w:t>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410E387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color w:val="auto"/>
          <w:sz w:val="24"/>
          <w:szCs w:val="24"/>
          <w:highlight w:val="none"/>
        </w:rPr>
      </w:pPr>
      <w:r>
        <w:rPr>
          <w:rFonts w:hint="eastAsia"/>
          <w:color w:val="auto"/>
          <w:sz w:val="24"/>
          <w:szCs w:val="24"/>
          <w:highlight w:val="none"/>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30866637">
      <w:pPr>
        <w:pStyle w:val="37"/>
        <w:jc w:val="both"/>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val="en-US" w:eastAsia="zh-CN"/>
        </w:rPr>
        <w:t>3</w:t>
      </w:r>
      <w:r>
        <w:rPr>
          <w:rFonts w:hint="eastAsia" w:ascii="宋体" w:hAnsi="宋体" w:eastAsia="宋体" w:cs="宋体"/>
          <w:b/>
          <w:bCs/>
          <w:color w:val="auto"/>
          <w:sz w:val="24"/>
          <w:szCs w:val="24"/>
          <w:highlight w:val="none"/>
        </w:rPr>
        <w:t>.政府采购政策评审</w:t>
      </w:r>
    </w:p>
    <w:p w14:paraId="1627C557">
      <w:pPr>
        <w:pStyle w:val="37"/>
        <w:numPr>
          <w:ilvl w:val="0"/>
          <w:numId w:val="0"/>
        </w:numPr>
        <w:ind w:firstLine="480" w:firstLineChars="200"/>
        <w:jc w:val="both"/>
        <w:rPr>
          <w:color w:val="auto"/>
          <w:highlight w:val="none"/>
        </w:rPr>
      </w:pPr>
      <w:r>
        <w:rPr>
          <w:color w:val="auto"/>
          <w:highlight w:val="none"/>
        </w:rPr>
        <w:t>1</w:t>
      </w:r>
      <w:r>
        <w:rPr>
          <w:rFonts w:hint="eastAsia"/>
          <w:color w:val="auto"/>
          <w:highlight w:val="none"/>
          <w:lang w:val="en-US" w:eastAsia="zh-CN"/>
        </w:rPr>
        <w:t>3</w:t>
      </w:r>
      <w:r>
        <w:rPr>
          <w:color w:val="auto"/>
          <w:highlight w:val="none"/>
        </w:rPr>
        <w:t>.1非专门面向中小企业的采购项目或采购包，对符合规定的小微企业（</w:t>
      </w:r>
      <w:r>
        <w:rPr>
          <w:rFonts w:hint="eastAsia"/>
          <w:color w:val="auto"/>
          <w:highlight w:val="none"/>
          <w:lang w:val="en-US" w:eastAsia="zh-CN"/>
        </w:rPr>
        <w:t>含</w:t>
      </w:r>
      <w:r>
        <w:rPr>
          <w:color w:val="auto"/>
          <w:highlight w:val="none"/>
        </w:rPr>
        <w:t>监狱企业、残疾人福利性单位、联合体各方均为小微企业的联合体、符合小微企业划分标准的个体工商户视同小微企业）报价</w:t>
      </w:r>
      <w:r>
        <w:rPr>
          <w:rFonts w:hint="eastAsia"/>
          <w:color w:val="auto"/>
          <w:highlight w:val="none"/>
        </w:rPr>
        <w:t>按照本招标文件</w:t>
      </w:r>
      <w:r>
        <w:rPr>
          <w:rFonts w:hint="eastAsia"/>
          <w:color w:val="auto"/>
          <w:highlight w:val="none"/>
          <w:lang w:eastAsia="zh-CN"/>
        </w:rPr>
        <w:t>“</w:t>
      </w:r>
      <w:r>
        <w:rPr>
          <w:rFonts w:hint="eastAsia"/>
          <w:color w:val="auto"/>
          <w:highlight w:val="none"/>
        </w:rPr>
        <w:t>投标人须知前附表”中的规定</w:t>
      </w:r>
      <w:r>
        <w:rPr>
          <w:color w:val="auto"/>
          <w:highlight w:val="none"/>
        </w:rPr>
        <w:t>扣除</w:t>
      </w:r>
      <w:r>
        <w:rPr>
          <w:rFonts w:hint="eastAsia"/>
          <w:color w:val="auto"/>
          <w:highlight w:val="none"/>
        </w:rPr>
        <w:t>，对小微企业中的监狱企业、</w:t>
      </w:r>
      <w:r>
        <w:rPr>
          <w:rFonts w:hint="eastAsia" w:ascii="宋体" w:hAnsi="宋体" w:eastAsia="宋体" w:cs="宋体"/>
          <w:color w:val="auto"/>
          <w:sz w:val="24"/>
          <w:szCs w:val="24"/>
          <w:highlight w:val="none"/>
        </w:rPr>
        <w:t>残疾人福利性单位的报价按照本</w:t>
      </w:r>
      <w:r>
        <w:rPr>
          <w:rFonts w:hint="eastAsia" w:ascii="宋体" w:hAnsi="宋体" w:eastAsia="宋体" w:cs="宋体"/>
          <w:color w:val="auto"/>
          <w:sz w:val="24"/>
          <w:szCs w:val="24"/>
          <w:highlight w:val="none"/>
          <w:lang w:val="en-US" w:eastAsia="zh-CN"/>
        </w:rPr>
        <w:t>招标</w:t>
      </w:r>
      <w:r>
        <w:rPr>
          <w:rFonts w:hint="eastAsia" w:ascii="宋体" w:hAnsi="宋体" w:eastAsia="宋体" w:cs="宋体"/>
          <w:color w:val="auto"/>
          <w:sz w:val="24"/>
          <w:szCs w:val="24"/>
          <w:highlight w:val="none"/>
        </w:rPr>
        <w:t>文件</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rPr>
        <w:t>须知前附表”中的规定扣除，用扣除后的价格</w:t>
      </w:r>
      <w:r>
        <w:rPr>
          <w:rFonts w:hint="eastAsia" w:cs="宋体"/>
          <w:color w:val="auto"/>
          <w:sz w:val="24"/>
          <w:szCs w:val="24"/>
          <w:highlight w:val="none"/>
          <w:lang w:val="en-US" w:eastAsia="zh-CN"/>
        </w:rPr>
        <w:t>参与</w:t>
      </w:r>
      <w:r>
        <w:rPr>
          <w:rFonts w:hint="eastAsia" w:ascii="宋体" w:hAnsi="宋体" w:eastAsia="宋体" w:cs="宋体"/>
          <w:color w:val="auto"/>
          <w:sz w:val="24"/>
          <w:szCs w:val="24"/>
          <w:highlight w:val="none"/>
        </w:rPr>
        <w:t>评审</w:t>
      </w:r>
      <w:r>
        <w:rPr>
          <w:rFonts w:hint="eastAsia" w:cs="宋体"/>
          <w:color w:val="auto"/>
          <w:sz w:val="24"/>
          <w:szCs w:val="24"/>
          <w:highlight w:val="none"/>
          <w:lang w:eastAsia="zh-CN"/>
        </w:rPr>
        <w:t>，</w:t>
      </w:r>
      <w:r>
        <w:rPr>
          <w:rFonts w:hint="eastAsia" w:ascii="宋体" w:hAnsi="宋体" w:eastAsia="宋体" w:cs="宋体"/>
          <w:color w:val="auto"/>
          <w:sz w:val="24"/>
          <w:szCs w:val="24"/>
          <w:highlight w:val="none"/>
        </w:rPr>
        <w:t>采购产品纳入创新产品应用示范推荐目录内企业、采购产品获得节能产品或环境标志产品认证证书</w:t>
      </w:r>
      <w:r>
        <w:rPr>
          <w:rFonts w:hint="eastAsia" w:cs="宋体"/>
          <w:color w:val="auto"/>
          <w:sz w:val="24"/>
          <w:szCs w:val="24"/>
          <w:highlight w:val="none"/>
          <w:lang w:val="en-US" w:eastAsia="zh-CN"/>
        </w:rPr>
        <w:t>的投标人</w:t>
      </w:r>
      <w:r>
        <w:rPr>
          <w:rFonts w:hint="eastAsia" w:ascii="宋体" w:hAnsi="宋体" w:eastAsia="宋体" w:cs="宋体"/>
          <w:color w:val="auto"/>
          <w:sz w:val="24"/>
          <w:szCs w:val="24"/>
          <w:highlight w:val="none"/>
        </w:rPr>
        <w:t>按照本</w:t>
      </w:r>
      <w:r>
        <w:rPr>
          <w:rFonts w:hint="eastAsia" w:ascii="宋体" w:hAnsi="宋体" w:eastAsia="宋体" w:cs="宋体"/>
          <w:color w:val="auto"/>
          <w:sz w:val="24"/>
          <w:szCs w:val="24"/>
          <w:highlight w:val="none"/>
          <w:lang w:val="en-US" w:eastAsia="zh-CN"/>
        </w:rPr>
        <w:t>招标</w:t>
      </w:r>
      <w:r>
        <w:rPr>
          <w:rFonts w:hint="eastAsia" w:ascii="宋体" w:hAnsi="宋体" w:eastAsia="宋体" w:cs="宋体"/>
          <w:color w:val="auto"/>
          <w:sz w:val="24"/>
          <w:szCs w:val="24"/>
          <w:highlight w:val="none"/>
        </w:rPr>
        <w:t>文件</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rPr>
        <w:t>须知前附表”中的规定</w:t>
      </w:r>
      <w:r>
        <w:rPr>
          <w:rFonts w:hint="eastAsia" w:cs="宋体"/>
          <w:color w:val="auto"/>
          <w:sz w:val="24"/>
          <w:szCs w:val="24"/>
          <w:highlight w:val="none"/>
          <w:lang w:val="en-US" w:eastAsia="zh-CN"/>
        </w:rPr>
        <w:t>给予评审优惠</w:t>
      </w:r>
      <w:r>
        <w:rPr>
          <w:rFonts w:hint="eastAsia" w:ascii="宋体" w:hAnsi="宋体" w:eastAsia="宋体" w:cs="宋体"/>
          <w:color w:val="auto"/>
          <w:sz w:val="24"/>
          <w:szCs w:val="24"/>
          <w:highlight w:val="none"/>
          <w:lang w:eastAsia="zh-CN"/>
        </w:rPr>
        <w:t>。</w:t>
      </w:r>
    </w:p>
    <w:p w14:paraId="1E5F4E03">
      <w:pPr>
        <w:pStyle w:val="37"/>
        <w:numPr>
          <w:ilvl w:val="0"/>
          <w:numId w:val="0"/>
        </w:numPr>
        <w:ind w:firstLine="480" w:firstLineChars="200"/>
        <w:jc w:val="both"/>
        <w:rPr>
          <w:rFonts w:ascii="宋体" w:hAnsi="宋体" w:eastAsia="宋体"/>
          <w:color w:val="auto"/>
          <w:highlight w:val="none"/>
        </w:rPr>
      </w:pPr>
      <w:r>
        <w:rPr>
          <w:rFonts w:hint="eastAsia" w:ascii="宋体" w:hAnsi="宋体" w:eastAsia="宋体"/>
          <w:color w:val="auto"/>
          <w:highlight w:val="none"/>
          <w:lang w:val="en-US" w:eastAsia="zh-CN"/>
        </w:rPr>
        <w:t>1</w:t>
      </w:r>
      <w:r>
        <w:rPr>
          <w:rFonts w:hint="eastAsia"/>
          <w:color w:val="auto"/>
          <w:highlight w:val="none"/>
          <w:lang w:val="en-US" w:eastAsia="zh-CN"/>
        </w:rPr>
        <w:t>3</w:t>
      </w:r>
      <w:r>
        <w:rPr>
          <w:rFonts w:hint="eastAsia" w:ascii="宋体" w:hAnsi="宋体" w:eastAsia="宋体"/>
          <w:color w:val="auto"/>
          <w:highlight w:val="none"/>
          <w:lang w:val="en-US" w:eastAsia="zh-CN"/>
        </w:rPr>
        <w:t>.</w:t>
      </w:r>
      <w:r>
        <w:rPr>
          <w:rFonts w:hint="eastAsia" w:ascii="宋体" w:hAnsi="宋体" w:eastAsia="宋体"/>
          <w:color w:val="auto"/>
          <w:highlight w:val="none"/>
          <w:lang w:val="zh-CN" w:eastAsia="zh-CN"/>
        </w:rPr>
        <w:t>2</w:t>
      </w:r>
      <w:r>
        <w:rPr>
          <w:rFonts w:ascii="宋体" w:hAnsi="宋体" w:eastAsia="宋体"/>
          <w:color w:val="auto"/>
          <w:highlight w:val="none"/>
        </w:rPr>
        <w:t>参加政府采购活动的小微企业</w:t>
      </w:r>
      <w:r>
        <w:rPr>
          <w:rFonts w:hint="eastAsia"/>
          <w:color w:val="auto"/>
          <w:highlight w:val="none"/>
        </w:rPr>
        <w:t>（含节能环保、创新产品企业）</w:t>
      </w:r>
      <w:r>
        <w:rPr>
          <w:rFonts w:ascii="宋体" w:hAnsi="宋体" w:eastAsia="宋体"/>
          <w:color w:val="auto"/>
          <w:highlight w:val="none"/>
        </w:rPr>
        <w:t>未提供“中小企业声明函”的；监狱企业未提供“监狱企业证明文件”的；残疾人福利性单位未提供“残疾人福利性单位声明函”的；不得享受相应的价格扣除优惠。组成联合体或者接受分包的小微企业与联合体内其他企业、分包企业之间存在直接控股、管理关系的，不得享受价格扣除优惠。</w:t>
      </w:r>
      <w:r>
        <w:rPr>
          <w:rFonts w:hint="eastAsia"/>
          <w:color w:val="auto"/>
          <w:highlight w:val="none"/>
          <w:lang w:val="en-US" w:eastAsia="zh-CN"/>
        </w:rPr>
        <w:t>若供应商同时属于小型或微型企业、监狱企业、残疾人福利性单位 中的两种及以上，将不重复享受小微企业价格扣减的优惠政策。</w:t>
      </w:r>
    </w:p>
    <w:p w14:paraId="1A495953">
      <w:pPr>
        <w:pStyle w:val="37"/>
        <w:numPr>
          <w:ilvl w:val="0"/>
          <w:numId w:val="0"/>
        </w:numPr>
        <w:ind w:firstLine="480" w:firstLineChars="200"/>
        <w:jc w:val="both"/>
        <w:rPr>
          <w:rFonts w:hint="eastAsia"/>
          <w:color w:val="auto"/>
          <w:highlight w:val="none"/>
          <w:lang w:val="en-US" w:eastAsia="zh-CN"/>
        </w:rPr>
      </w:pPr>
      <w:r>
        <w:rPr>
          <w:rFonts w:hint="eastAsia"/>
          <w:color w:val="auto"/>
          <w:highlight w:val="none"/>
          <w:lang w:val="en-US" w:eastAsia="zh-CN"/>
        </w:rPr>
        <w:t>组成联合体或者接受分包的小微企业与联合体内其他企业、分包企业</w:t>
      </w:r>
      <w:r>
        <w:rPr>
          <w:rFonts w:hint="default"/>
          <w:color w:val="auto"/>
          <w:highlight w:val="none"/>
          <w:lang w:val="en-US" w:eastAsia="zh-CN"/>
        </w:rPr>
        <w:t>之间存在直接控股、管理关系的，不享受价格扣除优惠政策。</w:t>
      </w:r>
    </w:p>
    <w:p w14:paraId="4FDAF77C">
      <w:pPr>
        <w:pStyle w:val="37"/>
        <w:numPr>
          <w:ilvl w:val="0"/>
          <w:numId w:val="0"/>
        </w:numPr>
        <w:ind w:firstLine="480" w:firstLineChars="200"/>
        <w:jc w:val="both"/>
        <w:rPr>
          <w:rFonts w:ascii="宋体" w:hAnsi="宋体" w:eastAsia="宋体"/>
          <w:color w:val="auto"/>
          <w:highlight w:val="none"/>
        </w:rPr>
      </w:pPr>
      <w:r>
        <w:rPr>
          <w:rFonts w:ascii="宋体" w:hAnsi="宋体" w:eastAsia="宋体" w:cstheme="minorBidi"/>
          <w:color w:val="auto"/>
          <w:kern w:val="2"/>
          <w:sz w:val="24"/>
          <w:szCs w:val="22"/>
          <w:highlight w:val="none"/>
          <w:lang w:val="en-US" w:eastAsia="zh-CN" w:bidi="ar-SA"/>
        </w:rPr>
        <w:t>价格扣除比例对小型企业和微型企业同等对待，不作区分。</w:t>
      </w:r>
    </w:p>
    <w:p w14:paraId="71DD10A8">
      <w:pPr>
        <w:pStyle w:val="37"/>
        <w:numPr>
          <w:ilvl w:val="0"/>
          <w:numId w:val="0"/>
        </w:numPr>
        <w:ind w:firstLine="480" w:firstLineChars="200"/>
        <w:jc w:val="both"/>
        <w:rPr>
          <w:rFonts w:ascii="宋体" w:hAnsi="宋体" w:eastAsia="宋体"/>
          <w:color w:val="auto"/>
          <w:highlight w:val="none"/>
        </w:rPr>
      </w:pPr>
      <w:r>
        <w:rPr>
          <w:rFonts w:hint="eastAsia" w:ascii="宋体" w:hAnsi="宋体" w:eastAsia="宋体"/>
          <w:color w:val="auto"/>
          <w:highlight w:val="none"/>
          <w:lang w:val="en-US" w:eastAsia="zh-CN"/>
        </w:rPr>
        <w:t>1</w:t>
      </w:r>
      <w:r>
        <w:rPr>
          <w:rFonts w:hint="eastAsia"/>
          <w:color w:val="auto"/>
          <w:highlight w:val="none"/>
          <w:lang w:val="en-US" w:eastAsia="zh-CN"/>
        </w:rPr>
        <w:t>3</w:t>
      </w:r>
      <w:r>
        <w:rPr>
          <w:rFonts w:hint="eastAsia" w:ascii="宋体" w:hAnsi="宋体" w:eastAsia="宋体"/>
          <w:color w:val="auto"/>
          <w:highlight w:val="none"/>
          <w:lang w:val="en-US" w:eastAsia="zh-CN"/>
        </w:rPr>
        <w:t>.</w:t>
      </w:r>
      <w:r>
        <w:rPr>
          <w:rFonts w:hint="eastAsia" w:ascii="宋体" w:hAnsi="宋体" w:eastAsia="宋体"/>
          <w:color w:val="auto"/>
          <w:highlight w:val="none"/>
          <w:lang w:val="zh-CN" w:eastAsia="zh-CN"/>
        </w:rPr>
        <w:t>3</w:t>
      </w:r>
      <w:r>
        <w:rPr>
          <w:rFonts w:ascii="宋体" w:hAnsi="宋体" w:eastAsia="宋体"/>
          <w:color w:val="auto"/>
          <w:highlight w:val="none"/>
        </w:rPr>
        <w:t>专门面向中小企业、预留部分采购份额面向中小企业采购的项目或采购包，评审时不再进行价格扣除。</w:t>
      </w:r>
    </w:p>
    <w:p w14:paraId="3A3EA963">
      <w:pPr>
        <w:pStyle w:val="37"/>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olor w:val="auto"/>
          <w:highlight w:val="none"/>
        </w:rPr>
      </w:pPr>
      <w:r>
        <w:rPr>
          <w:rFonts w:hint="eastAsia" w:ascii="宋体" w:hAnsi="宋体" w:eastAsia="宋体"/>
          <w:color w:val="auto"/>
          <w:highlight w:val="none"/>
          <w:lang w:val="en-US" w:eastAsia="zh-CN"/>
        </w:rPr>
        <w:t>1</w:t>
      </w:r>
      <w:r>
        <w:rPr>
          <w:rFonts w:hint="eastAsia"/>
          <w:color w:val="auto"/>
          <w:highlight w:val="none"/>
          <w:lang w:val="en-US" w:eastAsia="zh-CN"/>
        </w:rPr>
        <w:t>3</w:t>
      </w:r>
      <w:r>
        <w:rPr>
          <w:rFonts w:hint="eastAsia" w:ascii="宋体" w:hAnsi="宋体" w:eastAsia="宋体"/>
          <w:color w:val="auto"/>
          <w:highlight w:val="none"/>
          <w:lang w:val="en-US" w:eastAsia="zh-CN"/>
        </w:rPr>
        <w:t>.4</w:t>
      </w:r>
      <w:r>
        <w:rPr>
          <w:rFonts w:hint="eastAsia" w:ascii="宋体" w:hAnsi="宋体" w:eastAsia="宋体"/>
          <w:color w:val="auto"/>
          <w:highlight w:val="none"/>
        </w:rPr>
        <w:t>对于未预留份额专门面向中小企业的政府采购项目，以及预留份额政府采购项目中的非预留部分标项，对小型和微型企业的投标报价给予10%-</w:t>
      </w:r>
      <w:r>
        <w:rPr>
          <w:rFonts w:ascii="宋体" w:hAnsi="宋体" w:eastAsia="宋体"/>
          <w:color w:val="auto"/>
          <w:highlight w:val="none"/>
        </w:rPr>
        <w:t>20</w:t>
      </w:r>
      <w:r>
        <w:rPr>
          <w:rFonts w:hint="eastAsia" w:ascii="宋体" w:hAnsi="宋体" w:eastAsia="宋体"/>
          <w:color w:val="auto"/>
          <w:highlight w:val="none"/>
        </w:rPr>
        <w:t>%的扣除，用扣除后的价格参与评审。接受大中型企业与小微企业组成联合体或者允许大中型企业向一家或者多家小微企业分包的政府采购项目，对于联合</w:t>
      </w:r>
      <w:r>
        <w:rPr>
          <w:rFonts w:hint="eastAsia" w:ascii="宋体" w:hAnsi="宋体" w:eastAsia="宋体"/>
          <w:color w:val="auto"/>
          <w:highlight w:val="none"/>
          <w:lang w:val="en-US" w:eastAsia="zh-CN"/>
        </w:rPr>
        <w:t>体</w:t>
      </w:r>
      <w:r>
        <w:rPr>
          <w:rFonts w:hint="eastAsia" w:ascii="宋体" w:hAnsi="宋体" w:eastAsia="宋体"/>
          <w:color w:val="auto"/>
          <w:highlight w:val="none"/>
        </w:rPr>
        <w:t>协议</w:t>
      </w:r>
      <w:r>
        <w:rPr>
          <w:rFonts w:hint="eastAsia" w:ascii="宋体" w:hAnsi="宋体" w:eastAsia="宋体"/>
          <w:color w:val="auto"/>
          <w:highlight w:val="none"/>
          <w:lang w:val="en-US" w:eastAsia="zh-CN"/>
        </w:rPr>
        <w:t>书</w:t>
      </w:r>
      <w:r>
        <w:rPr>
          <w:rFonts w:hint="eastAsia" w:ascii="宋体" w:hAnsi="宋体" w:eastAsia="宋体"/>
          <w:color w:val="auto"/>
          <w:highlight w:val="none"/>
        </w:rPr>
        <w:t>或者分包意向协议</w:t>
      </w:r>
      <w:r>
        <w:rPr>
          <w:rFonts w:hint="eastAsia" w:ascii="宋体" w:hAnsi="宋体" w:eastAsia="宋体"/>
          <w:color w:val="auto"/>
          <w:highlight w:val="none"/>
          <w:lang w:val="en-US" w:eastAsia="zh-CN"/>
        </w:rPr>
        <w:t>书</w:t>
      </w:r>
      <w:r>
        <w:rPr>
          <w:rFonts w:hint="eastAsia" w:ascii="宋体" w:hAnsi="宋体" w:eastAsia="宋体"/>
          <w:color w:val="auto"/>
          <w:highlight w:val="none"/>
        </w:rPr>
        <w:t>约定小微企业的合同份额占到合同总金额30%以上的，对联合体或者大中型企业的报价给予4%-</w:t>
      </w:r>
      <w:r>
        <w:rPr>
          <w:rFonts w:ascii="宋体" w:hAnsi="宋体" w:eastAsia="宋体"/>
          <w:color w:val="auto"/>
          <w:highlight w:val="none"/>
        </w:rPr>
        <w:t>6</w:t>
      </w:r>
      <w:r>
        <w:rPr>
          <w:rFonts w:hint="eastAsia" w:ascii="宋体" w:hAnsi="宋体" w:eastAsia="宋体"/>
          <w:color w:val="auto"/>
          <w:highlight w:val="none"/>
        </w:rPr>
        <w:t>%的扣除，用扣除后的价格参加评审。组成联合体或者接受分包的小微企业与联合体内其他企业、分包企业之间存在直接控股、管理关系的，不享受价格扣除优惠政策。</w:t>
      </w:r>
    </w:p>
    <w:p w14:paraId="7B519FEC">
      <w:pPr>
        <w:pStyle w:val="37"/>
        <w:keepNext w:val="0"/>
        <w:keepLines w:val="0"/>
        <w:pageBreakBefore w:val="0"/>
        <w:widowControl w:val="0"/>
        <w:kinsoku/>
        <w:overflowPunct/>
        <w:topLinePunct w:val="0"/>
        <w:autoSpaceDE/>
        <w:autoSpaceDN/>
        <w:bidi w:val="0"/>
        <w:adjustRightInd/>
        <w:jc w:val="both"/>
        <w:textAlignment w:val="auto"/>
        <w:rPr>
          <w:rFonts w:hint="eastAsia"/>
          <w:snapToGrid w:val="0"/>
          <w:color w:val="auto"/>
          <w:sz w:val="24"/>
          <w:highlight w:val="none"/>
          <w:lang w:val="en-US" w:eastAsia="zh-CN"/>
        </w:rPr>
      </w:pPr>
      <w:r>
        <w:rPr>
          <w:rFonts w:hint="eastAsia" w:eastAsia="宋体"/>
          <w:snapToGrid w:val="0"/>
          <w:color w:val="auto"/>
          <w:sz w:val="24"/>
          <w:highlight w:val="none"/>
          <w:lang w:val="en-US" w:eastAsia="zh-CN"/>
        </w:rPr>
        <w:t>13.5</w:t>
      </w:r>
      <w:r>
        <w:rPr>
          <w:rFonts w:hint="eastAsia"/>
          <w:snapToGrid w:val="0"/>
          <w:color w:val="auto"/>
          <w:sz w:val="24"/>
          <w:highlight w:val="none"/>
          <w:lang w:val="en-US" w:eastAsia="zh-CN"/>
        </w:rPr>
        <w:t>供应商对其提供的产品出具《关于符合本国产品标准的声明函》（样式见附件1，以下简称《声明函》）或财政部会同有关部门规定的有关证明文件。出具符合要求的《声明函》或有关证明文件的，该产品视为本国产品。</w:t>
      </w:r>
    </w:p>
    <w:p w14:paraId="46CBA7AF">
      <w:pPr>
        <w:pStyle w:val="37"/>
        <w:jc w:val="both"/>
        <w:rPr>
          <w:rFonts w:hint="eastAsia" w:ascii="宋体" w:hAnsi="宋体" w:eastAsia="宋体" w:cs="宋体"/>
          <w:color w:val="auto"/>
          <w:sz w:val="24"/>
          <w:szCs w:val="24"/>
          <w:highlight w:val="none"/>
          <w:lang w:val="en-US" w:eastAsia="zh-CN"/>
        </w:rPr>
      </w:pPr>
      <w:r>
        <w:rPr>
          <w:rFonts w:hint="eastAsia"/>
          <w:snapToGrid w:val="0"/>
          <w:color w:val="auto"/>
          <w:sz w:val="24"/>
          <w:highlight w:val="none"/>
          <w:lang w:val="en-US" w:eastAsia="zh-CN"/>
        </w:rPr>
        <w:t>13.6</w:t>
      </w:r>
      <w:r>
        <w:rPr>
          <w:rFonts w:hint="eastAsia" w:eastAsia="宋体"/>
          <w:snapToGrid w:val="0"/>
          <w:color w:val="auto"/>
          <w:sz w:val="24"/>
          <w:highlight w:val="none"/>
          <w:lang w:val="en-US" w:eastAsia="zh-CN"/>
        </w:rPr>
        <w:t>采购标的仅包含单一产品时，</w:t>
      </w:r>
      <w:r>
        <w:rPr>
          <w:rFonts w:hint="eastAsia" w:ascii="宋体" w:hAnsi="宋体" w:eastAsia="宋体" w:cs="宋体"/>
          <w:color w:val="auto"/>
          <w:sz w:val="24"/>
          <w:szCs w:val="24"/>
          <w:highlight w:val="none"/>
          <w:lang w:val="en-US" w:eastAsia="zh-CN"/>
        </w:rPr>
        <w:t>政府采购活动中既有本国产品又有非本国产品参与竞争的，依法对本国产品给予价格评审优惠，对本国产品的报价给予20%的价格扣除，用扣除后的价格参与评审。对于仅有本国产品参与竞争的政府采购项目，本国产品不享受价格扣除评审优惠。</w:t>
      </w:r>
    </w:p>
    <w:p w14:paraId="65C3AFB4">
      <w:pPr>
        <w:pStyle w:val="37"/>
        <w:keepNext w:val="0"/>
        <w:keepLines w:val="0"/>
        <w:pageBreakBefore w:val="0"/>
        <w:widowControl w:val="0"/>
        <w:kinsoku/>
        <w:overflowPunct/>
        <w:topLinePunct w:val="0"/>
        <w:autoSpaceDE/>
        <w:autoSpaceDN/>
        <w:bidi w:val="0"/>
        <w:adjustRightInd/>
        <w:jc w:val="both"/>
        <w:textAlignment w:val="auto"/>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13.</w:t>
      </w:r>
      <w:r>
        <w:rPr>
          <w:rFonts w:hint="eastAsia"/>
          <w:snapToGrid w:val="0"/>
          <w:color w:val="auto"/>
          <w:sz w:val="24"/>
          <w:highlight w:val="none"/>
          <w:lang w:val="en-US" w:eastAsia="zh-CN"/>
        </w:rPr>
        <w:t>7</w:t>
      </w:r>
      <w:r>
        <w:rPr>
          <w:rFonts w:hint="eastAsia" w:eastAsia="宋体"/>
          <w:snapToGrid w:val="0"/>
          <w:color w:val="auto"/>
          <w:sz w:val="24"/>
          <w:highlight w:val="none"/>
          <w:lang w:val="en-US" w:eastAsia="zh-CN"/>
        </w:rPr>
        <w:t>采购标的中含有多种产品，供应商为该采购项目或者采购包提供的符合本国产品标准的产品成本之和占该供应商提供的全部产品成本之和的比例达到80%以上时，且供应商在投标（响应）文件中对此作出承诺</w:t>
      </w:r>
      <w:r>
        <w:rPr>
          <w:rFonts w:hint="eastAsia"/>
          <w:snapToGrid w:val="0"/>
          <w:color w:val="auto"/>
          <w:sz w:val="24"/>
          <w:highlight w:val="none"/>
          <w:lang w:val="en-US" w:eastAsia="zh-CN"/>
        </w:rPr>
        <w:t>，出具《</w:t>
      </w:r>
      <w:r>
        <w:rPr>
          <w:rFonts w:hint="eastAsia" w:eastAsia="宋体"/>
          <w:snapToGrid w:val="0"/>
          <w:color w:val="auto"/>
          <w:sz w:val="24"/>
          <w:highlight w:val="none"/>
          <w:lang w:val="en-US" w:eastAsia="zh-CN"/>
        </w:rPr>
        <w:t>本国产品成本占比承诺函</w:t>
      </w:r>
      <w:r>
        <w:rPr>
          <w:rFonts w:hint="eastAsia"/>
          <w:snapToGrid w:val="0"/>
          <w:color w:val="auto"/>
          <w:sz w:val="24"/>
          <w:highlight w:val="none"/>
          <w:lang w:val="en-US" w:eastAsia="zh-CN"/>
        </w:rPr>
        <w:t>》（样式见附件2，以下简称《承诺函》），</w:t>
      </w:r>
      <w:r>
        <w:rPr>
          <w:rFonts w:hint="eastAsia" w:eastAsia="宋体"/>
          <w:snapToGrid w:val="0"/>
          <w:color w:val="auto"/>
          <w:sz w:val="24"/>
          <w:highlight w:val="none"/>
          <w:lang w:val="en-US" w:eastAsia="zh-CN"/>
        </w:rPr>
        <w:t>则依法对该供应商提供的全部产品给予价格评审优惠，即对该供应商提供的全部产品的总报价给予20%的价格扣除，用扣除后的价格参与评审</w:t>
      </w:r>
      <w:r>
        <w:rPr>
          <w:rFonts w:hint="eastAsia"/>
          <w:snapToGrid w:val="0"/>
          <w:color w:val="auto"/>
          <w:sz w:val="24"/>
          <w:highlight w:val="none"/>
          <w:lang w:val="en-US" w:eastAsia="zh-CN"/>
        </w:rPr>
        <w:t>。若供应商所投产品均符合本国产品标准，且已提供《声明函》，可不填写《承诺函》。</w:t>
      </w:r>
    </w:p>
    <w:p w14:paraId="564B303F">
      <w:pPr>
        <w:pStyle w:val="37"/>
        <w:jc w:val="both"/>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13.</w:t>
      </w:r>
      <w:r>
        <w:rPr>
          <w:rFonts w:hint="eastAsia"/>
          <w:snapToGrid w:val="0"/>
          <w:color w:val="auto"/>
          <w:sz w:val="24"/>
          <w:highlight w:val="none"/>
          <w:lang w:val="en-US" w:eastAsia="zh-CN"/>
        </w:rPr>
        <w:t>8</w:t>
      </w:r>
      <w:r>
        <w:rPr>
          <w:rFonts w:hint="eastAsia" w:eastAsia="宋体"/>
          <w:snapToGrid w:val="0"/>
          <w:color w:val="auto"/>
          <w:sz w:val="24"/>
          <w:highlight w:val="none"/>
          <w:lang w:val="en-US" w:eastAsia="zh-CN"/>
        </w:rPr>
        <w:t>评审委员会应对《声明函》的完整性、准确性进行审查，对含义不明确、同类事项与投标（响应）文件表述不一致或者有明显文字错误等情况的，应当以书面形式要求供应商作出必要的澄清、说明或者补正。经澄清、说明或者补正的《声明函》仍然不符合要求的，供应商提供的相关产品视为不符合本国产品标准。</w:t>
      </w:r>
    </w:p>
    <w:p w14:paraId="495AB002">
      <w:pPr>
        <w:pStyle w:val="37"/>
        <w:jc w:val="both"/>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对医疗器械产品，</w:t>
      </w:r>
      <w:r>
        <w:rPr>
          <w:rFonts w:hint="eastAsia"/>
          <w:snapToGrid w:val="0"/>
          <w:color w:val="auto"/>
          <w:sz w:val="24"/>
          <w:highlight w:val="none"/>
          <w:lang w:val="en-US" w:eastAsia="zh-CN"/>
        </w:rPr>
        <w:t>提供</w:t>
      </w:r>
      <w:r>
        <w:rPr>
          <w:rFonts w:hint="eastAsia" w:eastAsia="宋体"/>
          <w:snapToGrid w:val="0"/>
          <w:color w:val="auto"/>
          <w:sz w:val="24"/>
          <w:highlight w:val="none"/>
          <w:lang w:val="en-US" w:eastAsia="zh-CN"/>
        </w:rPr>
        <w:t>取得药品监督管理部门授予的准字号医疗器械注册证的，</w:t>
      </w:r>
      <w:r>
        <w:rPr>
          <w:rFonts w:hint="eastAsia"/>
          <w:snapToGrid w:val="0"/>
          <w:color w:val="auto"/>
          <w:sz w:val="24"/>
          <w:highlight w:val="none"/>
          <w:lang w:val="en-US" w:eastAsia="zh-CN"/>
        </w:rPr>
        <w:t>视为符合本国产品标准，无须填写</w:t>
      </w:r>
      <w:r>
        <w:rPr>
          <w:rFonts w:hint="eastAsia" w:eastAsia="宋体"/>
          <w:snapToGrid w:val="0"/>
          <w:color w:val="auto"/>
          <w:sz w:val="24"/>
          <w:highlight w:val="none"/>
          <w:lang w:val="en-US" w:eastAsia="zh-CN"/>
        </w:rPr>
        <w:t>《声明函》</w:t>
      </w:r>
      <w:r>
        <w:rPr>
          <w:rFonts w:hint="eastAsia"/>
          <w:snapToGrid w:val="0"/>
          <w:color w:val="auto"/>
          <w:sz w:val="24"/>
          <w:highlight w:val="none"/>
          <w:lang w:val="en-US" w:eastAsia="zh-CN"/>
        </w:rPr>
        <w:t>，</w:t>
      </w:r>
      <w:r>
        <w:rPr>
          <w:rFonts w:hint="eastAsia" w:ascii="宋体" w:hAnsi="宋体" w:eastAsia="宋体" w:cs="宋体"/>
          <w:color w:val="auto"/>
          <w:sz w:val="24"/>
          <w:szCs w:val="24"/>
          <w:highlight w:val="none"/>
          <w:lang w:val="en-US" w:eastAsia="zh-CN"/>
        </w:rPr>
        <w:t>报价给予20%的价格扣除，用扣除后的价格参与评审</w:t>
      </w:r>
      <w:r>
        <w:rPr>
          <w:rFonts w:hint="eastAsia" w:cs="宋体"/>
          <w:color w:val="auto"/>
          <w:sz w:val="24"/>
          <w:szCs w:val="24"/>
          <w:highlight w:val="none"/>
          <w:lang w:val="en-US" w:eastAsia="zh-CN"/>
        </w:rPr>
        <w:t>。</w:t>
      </w:r>
    </w:p>
    <w:p w14:paraId="428B8848">
      <w:pPr>
        <w:pStyle w:val="37"/>
        <w:jc w:val="both"/>
        <w:rPr>
          <w:rFonts w:hint="eastAsia" w:ascii="宋体" w:hAnsi="宋体" w:eastAsia="宋体"/>
          <w:color w:val="auto"/>
          <w:highlight w:val="none"/>
        </w:rPr>
      </w:pPr>
      <w:r>
        <w:rPr>
          <w:rFonts w:hint="eastAsia" w:eastAsia="宋体"/>
          <w:snapToGrid w:val="0"/>
          <w:color w:val="auto"/>
          <w:sz w:val="24"/>
          <w:highlight w:val="none"/>
          <w:lang w:val="en-US" w:eastAsia="zh-CN"/>
        </w:rPr>
        <w:t>13.</w:t>
      </w:r>
      <w:r>
        <w:rPr>
          <w:rFonts w:hint="eastAsia"/>
          <w:snapToGrid w:val="0"/>
          <w:color w:val="auto"/>
          <w:sz w:val="24"/>
          <w:highlight w:val="none"/>
          <w:lang w:val="en-US" w:eastAsia="zh-CN"/>
        </w:rPr>
        <w:t>9</w:t>
      </w:r>
      <w:r>
        <w:rPr>
          <w:rFonts w:hint="eastAsia" w:eastAsia="宋体"/>
          <w:snapToGrid w:val="0"/>
          <w:color w:val="auto"/>
          <w:sz w:val="24"/>
          <w:highlight w:val="none"/>
          <w:lang w:val="en-US" w:eastAsia="zh-CN"/>
        </w:rPr>
        <w:t>对于非专门面向中小企业的采购项目，既有本国产品也有非本国产品参与竞争，且提供本国产品的供应商同时为小微企业的，对该供应商的产品同时给予支持本国产品和小微企业产品的价格评审优惠。在供应商原始报价基础上计算，用扣除后的价格参与评审。</w:t>
      </w:r>
    </w:p>
    <w:p w14:paraId="548FFFDB">
      <w:pPr>
        <w:pStyle w:val="4"/>
        <w:keepNext/>
        <w:keepLines/>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jc w:val="both"/>
        <w:textAlignment w:val="auto"/>
        <w:rPr>
          <w:rFonts w:hint="eastAsia" w:ascii="宋体" w:hAnsi="宋体" w:eastAsia="宋体" w:cs="宋体"/>
          <w:b/>
          <w:bCs/>
          <w:color w:val="auto"/>
          <w:kern w:val="2"/>
          <w:sz w:val="24"/>
          <w:szCs w:val="24"/>
          <w:highlight w:val="none"/>
          <w:lang w:val="zh-CN" w:eastAsia="zh-CN" w:bidi="ar-SA"/>
        </w:rPr>
      </w:pPr>
      <w:bookmarkStart w:id="371" w:name="_Toc13511"/>
      <w:r>
        <w:rPr>
          <w:rFonts w:hint="eastAsia" w:ascii="宋体" w:hAnsi="宋体" w:eastAsia="宋体" w:cs="宋体"/>
          <w:b/>
          <w:bCs/>
          <w:color w:val="auto"/>
          <w:kern w:val="2"/>
          <w:sz w:val="24"/>
          <w:szCs w:val="24"/>
          <w:highlight w:val="none"/>
          <w:lang w:val="zh-CN" w:eastAsia="zh-CN" w:bidi="ar-SA"/>
        </w:rPr>
        <w:t>（</w:t>
      </w:r>
      <w:r>
        <w:rPr>
          <w:rFonts w:hint="eastAsia" w:ascii="宋体" w:hAnsi="宋体" w:eastAsia="宋体" w:cs="宋体"/>
          <w:b/>
          <w:bCs/>
          <w:color w:val="auto"/>
          <w:kern w:val="2"/>
          <w:sz w:val="24"/>
          <w:szCs w:val="24"/>
          <w:highlight w:val="none"/>
          <w:lang w:val="en-US" w:eastAsia="zh-CN" w:bidi="ar-SA"/>
        </w:rPr>
        <w:t>五</w:t>
      </w:r>
      <w:r>
        <w:rPr>
          <w:rFonts w:hint="eastAsia" w:ascii="宋体" w:hAnsi="宋体" w:eastAsia="宋体" w:cs="宋体"/>
          <w:b/>
          <w:bCs/>
          <w:color w:val="auto"/>
          <w:kern w:val="2"/>
          <w:sz w:val="24"/>
          <w:szCs w:val="24"/>
          <w:highlight w:val="none"/>
          <w:lang w:val="zh-CN" w:eastAsia="zh-CN" w:bidi="ar-SA"/>
        </w:rPr>
        <w:t>）评标得分及复核</w:t>
      </w:r>
      <w:bookmarkEnd w:id="371"/>
    </w:p>
    <w:p w14:paraId="073A56A5">
      <w:pPr>
        <w:pStyle w:val="37"/>
        <w:keepNext w:val="0"/>
        <w:keepLines w:val="0"/>
        <w:pageBreakBefore w:val="0"/>
        <w:widowControl w:val="0"/>
        <w:kinsoku/>
        <w:wordWrap w:val="0"/>
        <w:overflowPunct/>
        <w:topLinePunct w:val="0"/>
        <w:autoSpaceDE/>
        <w:autoSpaceDN/>
        <w:bidi w:val="0"/>
        <w:adjustRightInd/>
        <w:snapToGrid/>
        <w:spacing w:line="460" w:lineRule="exact"/>
        <w:ind w:firstLine="482"/>
        <w:jc w:val="both"/>
        <w:textAlignment w:val="auto"/>
        <w:rPr>
          <w:rFonts w:hint="eastAsia"/>
          <w:color w:val="auto"/>
          <w:highlight w:val="none"/>
          <w:lang w:val="en-US" w:eastAsia="zh-CN"/>
        </w:rPr>
      </w:pPr>
      <w:r>
        <w:rPr>
          <w:rFonts w:hint="eastAsia"/>
          <w:color w:val="auto"/>
          <w:highlight w:val="none"/>
          <w:lang w:val="en-US" w:eastAsia="zh-CN"/>
        </w:rPr>
        <w:t>14.评标过程中，各项分值一般精确到小数点后两位，评标得分应为商务评分、技术评分、报价评分之和。评标委员会各成员应汇总每个投标人的得分。</w:t>
      </w:r>
    </w:p>
    <w:p w14:paraId="0BE80DC7">
      <w:pPr>
        <w:pStyle w:val="37"/>
        <w:keepNext w:val="0"/>
        <w:keepLines w:val="0"/>
        <w:pageBreakBefore w:val="0"/>
        <w:widowControl w:val="0"/>
        <w:kinsoku/>
        <w:wordWrap w:val="0"/>
        <w:overflowPunct/>
        <w:topLinePunct w:val="0"/>
        <w:autoSpaceDE/>
        <w:autoSpaceDN/>
        <w:bidi w:val="0"/>
        <w:adjustRightInd/>
        <w:snapToGrid/>
        <w:spacing w:line="460" w:lineRule="exact"/>
        <w:ind w:firstLine="482"/>
        <w:jc w:val="both"/>
        <w:textAlignment w:val="auto"/>
        <w:rPr>
          <w:rFonts w:hint="eastAsia"/>
          <w:color w:val="auto"/>
          <w:highlight w:val="none"/>
          <w:lang w:val="en-US" w:eastAsia="zh-CN"/>
        </w:rPr>
      </w:pPr>
      <w:r>
        <w:rPr>
          <w:rFonts w:hint="eastAsia"/>
          <w:color w:val="auto"/>
          <w:highlight w:val="none"/>
          <w:lang w:val="en-US" w:eastAsia="zh-CN"/>
        </w:rPr>
        <w:t>14.1.评标结果汇总完成后，采购代理机构应对评标结果进行复核。经复核发现存在以下情形之一的，</w:t>
      </w:r>
      <w:r>
        <w:rPr>
          <w:rFonts w:hint="eastAsia"/>
          <w:iCs/>
          <w:color w:val="auto"/>
          <w:spacing w:val="-6"/>
          <w:sz w:val="24"/>
          <w:highlight w:val="none"/>
          <w:lang w:val="en-US" w:eastAsia="zh-CN"/>
        </w:rPr>
        <w:t>评标委员会应当当场修改评标结果，并在评标报告中记载</w:t>
      </w:r>
      <w:r>
        <w:rPr>
          <w:rFonts w:hint="eastAsia"/>
          <w:color w:val="auto"/>
          <w:highlight w:val="none"/>
          <w:lang w:val="en-US" w:eastAsia="zh-CN"/>
        </w:rPr>
        <w:t>：</w:t>
      </w:r>
    </w:p>
    <w:p w14:paraId="427128F3">
      <w:pPr>
        <w:pStyle w:val="37"/>
        <w:keepNext w:val="0"/>
        <w:keepLines w:val="0"/>
        <w:pageBreakBefore w:val="0"/>
        <w:widowControl w:val="0"/>
        <w:kinsoku/>
        <w:wordWrap w:val="0"/>
        <w:overflowPunct/>
        <w:topLinePunct w:val="0"/>
        <w:autoSpaceDE/>
        <w:autoSpaceDN/>
        <w:bidi w:val="0"/>
        <w:adjustRightInd/>
        <w:snapToGrid/>
        <w:spacing w:line="460" w:lineRule="exact"/>
        <w:ind w:firstLine="482"/>
        <w:jc w:val="both"/>
        <w:textAlignment w:val="auto"/>
        <w:rPr>
          <w:rFonts w:hint="eastAsia"/>
          <w:color w:val="auto"/>
          <w:highlight w:val="none"/>
          <w:lang w:val="en-US" w:eastAsia="zh-CN"/>
        </w:rPr>
      </w:pPr>
      <w:r>
        <w:rPr>
          <w:rFonts w:hint="eastAsia" w:cs="宋体"/>
          <w:iCs/>
          <w:color w:val="auto"/>
          <w:kern w:val="2"/>
          <w:sz w:val="24"/>
          <w:szCs w:val="24"/>
          <w:highlight w:val="none"/>
          <w:shd w:val="clear" w:fill="FFFFFF" w:themeFill="background1"/>
          <w:lang w:val="en-US" w:eastAsia="zh-CN" w:bidi="ar-SA"/>
        </w:rPr>
        <w:t>（1）</w:t>
      </w:r>
      <w:r>
        <w:rPr>
          <w:rFonts w:hint="eastAsia"/>
          <w:color w:val="auto"/>
          <w:highlight w:val="none"/>
          <w:lang w:val="en-US" w:eastAsia="zh-CN"/>
        </w:rPr>
        <w:t>分值汇总计算错误的；</w:t>
      </w:r>
    </w:p>
    <w:p w14:paraId="4404F7B4">
      <w:pPr>
        <w:pStyle w:val="37"/>
        <w:keepNext w:val="0"/>
        <w:keepLines w:val="0"/>
        <w:pageBreakBefore w:val="0"/>
        <w:widowControl w:val="0"/>
        <w:kinsoku/>
        <w:wordWrap w:val="0"/>
        <w:overflowPunct/>
        <w:topLinePunct w:val="0"/>
        <w:autoSpaceDE/>
        <w:autoSpaceDN/>
        <w:bidi w:val="0"/>
        <w:adjustRightInd/>
        <w:snapToGrid/>
        <w:spacing w:line="460" w:lineRule="exact"/>
        <w:ind w:firstLine="482"/>
        <w:jc w:val="both"/>
        <w:textAlignment w:val="auto"/>
        <w:rPr>
          <w:rFonts w:hint="eastAsia"/>
          <w:color w:val="auto"/>
          <w:highlight w:val="none"/>
          <w:lang w:val="en-US" w:eastAsia="zh-CN"/>
        </w:rPr>
      </w:pPr>
      <w:r>
        <w:rPr>
          <w:rFonts w:hint="eastAsia"/>
          <w:color w:val="auto"/>
          <w:highlight w:val="none"/>
          <w:lang w:val="en-US" w:eastAsia="zh-CN"/>
        </w:rPr>
        <w:t>（2）分项评分超出评分标准范围的；</w:t>
      </w:r>
    </w:p>
    <w:p w14:paraId="18150CA8">
      <w:pPr>
        <w:pStyle w:val="37"/>
        <w:keepNext w:val="0"/>
        <w:keepLines w:val="0"/>
        <w:pageBreakBefore w:val="0"/>
        <w:widowControl w:val="0"/>
        <w:kinsoku/>
        <w:wordWrap w:val="0"/>
        <w:overflowPunct/>
        <w:topLinePunct w:val="0"/>
        <w:autoSpaceDE/>
        <w:autoSpaceDN/>
        <w:bidi w:val="0"/>
        <w:adjustRightInd/>
        <w:snapToGrid/>
        <w:spacing w:line="460" w:lineRule="exact"/>
        <w:ind w:firstLine="482"/>
        <w:jc w:val="both"/>
        <w:textAlignment w:val="auto"/>
        <w:rPr>
          <w:rFonts w:hint="eastAsia"/>
          <w:color w:val="auto"/>
          <w:highlight w:val="none"/>
          <w:lang w:val="en-US" w:eastAsia="zh-CN"/>
        </w:rPr>
      </w:pPr>
      <w:r>
        <w:rPr>
          <w:rFonts w:hint="eastAsia"/>
          <w:color w:val="auto"/>
          <w:highlight w:val="none"/>
          <w:lang w:val="en-US" w:eastAsia="zh-CN"/>
        </w:rPr>
        <w:t>（3）评标委员会成员对客观评审因素评分不一致的；</w:t>
      </w:r>
    </w:p>
    <w:p w14:paraId="6BFAB3DA">
      <w:pPr>
        <w:pStyle w:val="37"/>
        <w:keepNext w:val="0"/>
        <w:keepLines w:val="0"/>
        <w:pageBreakBefore w:val="0"/>
        <w:widowControl w:val="0"/>
        <w:kinsoku/>
        <w:wordWrap w:val="0"/>
        <w:overflowPunct/>
        <w:topLinePunct w:val="0"/>
        <w:autoSpaceDE/>
        <w:autoSpaceDN/>
        <w:bidi w:val="0"/>
        <w:adjustRightInd/>
        <w:snapToGrid/>
        <w:spacing w:line="460" w:lineRule="exact"/>
        <w:ind w:firstLine="482"/>
        <w:jc w:val="both"/>
        <w:textAlignment w:val="auto"/>
        <w:rPr>
          <w:rFonts w:hint="eastAsia"/>
          <w:color w:val="auto"/>
          <w:highlight w:val="none"/>
          <w:lang w:val="en-US" w:eastAsia="zh-CN"/>
        </w:rPr>
      </w:pPr>
      <w:r>
        <w:rPr>
          <w:rFonts w:hint="eastAsia"/>
          <w:color w:val="auto"/>
          <w:highlight w:val="none"/>
          <w:lang w:val="en-US" w:eastAsia="zh-CN"/>
        </w:rPr>
        <w:t>（4）经评标委员会认定评分畸高、畸低的。</w:t>
      </w:r>
    </w:p>
    <w:p w14:paraId="0FD26D1C">
      <w:pPr>
        <w:pStyle w:val="37"/>
        <w:keepNext w:val="0"/>
        <w:keepLines w:val="0"/>
        <w:pageBreakBefore w:val="0"/>
        <w:widowControl w:val="0"/>
        <w:kinsoku/>
        <w:wordWrap w:val="0"/>
        <w:overflowPunct/>
        <w:topLinePunct w:val="0"/>
        <w:autoSpaceDE/>
        <w:autoSpaceDN/>
        <w:bidi w:val="0"/>
        <w:adjustRightInd/>
        <w:snapToGrid/>
        <w:spacing w:line="460" w:lineRule="exact"/>
        <w:ind w:firstLine="482"/>
        <w:jc w:val="both"/>
        <w:textAlignment w:val="auto"/>
        <w:rPr>
          <w:rFonts w:hint="eastAsia"/>
          <w:color w:val="auto"/>
          <w:highlight w:val="none"/>
          <w:lang w:val="en-US" w:eastAsia="zh-CN"/>
        </w:rPr>
      </w:pPr>
      <w:r>
        <w:rPr>
          <w:rFonts w:hint="eastAsia"/>
          <w:color w:val="auto"/>
          <w:highlight w:val="none"/>
          <w:lang w:val="en-US" w:eastAsia="zh-CN"/>
        </w:rPr>
        <w:t>15.各投标人的最终得分为评标委员会所有成员对各投标人评标得分汇总后的算术平均值。</w:t>
      </w:r>
    </w:p>
    <w:p w14:paraId="1FD846A7">
      <w:pPr>
        <w:pStyle w:val="37"/>
        <w:keepNext w:val="0"/>
        <w:keepLines w:val="0"/>
        <w:pageBreakBefore w:val="0"/>
        <w:widowControl w:val="0"/>
        <w:kinsoku/>
        <w:wordWrap w:val="0"/>
        <w:overflowPunct/>
        <w:topLinePunct w:val="0"/>
        <w:autoSpaceDE/>
        <w:autoSpaceDN/>
        <w:bidi w:val="0"/>
        <w:adjustRightInd/>
        <w:snapToGrid/>
        <w:spacing w:line="460" w:lineRule="exact"/>
        <w:ind w:firstLine="482"/>
        <w:jc w:val="both"/>
        <w:textAlignment w:val="auto"/>
        <w:rPr>
          <w:rFonts w:hint="eastAsia"/>
          <w:color w:val="auto"/>
          <w:highlight w:val="none"/>
          <w:lang w:val="en-US" w:eastAsia="zh-CN"/>
        </w:rPr>
      </w:pPr>
      <w:r>
        <w:rPr>
          <w:rFonts w:hint="eastAsia"/>
          <w:color w:val="auto"/>
          <w:highlight w:val="none"/>
          <w:lang w:val="en-US" w:eastAsia="zh-CN"/>
        </w:rPr>
        <w:t>15.1除资格性检查认定错误、分值汇总计算错误、分项评分超出评分标准范围、客观分评分不一致、经评标委员会一致认定评分畸高、畸低的情形外，采购人或者采购代理机构不得以任何理由组织重新评审。采购人、采购代理机构发现评标委员会未按照招标文件规定的评审标准进行评审的，应当重新开展采购活动，并同时书面报告本级财政部门。</w:t>
      </w:r>
    </w:p>
    <w:p w14:paraId="52280223">
      <w:pPr>
        <w:pStyle w:val="37"/>
        <w:keepNext w:val="0"/>
        <w:keepLines w:val="0"/>
        <w:pageBreakBefore w:val="0"/>
        <w:widowControl w:val="0"/>
        <w:kinsoku/>
        <w:wordWrap w:val="0"/>
        <w:overflowPunct/>
        <w:topLinePunct w:val="0"/>
        <w:autoSpaceDE/>
        <w:autoSpaceDN/>
        <w:bidi w:val="0"/>
        <w:adjustRightInd/>
        <w:snapToGrid/>
        <w:spacing w:line="460" w:lineRule="exact"/>
        <w:ind w:firstLine="482"/>
        <w:jc w:val="both"/>
        <w:textAlignment w:val="auto"/>
        <w:rPr>
          <w:rFonts w:hint="eastAsia"/>
          <w:color w:val="auto"/>
          <w:highlight w:val="none"/>
          <w:lang w:val="en-US" w:eastAsia="zh-CN"/>
        </w:rPr>
      </w:pPr>
      <w:r>
        <w:rPr>
          <w:rFonts w:hint="eastAsia"/>
          <w:color w:val="auto"/>
          <w:highlight w:val="none"/>
          <w:lang w:val="en-US" w:eastAsia="zh-CN"/>
        </w:rPr>
        <w:t>15.2采购人或者采购代理机构不得通过对样品进行检测、对投标人进行考察等方式改变评审结果。</w:t>
      </w:r>
    </w:p>
    <w:p w14:paraId="5AB9E04E">
      <w:pPr>
        <w:pStyle w:val="4"/>
        <w:keepNext/>
        <w:keepLines/>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jc w:val="both"/>
        <w:textAlignment w:val="auto"/>
        <w:rPr>
          <w:rFonts w:hint="eastAsia" w:ascii="宋体" w:hAnsi="宋体" w:eastAsia="宋体" w:cs="宋体"/>
          <w:b/>
          <w:bCs/>
          <w:color w:val="auto"/>
          <w:kern w:val="2"/>
          <w:sz w:val="24"/>
          <w:szCs w:val="24"/>
          <w:highlight w:val="none"/>
          <w:lang w:val="zh-CN" w:eastAsia="zh-CN" w:bidi="ar-SA"/>
        </w:rPr>
      </w:pPr>
      <w:bookmarkStart w:id="372" w:name="_Toc17225"/>
      <w:r>
        <w:rPr>
          <w:rFonts w:hint="eastAsia" w:ascii="宋体" w:hAnsi="宋体" w:eastAsia="宋体" w:cs="宋体"/>
          <w:b/>
          <w:bCs/>
          <w:color w:val="auto"/>
          <w:kern w:val="2"/>
          <w:sz w:val="24"/>
          <w:szCs w:val="24"/>
          <w:highlight w:val="none"/>
          <w:lang w:val="zh-CN" w:eastAsia="zh-CN" w:bidi="ar-SA"/>
        </w:rPr>
        <w:t>（</w:t>
      </w:r>
      <w:r>
        <w:rPr>
          <w:rFonts w:hint="eastAsia" w:ascii="宋体" w:hAnsi="宋体" w:eastAsia="宋体" w:cs="宋体"/>
          <w:b/>
          <w:bCs/>
          <w:color w:val="auto"/>
          <w:kern w:val="2"/>
          <w:sz w:val="24"/>
          <w:szCs w:val="24"/>
          <w:highlight w:val="none"/>
          <w:lang w:val="en-US" w:eastAsia="zh-CN" w:bidi="ar-SA"/>
        </w:rPr>
        <w:t>六</w:t>
      </w:r>
      <w:r>
        <w:rPr>
          <w:rFonts w:hint="eastAsia" w:ascii="宋体" w:hAnsi="宋体" w:eastAsia="宋体" w:cs="宋体"/>
          <w:b/>
          <w:bCs/>
          <w:color w:val="auto"/>
          <w:kern w:val="2"/>
          <w:sz w:val="24"/>
          <w:szCs w:val="24"/>
          <w:highlight w:val="none"/>
          <w:lang w:val="zh-CN" w:eastAsia="zh-CN" w:bidi="ar-SA"/>
        </w:rPr>
        <w:t>）排序与推荐</w:t>
      </w:r>
      <w:bookmarkEnd w:id="372"/>
    </w:p>
    <w:p w14:paraId="514ADBD8">
      <w:pPr>
        <w:pStyle w:val="37"/>
        <w:jc w:val="both"/>
        <w:rPr>
          <w:rFonts w:hint="eastAsia"/>
          <w:color w:val="auto"/>
          <w:highlight w:val="none"/>
        </w:rPr>
      </w:pPr>
      <w:r>
        <w:rPr>
          <w:rFonts w:hint="eastAsia"/>
          <w:color w:val="auto"/>
          <w:highlight w:val="none"/>
          <w:lang w:val="en-US" w:eastAsia="zh-CN"/>
        </w:rPr>
        <w:t>16.</w:t>
      </w:r>
      <w:r>
        <w:rPr>
          <w:rFonts w:hint="eastAsia"/>
          <w:color w:val="auto"/>
          <w:highlight w:val="none"/>
        </w:rPr>
        <w:t>评标结果按评审后得分由高到低顺序排列。投标文件满足招标文件全部实质性要求，且按照评审因素的量化指标评审得分最高的投标人为排名第一的中标候选人。得分相同的，按投标报价由低到高顺序排列。得分且投标报价相同的，</w:t>
      </w:r>
      <w:r>
        <w:rPr>
          <w:rFonts w:hint="eastAsia"/>
          <w:color w:val="auto"/>
          <w:highlight w:val="none"/>
          <w:lang w:val="en-US" w:eastAsia="zh-CN"/>
        </w:rPr>
        <w:t>按</w:t>
      </w:r>
      <w:r>
        <w:rPr>
          <w:rFonts w:hint="eastAsia"/>
          <w:color w:val="auto"/>
          <w:highlight w:val="none"/>
        </w:rPr>
        <w:t>技术指标</w:t>
      </w:r>
      <w:r>
        <w:rPr>
          <w:rFonts w:hint="eastAsia"/>
          <w:color w:val="auto"/>
          <w:highlight w:val="none"/>
          <w:lang w:val="en-US" w:eastAsia="zh-CN"/>
        </w:rPr>
        <w:t>优劣顺序排列</w:t>
      </w:r>
      <w:r>
        <w:rPr>
          <w:rFonts w:hint="eastAsia"/>
          <w:color w:val="auto"/>
          <w:highlight w:val="none"/>
        </w:rPr>
        <w:t>。</w:t>
      </w:r>
    </w:p>
    <w:p w14:paraId="3B1F6C1A">
      <w:pPr>
        <w:pStyle w:val="37"/>
        <w:jc w:val="both"/>
        <w:rPr>
          <w:color w:val="auto"/>
          <w:highlight w:val="none"/>
        </w:rPr>
      </w:pPr>
      <w:r>
        <w:rPr>
          <w:rFonts w:hint="eastAsia"/>
          <w:color w:val="auto"/>
          <w:highlight w:val="none"/>
          <w:lang w:val="en-US" w:eastAsia="zh-CN"/>
        </w:rPr>
        <w:t>17.</w:t>
      </w:r>
      <w:r>
        <w:rPr>
          <w:rFonts w:hint="eastAsia"/>
          <w:color w:val="auto"/>
          <w:highlight w:val="none"/>
        </w:rPr>
        <w:t>中标候选人</w:t>
      </w:r>
      <w:r>
        <w:rPr>
          <w:rFonts w:hint="eastAsia"/>
          <w:color w:val="auto"/>
          <w:highlight w:val="none"/>
          <w:lang w:val="en-US" w:eastAsia="zh-CN"/>
        </w:rPr>
        <w:t>推荐家数详</w:t>
      </w:r>
      <w:r>
        <w:rPr>
          <w:rFonts w:hint="eastAsia"/>
          <w:color w:val="auto"/>
          <w:highlight w:val="none"/>
        </w:rPr>
        <w:t>见“</w:t>
      </w:r>
      <w:r>
        <w:rPr>
          <w:rFonts w:hint="eastAsia"/>
          <w:color w:val="auto"/>
          <w:highlight w:val="none"/>
          <w:lang w:val="en-US" w:eastAsia="zh-CN"/>
        </w:rPr>
        <w:t>投标人须知</w:t>
      </w:r>
      <w:r>
        <w:rPr>
          <w:rFonts w:hint="eastAsia"/>
          <w:color w:val="auto"/>
          <w:highlight w:val="none"/>
        </w:rPr>
        <w:t>前附表”。</w:t>
      </w:r>
    </w:p>
    <w:p w14:paraId="1F98E10E">
      <w:pPr>
        <w:pStyle w:val="4"/>
        <w:keepNext/>
        <w:keepLines/>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jc w:val="both"/>
        <w:textAlignment w:val="auto"/>
        <w:rPr>
          <w:rFonts w:hint="eastAsia" w:ascii="宋体" w:hAnsi="宋体" w:eastAsia="宋体" w:cs="宋体"/>
          <w:b/>
          <w:bCs/>
          <w:color w:val="auto"/>
          <w:kern w:val="2"/>
          <w:sz w:val="24"/>
          <w:szCs w:val="24"/>
          <w:highlight w:val="none"/>
          <w:lang w:val="zh-CN" w:eastAsia="zh-CN" w:bidi="ar-SA"/>
        </w:rPr>
      </w:pPr>
      <w:bookmarkStart w:id="373" w:name="_Toc21574"/>
      <w:r>
        <w:rPr>
          <w:rFonts w:hint="eastAsia" w:ascii="宋体" w:hAnsi="宋体" w:eastAsia="宋体" w:cs="宋体"/>
          <w:b/>
          <w:bCs/>
          <w:color w:val="auto"/>
          <w:kern w:val="2"/>
          <w:sz w:val="24"/>
          <w:szCs w:val="24"/>
          <w:highlight w:val="none"/>
          <w:lang w:val="zh-CN" w:eastAsia="zh-CN" w:bidi="ar-SA"/>
        </w:rPr>
        <w:t>（</w:t>
      </w:r>
      <w:r>
        <w:rPr>
          <w:rFonts w:hint="eastAsia" w:ascii="宋体" w:hAnsi="宋体" w:eastAsia="宋体" w:cs="宋体"/>
          <w:b/>
          <w:bCs/>
          <w:color w:val="auto"/>
          <w:kern w:val="2"/>
          <w:sz w:val="24"/>
          <w:szCs w:val="24"/>
          <w:highlight w:val="none"/>
          <w:lang w:val="en-US" w:eastAsia="zh-CN" w:bidi="ar-SA"/>
        </w:rPr>
        <w:t>七</w:t>
      </w:r>
      <w:r>
        <w:rPr>
          <w:rFonts w:hint="eastAsia" w:ascii="宋体" w:hAnsi="宋体" w:eastAsia="宋体" w:cs="宋体"/>
          <w:b/>
          <w:bCs/>
          <w:color w:val="auto"/>
          <w:kern w:val="2"/>
          <w:sz w:val="24"/>
          <w:szCs w:val="24"/>
          <w:highlight w:val="none"/>
          <w:lang w:val="zh-CN" w:eastAsia="zh-CN" w:bidi="ar-SA"/>
        </w:rPr>
        <w:t>）编写评标报告</w:t>
      </w:r>
      <w:bookmarkEnd w:id="373"/>
    </w:p>
    <w:p w14:paraId="3576CABA">
      <w:pPr>
        <w:pStyle w:val="37"/>
        <w:jc w:val="both"/>
        <w:rPr>
          <w:color w:val="auto"/>
          <w:highlight w:val="none"/>
        </w:rPr>
      </w:pPr>
      <w:r>
        <w:rPr>
          <w:rFonts w:hint="eastAsia"/>
          <w:color w:val="auto"/>
          <w:highlight w:val="none"/>
          <w:lang w:val="en-US" w:eastAsia="zh-CN"/>
        </w:rPr>
        <w:t>18.</w:t>
      </w:r>
      <w:r>
        <w:rPr>
          <w:rFonts w:hint="eastAsia"/>
          <w:color w:val="auto"/>
          <w:highlight w:val="none"/>
        </w:rPr>
        <w:t>评标委员会根据全体评标成员签字的原始评标记录和评标结果编写评标报告。评标委员会应当在评标报告上签名，对自己的评审意见承担法律责任。评标委员会成员对需要共同认定的事项存在争议的，应当按照少数服从多数的原则作出结论。持不同意见的评标委员会成员应当在评标报告上签署不同意见，并说明理由，否则视为同意评标报告。</w:t>
      </w:r>
    </w:p>
    <w:p w14:paraId="29512443">
      <w:pPr>
        <w:pStyle w:val="4"/>
        <w:keepNext/>
        <w:keepLines/>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jc w:val="both"/>
        <w:textAlignment w:val="auto"/>
        <w:rPr>
          <w:rFonts w:hint="eastAsia" w:ascii="宋体" w:hAnsi="宋体" w:eastAsia="宋体" w:cs="宋体"/>
          <w:b/>
          <w:bCs/>
          <w:color w:val="auto"/>
          <w:kern w:val="2"/>
          <w:sz w:val="24"/>
          <w:szCs w:val="24"/>
          <w:highlight w:val="none"/>
          <w:lang w:val="zh-CN" w:eastAsia="zh-CN" w:bidi="ar-SA"/>
        </w:rPr>
      </w:pPr>
      <w:bookmarkStart w:id="374" w:name="_Toc163492906"/>
      <w:bookmarkStart w:id="375" w:name="_Toc102119852"/>
      <w:bookmarkStart w:id="376" w:name="_Toc155185913"/>
      <w:bookmarkStart w:id="377" w:name="_Toc102114919"/>
      <w:bookmarkStart w:id="378" w:name="_Toc102056217"/>
      <w:bookmarkStart w:id="379" w:name="_Toc102116021"/>
      <w:bookmarkStart w:id="380" w:name="_Toc102057717"/>
      <w:bookmarkStart w:id="381" w:name="_Toc1587"/>
      <w:bookmarkStart w:id="382" w:name="_Toc102116151"/>
      <w:r>
        <w:rPr>
          <w:rFonts w:hint="eastAsia" w:ascii="宋体" w:hAnsi="宋体" w:eastAsia="宋体" w:cs="宋体"/>
          <w:b/>
          <w:bCs/>
          <w:color w:val="auto"/>
          <w:kern w:val="2"/>
          <w:sz w:val="24"/>
          <w:szCs w:val="24"/>
          <w:highlight w:val="none"/>
          <w:lang w:val="zh-CN" w:eastAsia="zh-CN" w:bidi="ar-SA"/>
        </w:rPr>
        <w:t>（</w:t>
      </w:r>
      <w:r>
        <w:rPr>
          <w:rFonts w:hint="eastAsia" w:ascii="宋体" w:hAnsi="宋体" w:eastAsia="宋体" w:cs="宋体"/>
          <w:b/>
          <w:bCs/>
          <w:color w:val="auto"/>
          <w:kern w:val="2"/>
          <w:sz w:val="24"/>
          <w:szCs w:val="24"/>
          <w:highlight w:val="none"/>
          <w:lang w:val="en-US" w:eastAsia="zh-CN" w:bidi="ar-SA"/>
        </w:rPr>
        <w:t>八</w:t>
      </w:r>
      <w:r>
        <w:rPr>
          <w:rFonts w:hint="eastAsia" w:ascii="宋体" w:hAnsi="宋体" w:eastAsia="宋体" w:cs="宋体"/>
          <w:b/>
          <w:bCs/>
          <w:color w:val="auto"/>
          <w:kern w:val="2"/>
          <w:sz w:val="24"/>
          <w:szCs w:val="24"/>
          <w:highlight w:val="none"/>
          <w:lang w:val="zh-CN" w:eastAsia="zh-CN" w:bidi="ar-SA"/>
        </w:rPr>
        <w:t>）</w:t>
      </w:r>
      <w:r>
        <w:rPr>
          <w:rFonts w:hint="eastAsia" w:ascii="宋体" w:hAnsi="宋体" w:eastAsia="宋体" w:cs="宋体"/>
          <w:b/>
          <w:bCs/>
          <w:color w:val="auto"/>
          <w:kern w:val="2"/>
          <w:sz w:val="24"/>
          <w:szCs w:val="24"/>
          <w:highlight w:val="none"/>
          <w:lang w:val="en-US" w:eastAsia="zh-CN" w:bidi="ar-SA"/>
        </w:rPr>
        <w:t>投标无效及</w:t>
      </w:r>
      <w:r>
        <w:rPr>
          <w:rFonts w:hint="eastAsia" w:ascii="宋体" w:hAnsi="宋体" w:eastAsia="宋体" w:cs="宋体"/>
          <w:b/>
          <w:bCs/>
          <w:color w:val="auto"/>
          <w:kern w:val="2"/>
          <w:sz w:val="24"/>
          <w:szCs w:val="24"/>
          <w:highlight w:val="none"/>
          <w:lang w:val="zh-CN" w:eastAsia="zh-CN" w:bidi="ar-SA"/>
        </w:rPr>
        <w:t>应予废标的情形</w:t>
      </w:r>
      <w:bookmarkEnd w:id="374"/>
      <w:bookmarkEnd w:id="375"/>
      <w:bookmarkEnd w:id="376"/>
      <w:bookmarkEnd w:id="377"/>
      <w:bookmarkEnd w:id="378"/>
      <w:bookmarkEnd w:id="379"/>
      <w:bookmarkEnd w:id="380"/>
      <w:bookmarkEnd w:id="381"/>
      <w:bookmarkEnd w:id="382"/>
    </w:p>
    <w:p w14:paraId="2D93D6F8">
      <w:pPr>
        <w:pStyle w:val="37"/>
        <w:keepNext w:val="0"/>
        <w:keepLines w:val="0"/>
        <w:pageBreakBefore w:val="0"/>
        <w:widowControl w:val="0"/>
        <w:kinsoku/>
        <w:wordWrap w:val="0"/>
        <w:overflowPunct/>
        <w:topLinePunct w:val="0"/>
        <w:autoSpaceDE/>
        <w:autoSpaceDN/>
        <w:bidi w:val="0"/>
        <w:adjustRightInd/>
        <w:snapToGrid/>
        <w:spacing w:line="460" w:lineRule="exact"/>
        <w:ind w:firstLine="482"/>
        <w:jc w:val="both"/>
        <w:textAlignment w:val="auto"/>
        <w:rPr>
          <w:rFonts w:hint="eastAsia"/>
          <w:color w:val="auto"/>
          <w:highlight w:val="none"/>
          <w:lang w:val="en-US" w:eastAsia="zh-CN"/>
        </w:rPr>
      </w:pPr>
      <w:r>
        <w:rPr>
          <w:rFonts w:hint="eastAsia"/>
          <w:color w:val="auto"/>
          <w:highlight w:val="none"/>
          <w:lang w:val="en-US" w:eastAsia="zh-CN"/>
        </w:rPr>
        <w:t>19.投标人存在下列情形之一的，</w:t>
      </w:r>
      <w:r>
        <w:rPr>
          <w:rFonts w:hint="eastAsia"/>
          <w:b/>
          <w:bCs/>
          <w:color w:val="auto"/>
          <w:highlight w:val="none"/>
          <w:lang w:val="en-US" w:eastAsia="zh-CN"/>
        </w:rPr>
        <w:t>投标无效</w:t>
      </w:r>
      <w:r>
        <w:rPr>
          <w:rFonts w:hint="eastAsia"/>
          <w:color w:val="auto"/>
          <w:highlight w:val="none"/>
          <w:lang w:val="en-US" w:eastAsia="zh-CN"/>
        </w:rPr>
        <w:t>：</w:t>
      </w:r>
    </w:p>
    <w:p w14:paraId="5C1B2C98">
      <w:pPr>
        <w:pStyle w:val="37"/>
        <w:keepNext w:val="0"/>
        <w:keepLines w:val="0"/>
        <w:pageBreakBefore w:val="0"/>
        <w:widowControl w:val="0"/>
        <w:kinsoku/>
        <w:wordWrap w:val="0"/>
        <w:overflowPunct/>
        <w:topLinePunct w:val="0"/>
        <w:autoSpaceDE/>
        <w:autoSpaceDN/>
        <w:bidi w:val="0"/>
        <w:adjustRightInd/>
        <w:snapToGrid/>
        <w:spacing w:line="460" w:lineRule="exact"/>
        <w:ind w:firstLine="482"/>
        <w:jc w:val="both"/>
        <w:textAlignment w:val="auto"/>
        <w:rPr>
          <w:rFonts w:hint="eastAsia"/>
          <w:color w:val="auto"/>
          <w:highlight w:val="none"/>
          <w:lang w:val="zh-CN" w:eastAsia="zh-CN"/>
        </w:rPr>
      </w:pPr>
      <w:r>
        <w:rPr>
          <w:rFonts w:hint="eastAsia"/>
          <w:color w:val="auto"/>
          <w:highlight w:val="none"/>
          <w:lang w:val="en-US" w:eastAsia="zh-CN"/>
        </w:rPr>
        <w:t>19.</w:t>
      </w:r>
      <w:r>
        <w:rPr>
          <w:rFonts w:hint="eastAsia"/>
          <w:color w:val="auto"/>
          <w:highlight w:val="none"/>
          <w:lang w:val="zh-CN" w:eastAsia="zh-CN"/>
        </w:rPr>
        <w:t>1</w:t>
      </w:r>
      <w:r>
        <w:rPr>
          <w:rFonts w:hint="eastAsia"/>
          <w:color w:val="auto"/>
          <w:highlight w:val="none"/>
          <w:lang w:val="en-US" w:eastAsia="zh-CN"/>
        </w:rPr>
        <w:t>投标人</w:t>
      </w:r>
      <w:r>
        <w:rPr>
          <w:rFonts w:hint="eastAsia"/>
          <w:color w:val="auto"/>
          <w:highlight w:val="none"/>
          <w:lang w:val="zh-CN" w:eastAsia="zh-CN"/>
        </w:rPr>
        <w:t>不具备《中华人民共和国政府采购法》第二十二条规定条件</w:t>
      </w:r>
      <w:r>
        <w:rPr>
          <w:rFonts w:hint="eastAsia"/>
          <w:color w:val="auto"/>
          <w:highlight w:val="none"/>
          <w:lang w:val="en-US" w:eastAsia="zh-CN"/>
        </w:rPr>
        <w:t>；</w:t>
      </w:r>
    </w:p>
    <w:p w14:paraId="15C939E8">
      <w:pPr>
        <w:pStyle w:val="37"/>
        <w:keepNext w:val="0"/>
        <w:keepLines w:val="0"/>
        <w:pageBreakBefore w:val="0"/>
        <w:widowControl w:val="0"/>
        <w:kinsoku/>
        <w:wordWrap w:val="0"/>
        <w:overflowPunct/>
        <w:topLinePunct w:val="0"/>
        <w:autoSpaceDE/>
        <w:autoSpaceDN/>
        <w:bidi w:val="0"/>
        <w:adjustRightInd/>
        <w:snapToGrid/>
        <w:spacing w:line="460" w:lineRule="exact"/>
        <w:ind w:firstLine="482"/>
        <w:jc w:val="both"/>
        <w:textAlignment w:val="auto"/>
        <w:rPr>
          <w:rFonts w:hint="eastAsia" w:eastAsia="宋体"/>
          <w:color w:val="auto"/>
          <w:highlight w:val="none"/>
          <w:lang w:val="en-US" w:eastAsia="zh-CN"/>
        </w:rPr>
      </w:pPr>
      <w:r>
        <w:rPr>
          <w:rFonts w:hint="eastAsia"/>
          <w:color w:val="auto"/>
          <w:highlight w:val="none"/>
          <w:lang w:val="en-US" w:eastAsia="zh-CN"/>
        </w:rPr>
        <w:t>19.</w:t>
      </w:r>
      <w:r>
        <w:rPr>
          <w:rFonts w:hint="eastAsia"/>
          <w:color w:val="auto"/>
          <w:highlight w:val="none"/>
          <w:lang w:val="zh-CN" w:eastAsia="zh-CN"/>
        </w:rPr>
        <w:t>2</w:t>
      </w:r>
      <w:r>
        <w:rPr>
          <w:rFonts w:hint="eastAsia"/>
          <w:color w:val="auto"/>
          <w:highlight w:val="none"/>
        </w:rPr>
        <w:t>投标文件未按招标文件要求签署、盖章的</w:t>
      </w:r>
      <w:r>
        <w:rPr>
          <w:rFonts w:hint="eastAsia"/>
          <w:color w:val="auto"/>
          <w:highlight w:val="none"/>
          <w:lang w:val="en-US" w:eastAsia="zh-CN"/>
        </w:rPr>
        <w:t>；</w:t>
      </w:r>
    </w:p>
    <w:p w14:paraId="0A936FC6">
      <w:pPr>
        <w:pStyle w:val="37"/>
        <w:keepNext w:val="0"/>
        <w:keepLines w:val="0"/>
        <w:pageBreakBefore w:val="0"/>
        <w:widowControl w:val="0"/>
        <w:kinsoku/>
        <w:wordWrap w:val="0"/>
        <w:overflowPunct/>
        <w:topLinePunct w:val="0"/>
        <w:autoSpaceDE/>
        <w:autoSpaceDN/>
        <w:bidi w:val="0"/>
        <w:adjustRightInd/>
        <w:snapToGrid/>
        <w:spacing w:line="460" w:lineRule="exact"/>
        <w:ind w:firstLine="482"/>
        <w:jc w:val="both"/>
        <w:textAlignment w:val="auto"/>
        <w:rPr>
          <w:rFonts w:hint="eastAsia"/>
          <w:color w:val="auto"/>
          <w:highlight w:val="none"/>
          <w:lang w:val="en-US" w:eastAsia="zh-CN"/>
        </w:rPr>
      </w:pPr>
      <w:r>
        <w:rPr>
          <w:rFonts w:hint="eastAsia"/>
          <w:color w:val="auto"/>
          <w:highlight w:val="none"/>
          <w:lang w:val="en-US" w:eastAsia="zh-CN"/>
        </w:rPr>
        <w:t>19.</w:t>
      </w:r>
      <w:r>
        <w:rPr>
          <w:rFonts w:hint="eastAsia"/>
          <w:color w:val="auto"/>
          <w:highlight w:val="none"/>
          <w:lang w:val="zh-CN" w:eastAsia="zh-CN"/>
        </w:rPr>
        <w:t>3</w:t>
      </w:r>
      <w:r>
        <w:rPr>
          <w:rFonts w:hint="eastAsia"/>
          <w:color w:val="auto"/>
          <w:highlight w:val="none"/>
          <w:lang w:val="en-US" w:eastAsia="zh-CN"/>
        </w:rPr>
        <w:t>不具备招标文件中规定的资格要求的（投标人未提供有效资格文件的，视为投标人不具备招标文件中规定的资格要求）；</w:t>
      </w:r>
    </w:p>
    <w:p w14:paraId="0C68E355">
      <w:pPr>
        <w:pStyle w:val="37"/>
        <w:keepNext w:val="0"/>
        <w:keepLines w:val="0"/>
        <w:pageBreakBefore w:val="0"/>
        <w:widowControl w:val="0"/>
        <w:kinsoku/>
        <w:wordWrap w:val="0"/>
        <w:overflowPunct/>
        <w:topLinePunct w:val="0"/>
        <w:autoSpaceDE/>
        <w:autoSpaceDN/>
        <w:bidi w:val="0"/>
        <w:adjustRightInd/>
        <w:snapToGrid/>
        <w:spacing w:line="460" w:lineRule="exact"/>
        <w:ind w:firstLine="482"/>
        <w:jc w:val="both"/>
        <w:textAlignment w:val="auto"/>
        <w:rPr>
          <w:rFonts w:hint="eastAsia"/>
          <w:color w:val="auto"/>
          <w:highlight w:val="none"/>
          <w:lang w:val="zh-CN" w:eastAsia="zh-CN"/>
        </w:rPr>
      </w:pPr>
      <w:r>
        <w:rPr>
          <w:rFonts w:hint="eastAsia"/>
          <w:color w:val="auto"/>
          <w:highlight w:val="none"/>
          <w:lang w:val="en-US" w:eastAsia="zh-CN"/>
        </w:rPr>
        <w:t>19.</w:t>
      </w:r>
      <w:r>
        <w:rPr>
          <w:rFonts w:hint="eastAsia"/>
          <w:color w:val="auto"/>
          <w:highlight w:val="none"/>
          <w:lang w:val="zh-CN" w:eastAsia="zh-CN"/>
        </w:rPr>
        <w:t>4</w:t>
      </w:r>
      <w:r>
        <w:rPr>
          <w:rFonts w:hint="eastAsia"/>
          <w:color w:val="auto"/>
          <w:highlight w:val="none"/>
          <w:lang w:val="en-US" w:eastAsia="zh-CN"/>
        </w:rPr>
        <w:t>投标</w:t>
      </w:r>
      <w:r>
        <w:rPr>
          <w:rFonts w:hint="eastAsia"/>
          <w:color w:val="auto"/>
          <w:highlight w:val="none"/>
          <w:lang w:val="zh-CN" w:eastAsia="zh-CN"/>
        </w:rPr>
        <w:t>文件提供虚假材料的</w:t>
      </w:r>
      <w:r>
        <w:rPr>
          <w:rFonts w:hint="eastAsia"/>
          <w:color w:val="auto"/>
          <w:highlight w:val="none"/>
          <w:lang w:val="en-US" w:eastAsia="zh-CN"/>
        </w:rPr>
        <w:t>；</w:t>
      </w:r>
    </w:p>
    <w:p w14:paraId="3FDAE166">
      <w:pPr>
        <w:pStyle w:val="37"/>
        <w:keepNext w:val="0"/>
        <w:keepLines w:val="0"/>
        <w:pageBreakBefore w:val="0"/>
        <w:widowControl w:val="0"/>
        <w:kinsoku/>
        <w:wordWrap w:val="0"/>
        <w:overflowPunct/>
        <w:topLinePunct w:val="0"/>
        <w:autoSpaceDE/>
        <w:autoSpaceDN/>
        <w:bidi w:val="0"/>
        <w:adjustRightInd/>
        <w:snapToGrid/>
        <w:spacing w:line="460" w:lineRule="exact"/>
        <w:ind w:firstLine="482"/>
        <w:jc w:val="both"/>
        <w:textAlignment w:val="auto"/>
        <w:rPr>
          <w:rFonts w:hint="eastAsia"/>
          <w:color w:val="auto"/>
          <w:highlight w:val="none"/>
          <w:lang w:val="zh-CN" w:eastAsia="zh-CN"/>
        </w:rPr>
      </w:pPr>
      <w:r>
        <w:rPr>
          <w:rFonts w:hint="eastAsia"/>
          <w:color w:val="auto"/>
          <w:highlight w:val="none"/>
          <w:lang w:val="en-US" w:eastAsia="zh-CN"/>
        </w:rPr>
        <w:t>19.</w:t>
      </w:r>
      <w:r>
        <w:rPr>
          <w:rFonts w:hint="eastAsia"/>
          <w:color w:val="auto"/>
          <w:highlight w:val="none"/>
          <w:lang w:val="zh-CN" w:eastAsia="zh-CN"/>
        </w:rPr>
        <w:t>5</w:t>
      </w:r>
      <w:r>
        <w:rPr>
          <w:rFonts w:hint="eastAsia"/>
          <w:color w:val="auto"/>
          <w:highlight w:val="none"/>
          <w:lang w:val="en-US" w:eastAsia="zh-CN"/>
        </w:rPr>
        <w:t>投标</w:t>
      </w:r>
      <w:r>
        <w:rPr>
          <w:rFonts w:hint="eastAsia"/>
          <w:color w:val="auto"/>
          <w:highlight w:val="none"/>
          <w:lang w:val="zh-CN" w:eastAsia="zh-CN"/>
        </w:rPr>
        <w:t>文件不满足</w:t>
      </w:r>
      <w:r>
        <w:rPr>
          <w:rFonts w:hint="eastAsia"/>
          <w:color w:val="auto"/>
          <w:highlight w:val="none"/>
          <w:lang w:val="en-US" w:eastAsia="zh-CN"/>
        </w:rPr>
        <w:t>招标</w:t>
      </w:r>
      <w:r>
        <w:rPr>
          <w:rFonts w:hint="eastAsia"/>
          <w:color w:val="auto"/>
          <w:highlight w:val="none"/>
          <w:lang w:val="zh-CN" w:eastAsia="zh-CN"/>
        </w:rPr>
        <w:t>文件中标注“★”号的实质性条款（或指标）要求的</w:t>
      </w:r>
      <w:r>
        <w:rPr>
          <w:rFonts w:hint="eastAsia"/>
          <w:color w:val="auto"/>
          <w:highlight w:val="none"/>
          <w:lang w:val="en-US" w:eastAsia="zh-CN"/>
        </w:rPr>
        <w:t>；</w:t>
      </w:r>
    </w:p>
    <w:p w14:paraId="2C5FC304">
      <w:pPr>
        <w:pStyle w:val="37"/>
        <w:keepNext w:val="0"/>
        <w:keepLines w:val="0"/>
        <w:pageBreakBefore w:val="0"/>
        <w:widowControl w:val="0"/>
        <w:kinsoku/>
        <w:wordWrap w:val="0"/>
        <w:overflowPunct/>
        <w:topLinePunct w:val="0"/>
        <w:autoSpaceDE/>
        <w:autoSpaceDN/>
        <w:bidi w:val="0"/>
        <w:adjustRightInd/>
        <w:snapToGrid/>
        <w:spacing w:line="460" w:lineRule="exact"/>
        <w:ind w:firstLine="482"/>
        <w:jc w:val="both"/>
        <w:textAlignment w:val="auto"/>
        <w:rPr>
          <w:rFonts w:hint="eastAsia"/>
          <w:color w:val="auto"/>
          <w:highlight w:val="none"/>
          <w:lang w:val="en-US" w:eastAsia="zh-CN"/>
        </w:rPr>
      </w:pPr>
      <w:r>
        <w:rPr>
          <w:rFonts w:hint="eastAsia"/>
          <w:color w:val="auto"/>
          <w:highlight w:val="none"/>
          <w:lang w:val="en-US" w:eastAsia="zh-CN"/>
        </w:rPr>
        <w:t>19.</w:t>
      </w:r>
      <w:r>
        <w:rPr>
          <w:rFonts w:hint="eastAsia"/>
          <w:color w:val="auto"/>
          <w:highlight w:val="none"/>
          <w:lang w:val="zh-CN" w:eastAsia="zh-CN"/>
        </w:rPr>
        <w:t>6</w:t>
      </w:r>
      <w:r>
        <w:rPr>
          <w:rFonts w:hint="eastAsia"/>
          <w:color w:val="auto"/>
          <w:highlight w:val="none"/>
          <w:lang w:val="en-US" w:eastAsia="zh-CN"/>
        </w:rPr>
        <w:t>投标人</w:t>
      </w:r>
      <w:r>
        <w:rPr>
          <w:rFonts w:hint="eastAsia"/>
          <w:color w:val="auto"/>
          <w:highlight w:val="none"/>
          <w:lang w:val="zh-CN" w:eastAsia="zh-CN"/>
        </w:rPr>
        <w:t>报价超过招标文件中规定的</w:t>
      </w:r>
      <w:r>
        <w:rPr>
          <w:rFonts w:hint="eastAsia" w:ascii="宋体" w:hAnsi="宋体" w:eastAsia="宋体"/>
          <w:color w:val="auto"/>
          <w:highlight w:val="none"/>
          <w:lang w:val="en-US" w:eastAsia="zh-CN"/>
        </w:rPr>
        <w:t>最高限价或者预算金额</w:t>
      </w:r>
      <w:r>
        <w:rPr>
          <w:rFonts w:hint="eastAsia"/>
          <w:color w:val="auto"/>
          <w:highlight w:val="none"/>
          <w:lang w:val="zh-CN" w:eastAsia="zh-CN"/>
        </w:rPr>
        <w:t>的</w:t>
      </w:r>
      <w:r>
        <w:rPr>
          <w:rFonts w:hint="eastAsia"/>
          <w:color w:val="auto"/>
          <w:highlight w:val="none"/>
          <w:lang w:val="en-US" w:eastAsia="zh-CN"/>
        </w:rPr>
        <w:t>；</w:t>
      </w:r>
    </w:p>
    <w:p w14:paraId="6FC2A54F">
      <w:pPr>
        <w:pStyle w:val="37"/>
        <w:keepNext w:val="0"/>
        <w:keepLines w:val="0"/>
        <w:pageBreakBefore w:val="0"/>
        <w:widowControl w:val="0"/>
        <w:kinsoku/>
        <w:wordWrap w:val="0"/>
        <w:overflowPunct/>
        <w:topLinePunct w:val="0"/>
        <w:autoSpaceDE/>
        <w:autoSpaceDN/>
        <w:bidi w:val="0"/>
        <w:adjustRightInd/>
        <w:snapToGrid/>
        <w:spacing w:line="460" w:lineRule="exact"/>
        <w:ind w:firstLine="482"/>
        <w:jc w:val="both"/>
        <w:textAlignment w:val="auto"/>
        <w:rPr>
          <w:rFonts w:hint="eastAsia"/>
          <w:color w:val="auto"/>
          <w:highlight w:val="none"/>
          <w:lang w:val="zh-CN" w:eastAsia="zh-CN"/>
        </w:rPr>
      </w:pPr>
      <w:r>
        <w:rPr>
          <w:rFonts w:hint="eastAsia"/>
          <w:color w:val="auto"/>
          <w:highlight w:val="none"/>
          <w:lang w:val="en-US" w:eastAsia="zh-CN"/>
        </w:rPr>
        <w:t>19.</w:t>
      </w:r>
      <w:r>
        <w:rPr>
          <w:rFonts w:hint="eastAsia"/>
          <w:color w:val="auto"/>
          <w:highlight w:val="none"/>
          <w:lang w:val="zh-CN" w:eastAsia="zh-CN"/>
        </w:rPr>
        <w:t>7联合体的供应商未提交各方共同签署的</w:t>
      </w:r>
      <w:r>
        <w:rPr>
          <w:rFonts w:hint="eastAsia"/>
          <w:color w:val="auto"/>
          <w:highlight w:val="none"/>
          <w:lang w:val="en-US" w:eastAsia="zh-CN"/>
        </w:rPr>
        <w:t>联合体</w:t>
      </w:r>
      <w:r>
        <w:rPr>
          <w:rFonts w:hint="eastAsia"/>
          <w:color w:val="auto"/>
          <w:highlight w:val="none"/>
          <w:lang w:val="zh-CN" w:eastAsia="zh-CN"/>
        </w:rPr>
        <w:t>协议</w:t>
      </w:r>
      <w:r>
        <w:rPr>
          <w:rFonts w:hint="eastAsia"/>
          <w:color w:val="auto"/>
          <w:highlight w:val="none"/>
          <w:lang w:val="en-US" w:eastAsia="zh-CN"/>
        </w:rPr>
        <w:t>的；</w:t>
      </w:r>
    </w:p>
    <w:p w14:paraId="4D1E7850">
      <w:pPr>
        <w:pStyle w:val="37"/>
        <w:keepNext w:val="0"/>
        <w:keepLines w:val="0"/>
        <w:pageBreakBefore w:val="0"/>
        <w:widowControl w:val="0"/>
        <w:kinsoku/>
        <w:wordWrap w:val="0"/>
        <w:overflowPunct/>
        <w:topLinePunct w:val="0"/>
        <w:autoSpaceDE/>
        <w:autoSpaceDN/>
        <w:bidi w:val="0"/>
        <w:adjustRightInd/>
        <w:snapToGrid/>
        <w:spacing w:line="460" w:lineRule="exact"/>
        <w:ind w:firstLine="482"/>
        <w:jc w:val="both"/>
        <w:textAlignment w:val="auto"/>
        <w:rPr>
          <w:rFonts w:hint="eastAsia"/>
          <w:color w:val="auto"/>
          <w:highlight w:val="none"/>
          <w:lang w:val="zh-CN" w:eastAsia="zh-CN"/>
        </w:rPr>
      </w:pPr>
      <w:r>
        <w:rPr>
          <w:rFonts w:hint="eastAsia"/>
          <w:color w:val="auto"/>
          <w:highlight w:val="none"/>
          <w:lang w:val="en-US" w:eastAsia="zh-CN"/>
        </w:rPr>
        <w:t>19.</w:t>
      </w:r>
      <w:r>
        <w:rPr>
          <w:rFonts w:hint="eastAsia"/>
          <w:color w:val="auto"/>
          <w:highlight w:val="none"/>
          <w:lang w:val="zh-CN" w:eastAsia="zh-CN"/>
        </w:rPr>
        <w:t>8</w:t>
      </w:r>
      <w:r>
        <w:rPr>
          <w:rFonts w:hint="eastAsia"/>
          <w:color w:val="auto"/>
          <w:highlight w:val="none"/>
          <w:lang w:val="en-US" w:eastAsia="zh-CN"/>
        </w:rPr>
        <w:t>投标人</w:t>
      </w:r>
      <w:r>
        <w:rPr>
          <w:rFonts w:hint="eastAsia"/>
          <w:color w:val="auto"/>
          <w:highlight w:val="none"/>
          <w:lang w:val="zh-CN" w:eastAsia="zh-CN"/>
        </w:rPr>
        <w:t>未按</w:t>
      </w:r>
      <w:r>
        <w:rPr>
          <w:rFonts w:hint="eastAsia"/>
          <w:color w:val="auto"/>
          <w:highlight w:val="none"/>
          <w:lang w:val="en-US" w:eastAsia="zh-CN"/>
        </w:rPr>
        <w:t>招标</w:t>
      </w:r>
      <w:r>
        <w:rPr>
          <w:rFonts w:hint="eastAsia"/>
          <w:color w:val="auto"/>
          <w:highlight w:val="none"/>
          <w:lang w:val="zh-CN" w:eastAsia="zh-CN"/>
        </w:rPr>
        <w:t>文件</w:t>
      </w:r>
      <w:r>
        <w:rPr>
          <w:rFonts w:hint="eastAsia"/>
          <w:color w:val="auto"/>
          <w:highlight w:val="none"/>
          <w:lang w:val="en-US" w:eastAsia="zh-CN"/>
        </w:rPr>
        <w:t>的规定</w:t>
      </w:r>
      <w:r>
        <w:rPr>
          <w:rFonts w:hint="eastAsia"/>
          <w:color w:val="auto"/>
          <w:highlight w:val="none"/>
          <w:lang w:val="zh-CN" w:eastAsia="zh-CN"/>
        </w:rPr>
        <w:t>交纳投标保证金</w:t>
      </w:r>
      <w:r>
        <w:rPr>
          <w:rFonts w:hint="eastAsia"/>
          <w:color w:val="auto"/>
          <w:highlight w:val="none"/>
          <w:lang w:val="en-US" w:eastAsia="zh-CN"/>
        </w:rPr>
        <w:t>的；</w:t>
      </w:r>
    </w:p>
    <w:p w14:paraId="149A35CB">
      <w:pPr>
        <w:pStyle w:val="37"/>
        <w:keepNext w:val="0"/>
        <w:keepLines w:val="0"/>
        <w:pageBreakBefore w:val="0"/>
        <w:widowControl w:val="0"/>
        <w:kinsoku/>
        <w:wordWrap w:val="0"/>
        <w:overflowPunct/>
        <w:topLinePunct w:val="0"/>
        <w:autoSpaceDE/>
        <w:autoSpaceDN/>
        <w:bidi w:val="0"/>
        <w:adjustRightInd/>
        <w:snapToGrid/>
        <w:spacing w:line="460" w:lineRule="exact"/>
        <w:ind w:firstLine="482"/>
        <w:jc w:val="both"/>
        <w:textAlignment w:val="auto"/>
        <w:rPr>
          <w:rFonts w:hint="eastAsia"/>
          <w:color w:val="auto"/>
          <w:highlight w:val="none"/>
          <w:lang w:val="zh-CN" w:eastAsia="zh-CN"/>
        </w:rPr>
      </w:pPr>
      <w:r>
        <w:rPr>
          <w:rFonts w:hint="eastAsia"/>
          <w:color w:val="auto"/>
          <w:highlight w:val="none"/>
          <w:lang w:val="en-US" w:eastAsia="zh-CN"/>
        </w:rPr>
        <w:t>19.</w:t>
      </w:r>
      <w:r>
        <w:rPr>
          <w:rFonts w:hint="eastAsia"/>
          <w:color w:val="auto"/>
          <w:highlight w:val="none"/>
          <w:lang w:val="zh-CN" w:eastAsia="zh-CN"/>
        </w:rPr>
        <w:t>9评审期间,</w:t>
      </w:r>
      <w:r>
        <w:rPr>
          <w:rFonts w:hint="eastAsia"/>
          <w:color w:val="auto"/>
          <w:highlight w:val="none"/>
          <w:lang w:val="en-US" w:eastAsia="zh-CN"/>
        </w:rPr>
        <w:t>投标人</w:t>
      </w:r>
      <w:r>
        <w:rPr>
          <w:rFonts w:hint="eastAsia"/>
          <w:color w:val="auto"/>
          <w:highlight w:val="none"/>
          <w:lang w:val="zh-CN" w:eastAsia="zh-CN"/>
        </w:rPr>
        <w:t>没有按评标委员会的要求提交经授权代表签字的澄清、说明、补正或改变了</w:t>
      </w:r>
      <w:r>
        <w:rPr>
          <w:rFonts w:hint="eastAsia"/>
          <w:color w:val="auto"/>
          <w:highlight w:val="none"/>
          <w:lang w:val="en-US" w:eastAsia="zh-CN"/>
        </w:rPr>
        <w:t>投标</w:t>
      </w:r>
      <w:r>
        <w:rPr>
          <w:rFonts w:hint="eastAsia"/>
          <w:color w:val="auto"/>
          <w:highlight w:val="none"/>
          <w:lang w:val="zh-CN" w:eastAsia="zh-CN"/>
        </w:rPr>
        <w:t>文件的实质性内容</w:t>
      </w:r>
      <w:r>
        <w:rPr>
          <w:rFonts w:hint="eastAsia"/>
          <w:color w:val="auto"/>
          <w:highlight w:val="none"/>
          <w:lang w:val="en-US" w:eastAsia="zh-CN"/>
        </w:rPr>
        <w:t>的；</w:t>
      </w:r>
    </w:p>
    <w:p w14:paraId="19EFB935">
      <w:pPr>
        <w:pStyle w:val="37"/>
        <w:keepNext w:val="0"/>
        <w:keepLines w:val="0"/>
        <w:pageBreakBefore w:val="0"/>
        <w:widowControl w:val="0"/>
        <w:kinsoku/>
        <w:wordWrap w:val="0"/>
        <w:overflowPunct/>
        <w:topLinePunct w:val="0"/>
        <w:autoSpaceDE/>
        <w:autoSpaceDN/>
        <w:bidi w:val="0"/>
        <w:adjustRightInd/>
        <w:snapToGrid/>
        <w:spacing w:line="460" w:lineRule="exact"/>
        <w:ind w:firstLine="482"/>
        <w:jc w:val="both"/>
        <w:textAlignment w:val="auto"/>
        <w:rPr>
          <w:rFonts w:hint="eastAsia"/>
          <w:color w:val="auto"/>
          <w:highlight w:val="none"/>
          <w:lang w:val="en-US" w:eastAsia="zh-CN"/>
        </w:rPr>
      </w:pPr>
      <w:r>
        <w:rPr>
          <w:rFonts w:hint="eastAsia"/>
          <w:color w:val="auto"/>
          <w:highlight w:val="none"/>
          <w:lang w:val="en-US" w:eastAsia="zh-CN"/>
        </w:rPr>
        <w:t>19.</w:t>
      </w:r>
      <w:r>
        <w:rPr>
          <w:rFonts w:hint="eastAsia"/>
          <w:color w:val="auto"/>
          <w:highlight w:val="none"/>
          <w:lang w:val="zh-CN" w:eastAsia="zh-CN"/>
        </w:rPr>
        <w:t>10</w:t>
      </w:r>
      <w:r>
        <w:rPr>
          <w:rFonts w:hint="eastAsia"/>
          <w:color w:val="auto"/>
          <w:highlight w:val="none"/>
          <w:lang w:val="en-US" w:eastAsia="zh-CN"/>
        </w:rPr>
        <w:t>投标人</w:t>
      </w:r>
      <w:r>
        <w:rPr>
          <w:rFonts w:hint="eastAsia"/>
          <w:color w:val="auto"/>
          <w:highlight w:val="none"/>
          <w:lang w:val="zh-CN" w:eastAsia="zh-CN"/>
        </w:rPr>
        <w:t>对采购人、采购代理机构、评标委员会及其工作人员施加影响,有碍公平、公正</w:t>
      </w:r>
      <w:r>
        <w:rPr>
          <w:rFonts w:hint="eastAsia"/>
          <w:color w:val="auto"/>
          <w:highlight w:val="none"/>
          <w:lang w:val="en-US" w:eastAsia="zh-CN"/>
        </w:rPr>
        <w:t>的；</w:t>
      </w:r>
    </w:p>
    <w:p w14:paraId="3A6B2386">
      <w:pPr>
        <w:pStyle w:val="37"/>
        <w:keepNext w:val="0"/>
        <w:keepLines w:val="0"/>
        <w:pageBreakBefore w:val="0"/>
        <w:widowControl w:val="0"/>
        <w:kinsoku/>
        <w:wordWrap w:val="0"/>
        <w:overflowPunct/>
        <w:topLinePunct w:val="0"/>
        <w:autoSpaceDE/>
        <w:autoSpaceDN/>
        <w:bidi w:val="0"/>
        <w:adjustRightInd/>
        <w:snapToGrid/>
        <w:spacing w:line="460" w:lineRule="exact"/>
        <w:ind w:firstLine="482"/>
        <w:jc w:val="both"/>
        <w:textAlignment w:val="auto"/>
        <w:rPr>
          <w:rFonts w:hint="default"/>
          <w:color w:val="auto"/>
          <w:highlight w:val="none"/>
          <w:lang w:val="en-US" w:eastAsia="zh-CN"/>
        </w:rPr>
      </w:pPr>
      <w:r>
        <w:rPr>
          <w:rFonts w:hint="eastAsia"/>
          <w:color w:val="auto"/>
          <w:highlight w:val="none"/>
          <w:lang w:val="en-US" w:eastAsia="zh-CN"/>
        </w:rPr>
        <w:t>19.11投标文件含有采购人不能接受的附加条件的；</w:t>
      </w:r>
    </w:p>
    <w:p w14:paraId="3764E979">
      <w:pPr>
        <w:pStyle w:val="37"/>
        <w:keepNext w:val="0"/>
        <w:keepLines w:val="0"/>
        <w:pageBreakBefore w:val="0"/>
        <w:widowControl w:val="0"/>
        <w:kinsoku/>
        <w:wordWrap w:val="0"/>
        <w:overflowPunct/>
        <w:topLinePunct w:val="0"/>
        <w:autoSpaceDE/>
        <w:autoSpaceDN/>
        <w:bidi w:val="0"/>
        <w:adjustRightInd/>
        <w:snapToGrid/>
        <w:spacing w:line="460" w:lineRule="exact"/>
        <w:ind w:firstLine="482"/>
        <w:jc w:val="both"/>
        <w:textAlignment w:val="auto"/>
        <w:rPr>
          <w:rFonts w:hint="eastAsia"/>
          <w:color w:val="auto"/>
          <w:highlight w:val="none"/>
          <w:lang w:val="en-US" w:eastAsia="zh-CN"/>
        </w:rPr>
      </w:pPr>
      <w:r>
        <w:rPr>
          <w:rFonts w:hint="eastAsia"/>
          <w:color w:val="auto"/>
          <w:highlight w:val="none"/>
          <w:lang w:val="en-US" w:eastAsia="zh-CN"/>
        </w:rPr>
        <w:t>19.</w:t>
      </w:r>
      <w:r>
        <w:rPr>
          <w:rFonts w:hint="eastAsia"/>
          <w:color w:val="auto"/>
          <w:highlight w:val="none"/>
          <w:lang w:val="zh-CN" w:eastAsia="zh-CN"/>
        </w:rPr>
        <w:t>1</w:t>
      </w:r>
      <w:r>
        <w:rPr>
          <w:rFonts w:hint="eastAsia"/>
          <w:color w:val="auto"/>
          <w:highlight w:val="none"/>
          <w:lang w:val="en-US" w:eastAsia="zh-CN"/>
        </w:rPr>
        <w:t>2</w:t>
      </w:r>
      <w:r>
        <w:rPr>
          <w:rFonts w:hint="eastAsia"/>
          <w:color w:val="auto"/>
          <w:highlight w:val="none"/>
          <w:lang w:val="zh-CN" w:eastAsia="zh-CN"/>
        </w:rPr>
        <w:t>法律、法规、规章规定属于</w:t>
      </w:r>
      <w:r>
        <w:rPr>
          <w:rFonts w:hint="eastAsia"/>
          <w:color w:val="auto"/>
          <w:highlight w:val="none"/>
          <w:lang w:val="en-US" w:eastAsia="zh-CN"/>
        </w:rPr>
        <w:t>投标</w:t>
      </w:r>
      <w:r>
        <w:rPr>
          <w:rFonts w:hint="eastAsia"/>
          <w:color w:val="auto"/>
          <w:highlight w:val="none"/>
          <w:lang w:val="zh-CN" w:eastAsia="zh-CN"/>
        </w:rPr>
        <w:t>无效的其他情形。</w:t>
      </w:r>
    </w:p>
    <w:p w14:paraId="601D7976">
      <w:pPr>
        <w:pStyle w:val="37"/>
        <w:keepNext w:val="0"/>
        <w:keepLines w:val="0"/>
        <w:pageBreakBefore w:val="0"/>
        <w:widowControl w:val="0"/>
        <w:kinsoku/>
        <w:wordWrap w:val="0"/>
        <w:overflowPunct/>
        <w:topLinePunct w:val="0"/>
        <w:autoSpaceDE/>
        <w:autoSpaceDN/>
        <w:bidi w:val="0"/>
        <w:adjustRightInd/>
        <w:snapToGrid/>
        <w:spacing w:line="460" w:lineRule="exact"/>
        <w:ind w:firstLine="482"/>
        <w:jc w:val="both"/>
        <w:textAlignment w:val="auto"/>
        <w:rPr>
          <w:rFonts w:hint="eastAsia"/>
          <w:color w:val="auto"/>
          <w:highlight w:val="none"/>
          <w:lang w:val="en-US" w:eastAsia="zh-CN"/>
        </w:rPr>
      </w:pPr>
      <w:r>
        <w:rPr>
          <w:rFonts w:hint="eastAsia"/>
          <w:color w:val="auto"/>
          <w:highlight w:val="none"/>
          <w:lang w:val="en-US" w:eastAsia="zh-CN"/>
        </w:rPr>
        <w:t>20.有下列情形之一的，视为投标人串通投标，其</w:t>
      </w:r>
      <w:r>
        <w:rPr>
          <w:rFonts w:hint="eastAsia"/>
          <w:b/>
          <w:bCs/>
          <w:color w:val="auto"/>
          <w:highlight w:val="none"/>
          <w:lang w:val="en-US" w:eastAsia="zh-CN"/>
        </w:rPr>
        <w:t>投标无效</w:t>
      </w:r>
      <w:r>
        <w:rPr>
          <w:rFonts w:hint="eastAsia"/>
          <w:color w:val="auto"/>
          <w:highlight w:val="none"/>
          <w:lang w:val="en-US" w:eastAsia="zh-CN"/>
        </w:rPr>
        <w:t>：</w:t>
      </w:r>
    </w:p>
    <w:p w14:paraId="0BD50610">
      <w:pPr>
        <w:pStyle w:val="37"/>
        <w:keepNext w:val="0"/>
        <w:keepLines w:val="0"/>
        <w:pageBreakBefore w:val="0"/>
        <w:widowControl w:val="0"/>
        <w:kinsoku/>
        <w:wordWrap w:val="0"/>
        <w:overflowPunct/>
        <w:topLinePunct w:val="0"/>
        <w:autoSpaceDE/>
        <w:autoSpaceDN/>
        <w:bidi w:val="0"/>
        <w:adjustRightInd/>
        <w:snapToGrid/>
        <w:spacing w:line="460" w:lineRule="exact"/>
        <w:ind w:firstLine="482"/>
        <w:jc w:val="both"/>
        <w:textAlignment w:val="auto"/>
        <w:rPr>
          <w:rFonts w:hint="eastAsia"/>
          <w:color w:val="auto"/>
          <w:highlight w:val="none"/>
          <w:lang w:val="en-US" w:eastAsia="zh-CN"/>
        </w:rPr>
      </w:pPr>
      <w:r>
        <w:rPr>
          <w:rFonts w:hint="eastAsia"/>
          <w:color w:val="auto"/>
          <w:highlight w:val="none"/>
          <w:lang w:val="en-US" w:eastAsia="zh-CN"/>
        </w:rPr>
        <w:t>20.1不同投标人的投标文件由同一单位或者个人编制；</w:t>
      </w:r>
    </w:p>
    <w:p w14:paraId="31815558">
      <w:pPr>
        <w:pStyle w:val="37"/>
        <w:keepNext w:val="0"/>
        <w:keepLines w:val="0"/>
        <w:pageBreakBefore w:val="0"/>
        <w:widowControl w:val="0"/>
        <w:kinsoku/>
        <w:wordWrap w:val="0"/>
        <w:overflowPunct/>
        <w:topLinePunct w:val="0"/>
        <w:autoSpaceDE/>
        <w:autoSpaceDN/>
        <w:bidi w:val="0"/>
        <w:adjustRightInd/>
        <w:snapToGrid/>
        <w:spacing w:line="460" w:lineRule="exact"/>
        <w:ind w:firstLine="482"/>
        <w:jc w:val="both"/>
        <w:textAlignment w:val="auto"/>
        <w:rPr>
          <w:rFonts w:hint="eastAsia"/>
          <w:color w:val="auto"/>
          <w:highlight w:val="none"/>
          <w:lang w:val="en-US" w:eastAsia="zh-CN"/>
        </w:rPr>
      </w:pPr>
      <w:r>
        <w:rPr>
          <w:rFonts w:hint="eastAsia"/>
          <w:color w:val="auto"/>
          <w:highlight w:val="none"/>
          <w:lang w:val="en-US" w:eastAsia="zh-CN"/>
        </w:rPr>
        <w:t>20.2不同投标人委托同一单位或者个人办理投标事宜；</w:t>
      </w:r>
    </w:p>
    <w:p w14:paraId="3AD20378">
      <w:pPr>
        <w:pStyle w:val="37"/>
        <w:keepNext w:val="0"/>
        <w:keepLines w:val="0"/>
        <w:pageBreakBefore w:val="0"/>
        <w:widowControl w:val="0"/>
        <w:kinsoku/>
        <w:wordWrap w:val="0"/>
        <w:overflowPunct/>
        <w:topLinePunct w:val="0"/>
        <w:autoSpaceDE/>
        <w:autoSpaceDN/>
        <w:bidi w:val="0"/>
        <w:adjustRightInd/>
        <w:snapToGrid/>
        <w:spacing w:line="460" w:lineRule="exact"/>
        <w:ind w:firstLine="482"/>
        <w:jc w:val="both"/>
        <w:textAlignment w:val="auto"/>
        <w:rPr>
          <w:rFonts w:hint="eastAsia"/>
          <w:color w:val="auto"/>
          <w:highlight w:val="none"/>
          <w:lang w:val="en-US" w:eastAsia="zh-CN"/>
        </w:rPr>
      </w:pPr>
      <w:r>
        <w:rPr>
          <w:rFonts w:hint="eastAsia"/>
          <w:color w:val="auto"/>
          <w:highlight w:val="none"/>
          <w:lang w:val="en-US" w:eastAsia="zh-CN"/>
        </w:rPr>
        <w:t>20.3不同投标人的投标文件载明的项目管理成员或者联系人员为同一人；</w:t>
      </w:r>
    </w:p>
    <w:p w14:paraId="3F168EA2">
      <w:pPr>
        <w:pStyle w:val="37"/>
        <w:keepNext w:val="0"/>
        <w:keepLines w:val="0"/>
        <w:pageBreakBefore w:val="0"/>
        <w:widowControl w:val="0"/>
        <w:kinsoku/>
        <w:wordWrap w:val="0"/>
        <w:overflowPunct/>
        <w:topLinePunct w:val="0"/>
        <w:autoSpaceDE/>
        <w:autoSpaceDN/>
        <w:bidi w:val="0"/>
        <w:adjustRightInd/>
        <w:snapToGrid/>
        <w:spacing w:line="460" w:lineRule="exact"/>
        <w:ind w:firstLine="482"/>
        <w:jc w:val="both"/>
        <w:textAlignment w:val="auto"/>
        <w:rPr>
          <w:rFonts w:hint="eastAsia"/>
          <w:color w:val="auto"/>
          <w:highlight w:val="none"/>
          <w:lang w:val="en-US" w:eastAsia="zh-CN"/>
        </w:rPr>
      </w:pPr>
      <w:r>
        <w:rPr>
          <w:rFonts w:hint="eastAsia"/>
          <w:color w:val="auto"/>
          <w:highlight w:val="none"/>
          <w:lang w:val="en-US" w:eastAsia="zh-CN"/>
        </w:rPr>
        <w:t>20.4不同投标人的投标文件异常一致或者投标报价呈规律性差异；</w:t>
      </w:r>
    </w:p>
    <w:p w14:paraId="634E7939">
      <w:pPr>
        <w:pStyle w:val="37"/>
        <w:keepNext w:val="0"/>
        <w:keepLines w:val="0"/>
        <w:pageBreakBefore w:val="0"/>
        <w:widowControl w:val="0"/>
        <w:kinsoku/>
        <w:wordWrap w:val="0"/>
        <w:overflowPunct/>
        <w:topLinePunct w:val="0"/>
        <w:autoSpaceDE/>
        <w:autoSpaceDN/>
        <w:bidi w:val="0"/>
        <w:adjustRightInd/>
        <w:snapToGrid/>
        <w:spacing w:line="460" w:lineRule="exact"/>
        <w:ind w:firstLine="482"/>
        <w:jc w:val="both"/>
        <w:textAlignment w:val="auto"/>
        <w:rPr>
          <w:rFonts w:hint="eastAsia"/>
          <w:color w:val="auto"/>
          <w:highlight w:val="none"/>
          <w:lang w:val="en-US" w:eastAsia="zh-CN"/>
        </w:rPr>
      </w:pPr>
      <w:r>
        <w:rPr>
          <w:rFonts w:hint="eastAsia"/>
          <w:color w:val="auto"/>
          <w:highlight w:val="none"/>
          <w:lang w:val="en-US" w:eastAsia="zh-CN"/>
        </w:rPr>
        <w:t>20.5不同投标人的投标文件相互混装；</w:t>
      </w:r>
    </w:p>
    <w:p w14:paraId="3B078CE3">
      <w:pPr>
        <w:pStyle w:val="37"/>
        <w:keepNext w:val="0"/>
        <w:keepLines w:val="0"/>
        <w:pageBreakBefore w:val="0"/>
        <w:widowControl w:val="0"/>
        <w:kinsoku/>
        <w:wordWrap w:val="0"/>
        <w:overflowPunct/>
        <w:topLinePunct w:val="0"/>
        <w:autoSpaceDE/>
        <w:autoSpaceDN/>
        <w:bidi w:val="0"/>
        <w:adjustRightInd/>
        <w:snapToGrid/>
        <w:spacing w:line="460" w:lineRule="exact"/>
        <w:ind w:firstLine="482"/>
        <w:jc w:val="both"/>
        <w:textAlignment w:val="auto"/>
        <w:rPr>
          <w:rFonts w:hint="eastAsia"/>
          <w:color w:val="auto"/>
          <w:highlight w:val="none"/>
          <w:lang w:val="en-US" w:eastAsia="zh-CN"/>
        </w:rPr>
      </w:pPr>
      <w:r>
        <w:rPr>
          <w:rFonts w:hint="eastAsia"/>
          <w:color w:val="auto"/>
          <w:highlight w:val="none"/>
          <w:lang w:val="en-US" w:eastAsia="zh-CN"/>
        </w:rPr>
        <w:t>20.6不同投标人的投标保证金从同一单位或者个人的账户转出；</w:t>
      </w:r>
    </w:p>
    <w:p w14:paraId="1C3AF755">
      <w:pPr>
        <w:pStyle w:val="37"/>
        <w:keepNext w:val="0"/>
        <w:keepLines w:val="0"/>
        <w:pageBreakBefore w:val="0"/>
        <w:widowControl w:val="0"/>
        <w:kinsoku/>
        <w:wordWrap w:val="0"/>
        <w:overflowPunct/>
        <w:topLinePunct w:val="0"/>
        <w:autoSpaceDE/>
        <w:autoSpaceDN/>
        <w:bidi w:val="0"/>
        <w:adjustRightInd/>
        <w:snapToGrid/>
        <w:spacing w:line="460" w:lineRule="exact"/>
        <w:ind w:firstLine="482"/>
        <w:jc w:val="both"/>
        <w:textAlignment w:val="auto"/>
        <w:rPr>
          <w:rFonts w:hint="eastAsia"/>
          <w:color w:val="auto"/>
          <w:highlight w:val="none"/>
          <w:lang w:val="en-US" w:eastAsia="zh-CN"/>
        </w:rPr>
      </w:pPr>
      <w:r>
        <w:rPr>
          <w:rFonts w:hint="eastAsia"/>
          <w:color w:val="auto"/>
          <w:highlight w:val="none"/>
          <w:lang w:val="en-US" w:eastAsia="zh-CN"/>
        </w:rPr>
        <w:t>20.7</w:t>
      </w:r>
      <w:r>
        <w:rPr>
          <w:rFonts w:hint="eastAsia"/>
          <w:color w:val="auto"/>
          <w:highlight w:val="none"/>
          <w:lang w:val="zh-CN" w:eastAsia="zh-CN"/>
        </w:rPr>
        <w:t>不同投标人使用同一电脑（机器特征值一致：如MAC地址等）或使用同一电子密钥，编制或上传电子投标文件</w:t>
      </w:r>
      <w:r>
        <w:rPr>
          <w:rFonts w:hint="eastAsia"/>
          <w:color w:val="auto"/>
          <w:highlight w:val="none"/>
          <w:lang w:val="en-US" w:eastAsia="zh-CN"/>
        </w:rPr>
        <w:t>；</w:t>
      </w:r>
    </w:p>
    <w:p w14:paraId="0641DF48">
      <w:pPr>
        <w:pStyle w:val="37"/>
        <w:keepNext w:val="0"/>
        <w:keepLines w:val="0"/>
        <w:pageBreakBefore w:val="0"/>
        <w:widowControl w:val="0"/>
        <w:kinsoku/>
        <w:wordWrap w:val="0"/>
        <w:overflowPunct/>
        <w:topLinePunct w:val="0"/>
        <w:autoSpaceDE/>
        <w:autoSpaceDN/>
        <w:bidi w:val="0"/>
        <w:adjustRightInd/>
        <w:snapToGrid/>
        <w:spacing w:line="460" w:lineRule="exact"/>
        <w:ind w:firstLine="482"/>
        <w:jc w:val="both"/>
        <w:textAlignment w:val="auto"/>
        <w:rPr>
          <w:rFonts w:hint="default" w:eastAsia="宋体"/>
          <w:color w:val="auto"/>
          <w:highlight w:val="none"/>
          <w:lang w:val="en-US" w:eastAsia="zh-CN"/>
        </w:rPr>
      </w:pPr>
      <w:r>
        <w:rPr>
          <w:rFonts w:hint="eastAsia"/>
          <w:color w:val="auto"/>
          <w:highlight w:val="none"/>
          <w:lang w:val="en-US" w:eastAsia="zh-CN"/>
        </w:rPr>
        <w:t>20.8法律、法规、规章规定属于投标人串通投标的其他情形</w:t>
      </w:r>
      <w:r>
        <w:rPr>
          <w:rFonts w:hint="eastAsia"/>
          <w:color w:val="auto"/>
          <w:highlight w:val="none"/>
          <w:lang w:val="zh-CN" w:eastAsia="zh-CN"/>
        </w:rPr>
        <w:t>。</w:t>
      </w:r>
    </w:p>
    <w:p w14:paraId="737FAF06">
      <w:pPr>
        <w:pStyle w:val="37"/>
        <w:keepNext w:val="0"/>
        <w:keepLines w:val="0"/>
        <w:pageBreakBefore w:val="0"/>
        <w:widowControl w:val="0"/>
        <w:kinsoku/>
        <w:wordWrap w:val="0"/>
        <w:overflowPunct/>
        <w:topLinePunct w:val="0"/>
        <w:autoSpaceDE/>
        <w:autoSpaceDN/>
        <w:bidi w:val="0"/>
        <w:adjustRightInd/>
        <w:snapToGrid/>
        <w:spacing w:line="460" w:lineRule="exact"/>
        <w:ind w:firstLine="482"/>
        <w:jc w:val="both"/>
        <w:textAlignment w:val="auto"/>
        <w:rPr>
          <w:color w:val="auto"/>
          <w:highlight w:val="none"/>
        </w:rPr>
      </w:pPr>
      <w:r>
        <w:rPr>
          <w:rFonts w:hint="eastAsia"/>
          <w:color w:val="auto"/>
          <w:highlight w:val="none"/>
          <w:lang w:val="en-US" w:eastAsia="zh-CN"/>
        </w:rPr>
        <w:t>21</w:t>
      </w:r>
      <w:r>
        <w:rPr>
          <w:color w:val="auto"/>
          <w:highlight w:val="none"/>
        </w:rPr>
        <w:t>.</w:t>
      </w:r>
      <w:r>
        <w:rPr>
          <w:rFonts w:hint="eastAsia"/>
          <w:color w:val="auto"/>
          <w:highlight w:val="none"/>
        </w:rPr>
        <w:t>根据《中华人民共和国政府采购法》第三十六条之规定，在招标采购过程中，出现下列情形之一的，应予</w:t>
      </w:r>
      <w:r>
        <w:rPr>
          <w:rFonts w:hint="eastAsia"/>
          <w:b/>
          <w:bCs/>
          <w:color w:val="auto"/>
          <w:highlight w:val="none"/>
        </w:rPr>
        <w:t>废标</w:t>
      </w:r>
      <w:r>
        <w:rPr>
          <w:rFonts w:hint="eastAsia"/>
          <w:color w:val="auto"/>
          <w:highlight w:val="none"/>
        </w:rPr>
        <w:t>：</w:t>
      </w:r>
    </w:p>
    <w:p w14:paraId="2C92042A">
      <w:pPr>
        <w:pStyle w:val="37"/>
        <w:keepNext w:val="0"/>
        <w:keepLines w:val="0"/>
        <w:pageBreakBefore w:val="0"/>
        <w:widowControl w:val="0"/>
        <w:kinsoku/>
        <w:wordWrap w:val="0"/>
        <w:overflowPunct/>
        <w:topLinePunct w:val="0"/>
        <w:autoSpaceDE/>
        <w:autoSpaceDN/>
        <w:bidi w:val="0"/>
        <w:adjustRightInd/>
        <w:snapToGrid/>
        <w:spacing w:line="460" w:lineRule="exact"/>
        <w:ind w:firstLine="482"/>
        <w:jc w:val="both"/>
        <w:textAlignment w:val="auto"/>
        <w:rPr>
          <w:color w:val="auto"/>
          <w:highlight w:val="none"/>
        </w:rPr>
      </w:pPr>
      <w:r>
        <w:rPr>
          <w:rFonts w:hint="eastAsia"/>
          <w:color w:val="auto"/>
          <w:highlight w:val="none"/>
          <w:lang w:val="en-US" w:eastAsia="zh-CN"/>
        </w:rPr>
        <w:t>21</w:t>
      </w:r>
      <w:r>
        <w:rPr>
          <w:color w:val="auto"/>
          <w:highlight w:val="none"/>
        </w:rPr>
        <w:t>.1</w:t>
      </w:r>
      <w:r>
        <w:rPr>
          <w:rFonts w:hint="eastAsia"/>
          <w:iCs/>
          <w:color w:val="auto"/>
          <w:spacing w:val="-6"/>
          <w:sz w:val="24"/>
          <w:highlight w:val="none"/>
        </w:rPr>
        <w:t>符合专业条件的供应商或者对招标文件作实质响应的供应商不足3家的；</w:t>
      </w:r>
    </w:p>
    <w:p w14:paraId="34ECD7A2">
      <w:pPr>
        <w:pStyle w:val="37"/>
        <w:keepNext w:val="0"/>
        <w:keepLines w:val="0"/>
        <w:pageBreakBefore w:val="0"/>
        <w:widowControl w:val="0"/>
        <w:kinsoku/>
        <w:wordWrap w:val="0"/>
        <w:overflowPunct/>
        <w:topLinePunct w:val="0"/>
        <w:autoSpaceDE/>
        <w:autoSpaceDN/>
        <w:bidi w:val="0"/>
        <w:adjustRightInd/>
        <w:snapToGrid/>
        <w:spacing w:line="460" w:lineRule="exact"/>
        <w:ind w:firstLine="482"/>
        <w:jc w:val="both"/>
        <w:textAlignment w:val="auto"/>
        <w:rPr>
          <w:color w:val="auto"/>
          <w:highlight w:val="none"/>
        </w:rPr>
      </w:pPr>
      <w:r>
        <w:rPr>
          <w:rFonts w:hint="eastAsia"/>
          <w:color w:val="auto"/>
          <w:highlight w:val="none"/>
          <w:lang w:val="en-US" w:eastAsia="zh-CN"/>
        </w:rPr>
        <w:t>21</w:t>
      </w:r>
      <w:r>
        <w:rPr>
          <w:color w:val="auto"/>
          <w:highlight w:val="none"/>
        </w:rPr>
        <w:t>.2</w:t>
      </w:r>
      <w:r>
        <w:rPr>
          <w:rFonts w:hint="eastAsia"/>
          <w:color w:val="auto"/>
          <w:highlight w:val="none"/>
        </w:rPr>
        <w:t>出现影响采购公正的违法、违规行为的；</w:t>
      </w:r>
    </w:p>
    <w:p w14:paraId="55223AA1">
      <w:pPr>
        <w:pStyle w:val="37"/>
        <w:keepNext w:val="0"/>
        <w:keepLines w:val="0"/>
        <w:pageBreakBefore w:val="0"/>
        <w:widowControl w:val="0"/>
        <w:kinsoku/>
        <w:wordWrap w:val="0"/>
        <w:overflowPunct/>
        <w:topLinePunct w:val="0"/>
        <w:autoSpaceDE/>
        <w:autoSpaceDN/>
        <w:bidi w:val="0"/>
        <w:adjustRightInd/>
        <w:snapToGrid/>
        <w:spacing w:line="460" w:lineRule="exact"/>
        <w:ind w:firstLine="482"/>
        <w:jc w:val="both"/>
        <w:textAlignment w:val="auto"/>
        <w:rPr>
          <w:color w:val="auto"/>
          <w:highlight w:val="none"/>
        </w:rPr>
      </w:pPr>
      <w:r>
        <w:rPr>
          <w:rFonts w:hint="eastAsia"/>
          <w:color w:val="auto"/>
          <w:highlight w:val="none"/>
          <w:lang w:val="en-US" w:eastAsia="zh-CN"/>
        </w:rPr>
        <w:t>21</w:t>
      </w:r>
      <w:r>
        <w:rPr>
          <w:color w:val="auto"/>
          <w:highlight w:val="none"/>
        </w:rPr>
        <w:t>.3</w:t>
      </w:r>
      <w:r>
        <w:rPr>
          <w:rFonts w:hint="eastAsia"/>
          <w:color w:val="auto"/>
          <w:highlight w:val="none"/>
        </w:rPr>
        <w:t>投标人的报价均超过了采购预算，采购人不能支付的；</w:t>
      </w:r>
    </w:p>
    <w:p w14:paraId="238CC2DB">
      <w:pPr>
        <w:pStyle w:val="37"/>
        <w:keepNext w:val="0"/>
        <w:keepLines w:val="0"/>
        <w:pageBreakBefore w:val="0"/>
        <w:widowControl w:val="0"/>
        <w:kinsoku/>
        <w:wordWrap w:val="0"/>
        <w:overflowPunct/>
        <w:topLinePunct w:val="0"/>
        <w:autoSpaceDE/>
        <w:autoSpaceDN/>
        <w:bidi w:val="0"/>
        <w:adjustRightInd/>
        <w:snapToGrid/>
        <w:spacing w:line="460" w:lineRule="exact"/>
        <w:ind w:firstLine="482"/>
        <w:jc w:val="both"/>
        <w:textAlignment w:val="auto"/>
        <w:rPr>
          <w:rFonts w:hint="eastAsia"/>
          <w:color w:val="auto"/>
          <w:highlight w:val="none"/>
          <w:lang w:val="en-US" w:eastAsia="zh-CN"/>
        </w:rPr>
      </w:pPr>
      <w:r>
        <w:rPr>
          <w:rFonts w:hint="eastAsia"/>
          <w:color w:val="auto"/>
          <w:highlight w:val="none"/>
          <w:lang w:val="en-US" w:eastAsia="zh-CN"/>
        </w:rPr>
        <w:t>21</w:t>
      </w:r>
      <w:r>
        <w:rPr>
          <w:color w:val="auto"/>
          <w:highlight w:val="none"/>
        </w:rPr>
        <w:t>.4</w:t>
      </w:r>
      <w:r>
        <w:rPr>
          <w:rFonts w:hint="eastAsia"/>
          <w:color w:val="auto"/>
          <w:highlight w:val="none"/>
        </w:rPr>
        <w:t>因重大变故，采购任务取消的</w:t>
      </w:r>
      <w:r>
        <w:rPr>
          <w:rFonts w:hint="eastAsia"/>
          <w:color w:val="auto"/>
          <w:highlight w:val="none"/>
          <w:lang w:val="en-US" w:eastAsia="zh-CN"/>
        </w:rPr>
        <w:t>；</w:t>
      </w:r>
    </w:p>
    <w:p w14:paraId="42948BC7">
      <w:pPr>
        <w:pStyle w:val="37"/>
        <w:keepNext w:val="0"/>
        <w:keepLines w:val="0"/>
        <w:pageBreakBefore w:val="0"/>
        <w:widowControl w:val="0"/>
        <w:kinsoku/>
        <w:wordWrap w:val="0"/>
        <w:overflowPunct/>
        <w:topLinePunct w:val="0"/>
        <w:autoSpaceDE/>
        <w:autoSpaceDN/>
        <w:bidi w:val="0"/>
        <w:adjustRightInd/>
        <w:snapToGrid/>
        <w:spacing w:line="460" w:lineRule="exact"/>
        <w:ind w:firstLine="482"/>
        <w:jc w:val="both"/>
        <w:textAlignment w:val="auto"/>
        <w:rPr>
          <w:color w:val="auto"/>
          <w:highlight w:val="none"/>
        </w:rPr>
      </w:pPr>
      <w:r>
        <w:rPr>
          <w:rFonts w:hint="eastAsia"/>
          <w:color w:val="auto"/>
          <w:highlight w:val="none"/>
          <w:lang w:val="en-US" w:eastAsia="zh-CN"/>
        </w:rPr>
        <w:t>21.5</w:t>
      </w:r>
      <w:r>
        <w:rPr>
          <w:rFonts w:hint="eastAsia"/>
          <w:color w:val="auto"/>
          <w:highlight w:val="none"/>
        </w:rPr>
        <w:t>法律、法规、规章规定属于</w:t>
      </w:r>
      <w:r>
        <w:rPr>
          <w:rFonts w:hint="eastAsia"/>
          <w:color w:val="auto"/>
          <w:highlight w:val="none"/>
          <w:lang w:val="en-US" w:eastAsia="zh-CN"/>
        </w:rPr>
        <w:t>废标</w:t>
      </w:r>
      <w:r>
        <w:rPr>
          <w:rFonts w:hint="eastAsia"/>
          <w:color w:val="auto"/>
          <w:highlight w:val="none"/>
        </w:rPr>
        <w:t>的其他情形。</w:t>
      </w:r>
    </w:p>
    <w:p w14:paraId="3EE39131">
      <w:pPr>
        <w:pStyle w:val="37"/>
        <w:keepNext w:val="0"/>
        <w:keepLines w:val="0"/>
        <w:pageBreakBefore w:val="0"/>
        <w:widowControl w:val="0"/>
        <w:kinsoku/>
        <w:wordWrap w:val="0"/>
        <w:overflowPunct/>
        <w:topLinePunct w:val="0"/>
        <w:autoSpaceDE/>
        <w:autoSpaceDN/>
        <w:bidi w:val="0"/>
        <w:adjustRightInd/>
        <w:snapToGrid/>
        <w:spacing w:line="460" w:lineRule="exact"/>
        <w:ind w:firstLine="482"/>
        <w:jc w:val="both"/>
        <w:textAlignment w:val="auto"/>
        <w:rPr>
          <w:color w:val="auto"/>
          <w:highlight w:val="none"/>
        </w:rPr>
      </w:pPr>
      <w:r>
        <w:rPr>
          <w:rFonts w:hint="eastAsia"/>
          <w:color w:val="auto"/>
          <w:highlight w:val="none"/>
          <w:lang w:val="en-US" w:eastAsia="zh-CN"/>
        </w:rPr>
        <w:t>22.</w:t>
      </w:r>
      <w:r>
        <w:rPr>
          <w:rFonts w:hint="eastAsia"/>
          <w:color w:val="auto"/>
          <w:highlight w:val="none"/>
        </w:rPr>
        <w:t>废标后，采购人应当将废标理由通知所有投标人。</w:t>
      </w:r>
    </w:p>
    <w:p w14:paraId="05AB6DCD">
      <w:pPr>
        <w:pStyle w:val="4"/>
        <w:keepNext/>
        <w:keepLines/>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jc w:val="both"/>
        <w:textAlignment w:val="auto"/>
        <w:rPr>
          <w:rFonts w:hint="eastAsia" w:ascii="宋体" w:hAnsi="宋体" w:eastAsia="宋体" w:cs="宋体"/>
          <w:b/>
          <w:bCs/>
          <w:color w:val="auto"/>
          <w:kern w:val="2"/>
          <w:sz w:val="24"/>
          <w:szCs w:val="24"/>
          <w:highlight w:val="none"/>
          <w:lang w:val="zh-CN" w:eastAsia="zh-CN" w:bidi="ar-SA"/>
        </w:rPr>
      </w:pPr>
      <w:bookmarkStart w:id="383" w:name="_Toc102116022"/>
      <w:bookmarkStart w:id="384" w:name="_Toc102057718"/>
      <w:bookmarkStart w:id="385" w:name="_Toc155185914"/>
      <w:bookmarkStart w:id="386" w:name="_Toc12911"/>
      <w:bookmarkStart w:id="387" w:name="_Toc163492907"/>
      <w:bookmarkStart w:id="388" w:name="_Toc102116152"/>
      <w:bookmarkStart w:id="389" w:name="_Toc102119853"/>
      <w:bookmarkStart w:id="390" w:name="_Toc102056218"/>
      <w:bookmarkStart w:id="391" w:name="_Toc102114920"/>
      <w:r>
        <w:rPr>
          <w:rFonts w:hint="eastAsia" w:ascii="宋体" w:hAnsi="宋体" w:eastAsia="宋体" w:cs="宋体"/>
          <w:b/>
          <w:bCs/>
          <w:color w:val="auto"/>
          <w:kern w:val="2"/>
          <w:sz w:val="24"/>
          <w:szCs w:val="24"/>
          <w:highlight w:val="none"/>
          <w:lang w:val="zh-CN" w:eastAsia="zh-CN" w:bidi="ar-SA"/>
        </w:rPr>
        <w:t>（</w:t>
      </w:r>
      <w:r>
        <w:rPr>
          <w:rFonts w:hint="eastAsia" w:ascii="宋体" w:hAnsi="宋体" w:eastAsia="宋体" w:cs="宋体"/>
          <w:b/>
          <w:bCs/>
          <w:color w:val="auto"/>
          <w:kern w:val="2"/>
          <w:sz w:val="24"/>
          <w:szCs w:val="24"/>
          <w:highlight w:val="none"/>
          <w:lang w:val="en-US" w:eastAsia="zh-CN" w:bidi="ar-SA"/>
        </w:rPr>
        <w:t>九</w:t>
      </w:r>
      <w:r>
        <w:rPr>
          <w:rFonts w:hint="eastAsia" w:ascii="宋体" w:hAnsi="宋体" w:eastAsia="宋体" w:cs="宋体"/>
          <w:b/>
          <w:bCs/>
          <w:color w:val="auto"/>
          <w:kern w:val="2"/>
          <w:sz w:val="24"/>
          <w:szCs w:val="24"/>
          <w:highlight w:val="none"/>
          <w:lang w:val="zh-CN" w:eastAsia="zh-CN" w:bidi="ar-SA"/>
        </w:rPr>
        <w:t>）停止评标的情形</w:t>
      </w:r>
      <w:bookmarkEnd w:id="383"/>
      <w:bookmarkEnd w:id="384"/>
      <w:bookmarkEnd w:id="385"/>
      <w:bookmarkEnd w:id="386"/>
      <w:bookmarkEnd w:id="387"/>
      <w:bookmarkEnd w:id="388"/>
      <w:bookmarkEnd w:id="389"/>
      <w:bookmarkEnd w:id="390"/>
      <w:bookmarkEnd w:id="391"/>
    </w:p>
    <w:p w14:paraId="190044DE">
      <w:pPr>
        <w:pStyle w:val="37"/>
        <w:jc w:val="both"/>
        <w:rPr>
          <w:rFonts w:hint="eastAsia"/>
          <w:color w:val="auto"/>
          <w:highlight w:val="none"/>
        </w:rPr>
      </w:pPr>
      <w:r>
        <w:rPr>
          <w:rFonts w:hint="eastAsia"/>
          <w:color w:val="auto"/>
          <w:highlight w:val="none"/>
          <w:lang w:val="en-US" w:eastAsia="zh-CN"/>
        </w:rPr>
        <w:t>23</w:t>
      </w:r>
      <w:r>
        <w:rPr>
          <w:color w:val="auto"/>
          <w:highlight w:val="none"/>
        </w:rPr>
        <w:t>.</w:t>
      </w:r>
      <w:r>
        <w:rPr>
          <w:rFonts w:hint="eastAsia"/>
          <w:color w:val="auto"/>
          <w:highlight w:val="none"/>
        </w:rPr>
        <w:t>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14:paraId="2CDB1955">
      <w:pPr>
        <w:pStyle w:val="4"/>
        <w:keepNext/>
        <w:keepLines/>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jc w:val="both"/>
        <w:textAlignment w:val="auto"/>
        <w:rPr>
          <w:rFonts w:hint="eastAsia" w:ascii="宋体" w:hAnsi="宋体" w:eastAsia="宋体" w:cs="宋体"/>
          <w:b/>
          <w:bCs/>
          <w:color w:val="auto"/>
          <w:kern w:val="2"/>
          <w:sz w:val="24"/>
          <w:szCs w:val="24"/>
          <w:highlight w:val="none"/>
          <w:lang w:val="zh-CN" w:eastAsia="zh-CN" w:bidi="ar-SA"/>
        </w:rPr>
      </w:pPr>
      <w:bookmarkStart w:id="392" w:name="_Toc21922"/>
      <w:r>
        <w:rPr>
          <w:rFonts w:hint="eastAsia" w:ascii="宋体" w:hAnsi="宋体" w:eastAsia="宋体" w:cs="宋体"/>
          <w:b/>
          <w:bCs/>
          <w:color w:val="auto"/>
          <w:kern w:val="2"/>
          <w:sz w:val="24"/>
          <w:szCs w:val="24"/>
          <w:highlight w:val="none"/>
          <w:lang w:val="zh-CN" w:eastAsia="zh-CN" w:bidi="ar-SA"/>
        </w:rPr>
        <w:t>（</w:t>
      </w:r>
      <w:r>
        <w:rPr>
          <w:rFonts w:hint="eastAsia" w:ascii="宋体" w:hAnsi="宋体" w:eastAsia="宋体" w:cs="宋体"/>
          <w:b/>
          <w:bCs/>
          <w:color w:val="auto"/>
          <w:kern w:val="2"/>
          <w:sz w:val="24"/>
          <w:szCs w:val="24"/>
          <w:highlight w:val="none"/>
          <w:lang w:val="en-US" w:eastAsia="zh-CN" w:bidi="ar-SA"/>
        </w:rPr>
        <w:t>十</w:t>
      </w:r>
      <w:r>
        <w:rPr>
          <w:rFonts w:hint="eastAsia" w:ascii="宋体" w:hAnsi="宋体" w:eastAsia="宋体" w:cs="宋体"/>
          <w:b/>
          <w:bCs/>
          <w:color w:val="auto"/>
          <w:kern w:val="2"/>
          <w:sz w:val="24"/>
          <w:szCs w:val="24"/>
          <w:highlight w:val="none"/>
          <w:lang w:val="zh-CN" w:eastAsia="zh-CN" w:bidi="ar-SA"/>
        </w:rPr>
        <w:t>）重新开展采购</w:t>
      </w:r>
      <w:bookmarkEnd w:id="392"/>
    </w:p>
    <w:p w14:paraId="461B653A">
      <w:pPr>
        <w:pStyle w:val="37"/>
        <w:keepNext w:val="0"/>
        <w:keepLines w:val="0"/>
        <w:pageBreakBefore w:val="0"/>
        <w:widowControl w:val="0"/>
        <w:kinsoku/>
        <w:wordWrap w:val="0"/>
        <w:overflowPunct/>
        <w:topLinePunct w:val="0"/>
        <w:autoSpaceDE/>
        <w:autoSpaceDN/>
        <w:bidi w:val="0"/>
        <w:adjustRightInd/>
        <w:snapToGrid/>
        <w:spacing w:line="460" w:lineRule="exact"/>
        <w:ind w:firstLine="482"/>
        <w:jc w:val="both"/>
        <w:textAlignment w:val="auto"/>
        <w:rPr>
          <w:rFonts w:hint="eastAsia"/>
          <w:color w:val="auto"/>
          <w:highlight w:val="none"/>
        </w:rPr>
      </w:pPr>
      <w:r>
        <w:rPr>
          <w:rFonts w:hint="eastAsia"/>
          <w:color w:val="auto"/>
          <w:highlight w:val="none"/>
          <w:lang w:val="en-US" w:eastAsia="zh-CN"/>
        </w:rPr>
        <w:t>24.</w:t>
      </w:r>
      <w:r>
        <w:rPr>
          <w:rFonts w:hint="eastAsia"/>
          <w:color w:val="auto"/>
          <w:highlight w:val="none"/>
        </w:rPr>
        <w:t>有</w:t>
      </w:r>
      <w:r>
        <w:rPr>
          <w:rFonts w:hint="eastAsia"/>
          <w:color w:val="auto"/>
          <w:highlight w:val="none"/>
          <w:lang w:eastAsia="zh-CN"/>
        </w:rPr>
        <w:t>《</w:t>
      </w:r>
      <w:r>
        <w:rPr>
          <w:rFonts w:hint="eastAsia"/>
          <w:color w:val="auto"/>
          <w:highlight w:val="none"/>
        </w:rPr>
        <w:t>中华人民共和国政府采购法</w:t>
      </w:r>
      <w:r>
        <w:rPr>
          <w:rFonts w:hint="eastAsia"/>
          <w:color w:val="auto"/>
          <w:highlight w:val="none"/>
          <w:lang w:eastAsia="zh-CN"/>
        </w:rPr>
        <w:t>》</w:t>
      </w:r>
      <w:r>
        <w:rPr>
          <w:rFonts w:hint="eastAsia"/>
          <w:color w:val="auto"/>
          <w:highlight w:val="none"/>
        </w:rPr>
        <w:t>第七十一条、第七十二条规定的违法行为之一，影响或者可能影响中标结果的，依照下列规定处理：</w:t>
      </w:r>
    </w:p>
    <w:p w14:paraId="7AA5C7C3">
      <w:pPr>
        <w:pStyle w:val="37"/>
        <w:keepNext w:val="0"/>
        <w:keepLines w:val="0"/>
        <w:pageBreakBefore w:val="0"/>
        <w:widowControl w:val="0"/>
        <w:kinsoku/>
        <w:wordWrap w:val="0"/>
        <w:overflowPunct/>
        <w:topLinePunct w:val="0"/>
        <w:autoSpaceDE/>
        <w:autoSpaceDN/>
        <w:bidi w:val="0"/>
        <w:adjustRightInd/>
        <w:snapToGrid/>
        <w:spacing w:line="460" w:lineRule="exact"/>
        <w:ind w:firstLine="482"/>
        <w:jc w:val="both"/>
        <w:textAlignment w:val="auto"/>
        <w:rPr>
          <w:rFonts w:hint="eastAsia"/>
          <w:color w:val="auto"/>
          <w:highlight w:val="none"/>
        </w:rPr>
      </w:pPr>
      <w:r>
        <w:rPr>
          <w:rFonts w:hint="eastAsia"/>
          <w:color w:val="auto"/>
          <w:highlight w:val="none"/>
          <w:lang w:val="en-US" w:eastAsia="zh-CN"/>
        </w:rPr>
        <w:t>24</w:t>
      </w:r>
      <w:r>
        <w:rPr>
          <w:rFonts w:hint="eastAsia"/>
          <w:color w:val="auto"/>
          <w:highlight w:val="none"/>
        </w:rPr>
        <w:t>.1</w:t>
      </w:r>
      <w:r>
        <w:rPr>
          <w:rFonts w:hint="eastAsia"/>
          <w:iCs/>
          <w:color w:val="auto"/>
          <w:spacing w:val="-6"/>
          <w:sz w:val="24"/>
          <w:highlight w:val="none"/>
        </w:rPr>
        <w:t>未确定中标供应商的，终止本次政府采购活动，重新开展政府采购活动。</w:t>
      </w:r>
    </w:p>
    <w:p w14:paraId="3A794890">
      <w:pPr>
        <w:pStyle w:val="37"/>
        <w:keepNext w:val="0"/>
        <w:keepLines w:val="0"/>
        <w:pageBreakBefore w:val="0"/>
        <w:widowControl w:val="0"/>
        <w:kinsoku/>
        <w:wordWrap w:val="0"/>
        <w:overflowPunct/>
        <w:topLinePunct w:val="0"/>
        <w:autoSpaceDE/>
        <w:autoSpaceDN/>
        <w:bidi w:val="0"/>
        <w:adjustRightInd/>
        <w:snapToGrid/>
        <w:spacing w:line="460" w:lineRule="exact"/>
        <w:ind w:firstLine="482"/>
        <w:jc w:val="both"/>
        <w:textAlignment w:val="auto"/>
        <w:rPr>
          <w:rFonts w:hint="eastAsia"/>
          <w:color w:val="auto"/>
          <w:highlight w:val="none"/>
        </w:rPr>
      </w:pPr>
      <w:r>
        <w:rPr>
          <w:rFonts w:hint="eastAsia"/>
          <w:color w:val="auto"/>
          <w:highlight w:val="none"/>
          <w:lang w:val="en-US" w:eastAsia="zh-CN"/>
        </w:rPr>
        <w:t>24</w:t>
      </w:r>
      <w:r>
        <w:rPr>
          <w:rFonts w:hint="eastAsia"/>
          <w:color w:val="auto"/>
          <w:highlight w:val="none"/>
        </w:rPr>
        <w:t>.2已确定中标供应商但尚未签订政府采购合同的，中标结果无效，从合格的中标候选人中另行确定中标供应商；没有合格的中标候选人的，重新开展政府采购活动。</w:t>
      </w:r>
    </w:p>
    <w:p w14:paraId="595100CC">
      <w:pPr>
        <w:pStyle w:val="37"/>
        <w:keepNext w:val="0"/>
        <w:keepLines w:val="0"/>
        <w:pageBreakBefore w:val="0"/>
        <w:widowControl w:val="0"/>
        <w:kinsoku/>
        <w:wordWrap w:val="0"/>
        <w:overflowPunct/>
        <w:topLinePunct w:val="0"/>
        <w:autoSpaceDE/>
        <w:autoSpaceDN/>
        <w:bidi w:val="0"/>
        <w:adjustRightInd/>
        <w:snapToGrid/>
        <w:spacing w:line="460" w:lineRule="exact"/>
        <w:ind w:firstLine="482"/>
        <w:jc w:val="both"/>
        <w:textAlignment w:val="auto"/>
        <w:rPr>
          <w:rFonts w:hint="eastAsia"/>
          <w:color w:val="auto"/>
          <w:highlight w:val="none"/>
        </w:rPr>
      </w:pPr>
      <w:r>
        <w:rPr>
          <w:rFonts w:hint="eastAsia"/>
          <w:color w:val="auto"/>
          <w:highlight w:val="none"/>
          <w:lang w:val="en-US" w:eastAsia="zh-CN"/>
        </w:rPr>
        <w:t>24</w:t>
      </w:r>
      <w:r>
        <w:rPr>
          <w:rFonts w:hint="eastAsia"/>
          <w:color w:val="auto"/>
          <w:highlight w:val="none"/>
        </w:rPr>
        <w:t>.3政府采购合同已签订但尚未履行的，撤销合同，从合格的中标候选人中另行确定中标供应商；没有合格的中标候选人的，重新开展政府采购活动。</w:t>
      </w:r>
    </w:p>
    <w:p w14:paraId="45E078B1">
      <w:pPr>
        <w:pStyle w:val="37"/>
        <w:keepNext w:val="0"/>
        <w:keepLines w:val="0"/>
        <w:pageBreakBefore w:val="0"/>
        <w:widowControl w:val="0"/>
        <w:kinsoku/>
        <w:wordWrap w:val="0"/>
        <w:overflowPunct/>
        <w:topLinePunct w:val="0"/>
        <w:autoSpaceDE/>
        <w:autoSpaceDN/>
        <w:bidi w:val="0"/>
        <w:adjustRightInd/>
        <w:snapToGrid/>
        <w:spacing w:line="460" w:lineRule="exact"/>
        <w:ind w:firstLine="482"/>
        <w:jc w:val="both"/>
        <w:textAlignment w:val="auto"/>
        <w:rPr>
          <w:rFonts w:hint="eastAsia"/>
          <w:color w:val="auto"/>
          <w:highlight w:val="none"/>
        </w:rPr>
      </w:pPr>
      <w:r>
        <w:rPr>
          <w:rFonts w:hint="eastAsia"/>
          <w:color w:val="auto"/>
          <w:highlight w:val="none"/>
          <w:lang w:val="en-US" w:eastAsia="zh-CN"/>
        </w:rPr>
        <w:t>24</w:t>
      </w:r>
      <w:r>
        <w:rPr>
          <w:rFonts w:hint="eastAsia"/>
          <w:color w:val="auto"/>
          <w:highlight w:val="none"/>
        </w:rPr>
        <w:t>.4政府采购合同已经履行，给采购人、供应商造成损失的，由责任人承担赔偿责任。</w:t>
      </w:r>
    </w:p>
    <w:p w14:paraId="43A428E9">
      <w:pPr>
        <w:pStyle w:val="37"/>
        <w:keepNext w:val="0"/>
        <w:keepLines w:val="0"/>
        <w:pageBreakBefore w:val="0"/>
        <w:widowControl w:val="0"/>
        <w:kinsoku/>
        <w:wordWrap w:val="0"/>
        <w:overflowPunct/>
        <w:topLinePunct w:val="0"/>
        <w:autoSpaceDE/>
        <w:autoSpaceDN/>
        <w:bidi w:val="0"/>
        <w:adjustRightInd/>
        <w:snapToGrid/>
        <w:spacing w:line="460" w:lineRule="exact"/>
        <w:ind w:firstLine="482"/>
        <w:jc w:val="both"/>
        <w:textAlignment w:val="auto"/>
        <w:rPr>
          <w:color w:val="auto"/>
          <w:highlight w:val="none"/>
        </w:rPr>
      </w:pPr>
      <w:r>
        <w:rPr>
          <w:rFonts w:hint="eastAsia"/>
          <w:color w:val="auto"/>
          <w:highlight w:val="none"/>
          <w:lang w:val="en-US" w:eastAsia="zh-CN"/>
        </w:rPr>
        <w:t>24</w:t>
      </w:r>
      <w:r>
        <w:rPr>
          <w:rFonts w:hint="eastAsia"/>
          <w:color w:val="auto"/>
          <w:highlight w:val="none"/>
        </w:rPr>
        <w:t>.5政府采购当事人有其他违反</w:t>
      </w:r>
      <w:r>
        <w:rPr>
          <w:rFonts w:hint="eastAsia"/>
          <w:iCs/>
          <w:color w:val="auto"/>
          <w:spacing w:val="-6"/>
          <w:sz w:val="24"/>
          <w:highlight w:val="none"/>
          <w:lang w:eastAsia="zh-CN"/>
        </w:rPr>
        <w:t>《</w:t>
      </w:r>
      <w:r>
        <w:rPr>
          <w:rFonts w:hint="eastAsia"/>
          <w:iCs/>
          <w:color w:val="auto"/>
          <w:spacing w:val="-6"/>
          <w:sz w:val="24"/>
          <w:highlight w:val="none"/>
        </w:rPr>
        <w:t>中华人民共和国政府采购法</w:t>
      </w:r>
      <w:r>
        <w:rPr>
          <w:rFonts w:hint="eastAsia"/>
          <w:iCs/>
          <w:color w:val="auto"/>
          <w:spacing w:val="-6"/>
          <w:sz w:val="24"/>
          <w:highlight w:val="none"/>
          <w:lang w:eastAsia="zh-CN"/>
        </w:rPr>
        <w:t>》</w:t>
      </w:r>
      <w:r>
        <w:rPr>
          <w:rFonts w:hint="eastAsia"/>
          <w:iCs/>
          <w:color w:val="auto"/>
          <w:spacing w:val="-6"/>
          <w:sz w:val="24"/>
          <w:highlight w:val="none"/>
        </w:rPr>
        <w:t>或者</w:t>
      </w:r>
      <w:r>
        <w:rPr>
          <w:rFonts w:hint="eastAsia"/>
          <w:iCs/>
          <w:color w:val="auto"/>
          <w:spacing w:val="-6"/>
          <w:sz w:val="24"/>
          <w:highlight w:val="none"/>
          <w:lang w:eastAsia="zh-CN"/>
        </w:rPr>
        <w:t>《</w:t>
      </w:r>
      <w:r>
        <w:rPr>
          <w:rFonts w:hint="eastAsia"/>
          <w:iCs/>
          <w:color w:val="auto"/>
          <w:spacing w:val="-6"/>
          <w:sz w:val="24"/>
          <w:highlight w:val="none"/>
        </w:rPr>
        <w:t>中华人民共和国政府采购法实施条例</w:t>
      </w:r>
      <w:r>
        <w:rPr>
          <w:rFonts w:hint="eastAsia"/>
          <w:iCs/>
          <w:color w:val="auto"/>
          <w:spacing w:val="-6"/>
          <w:sz w:val="24"/>
          <w:highlight w:val="none"/>
          <w:lang w:eastAsia="zh-CN"/>
        </w:rPr>
        <w:t>》</w:t>
      </w:r>
      <w:r>
        <w:rPr>
          <w:rFonts w:hint="eastAsia"/>
          <w:color w:val="auto"/>
          <w:highlight w:val="none"/>
        </w:rPr>
        <w:t>等法律法规规定的行为，经改正后仍然影响或者可能影响中标结果或者依法被认定为中标无效的，依照</w:t>
      </w:r>
      <w:r>
        <w:rPr>
          <w:rFonts w:hint="eastAsia"/>
          <w:color w:val="auto"/>
          <w:highlight w:val="none"/>
          <w:lang w:val="en-US" w:eastAsia="zh-CN"/>
        </w:rPr>
        <w:t>24</w:t>
      </w:r>
      <w:r>
        <w:rPr>
          <w:rFonts w:hint="eastAsia"/>
          <w:color w:val="auto"/>
          <w:highlight w:val="none"/>
        </w:rPr>
        <w:t>.1</w:t>
      </w:r>
      <w:r>
        <w:rPr>
          <w:rFonts w:hint="eastAsia"/>
          <w:color w:val="auto"/>
          <w:highlight w:val="none"/>
          <w:lang w:eastAsia="zh-CN"/>
        </w:rPr>
        <w:t>—</w:t>
      </w:r>
      <w:r>
        <w:rPr>
          <w:rFonts w:hint="eastAsia"/>
          <w:color w:val="auto"/>
          <w:highlight w:val="none"/>
          <w:lang w:val="en-US" w:eastAsia="zh-CN"/>
        </w:rPr>
        <w:t>24</w:t>
      </w:r>
      <w:r>
        <w:rPr>
          <w:rFonts w:hint="eastAsia"/>
          <w:color w:val="auto"/>
          <w:highlight w:val="none"/>
        </w:rPr>
        <w:t>.4规定处理。</w:t>
      </w:r>
    </w:p>
    <w:bookmarkEnd w:id="347"/>
    <w:bookmarkEnd w:id="348"/>
    <w:bookmarkEnd w:id="349"/>
    <w:bookmarkEnd w:id="350"/>
    <w:bookmarkEnd w:id="351"/>
    <w:bookmarkEnd w:id="352"/>
    <w:bookmarkEnd w:id="353"/>
    <w:bookmarkEnd w:id="354"/>
    <w:bookmarkEnd w:id="355"/>
    <w:bookmarkEnd w:id="356"/>
    <w:p w14:paraId="6AD5E432">
      <w:pPr>
        <w:pStyle w:val="3"/>
        <w:keepNext/>
        <w:keepLines/>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jc w:val="both"/>
        <w:textAlignment w:val="auto"/>
        <w:rPr>
          <w:rFonts w:hint="default" w:ascii="宋体" w:hAnsi="宋体" w:eastAsia="宋体" w:cs="宋体"/>
          <w:color w:val="auto"/>
          <w:sz w:val="28"/>
          <w:szCs w:val="28"/>
          <w:highlight w:val="none"/>
          <w:lang w:val="en-US" w:eastAsia="zh-CN"/>
        </w:rPr>
      </w:pPr>
      <w:bookmarkStart w:id="393" w:name="_Toc27267"/>
      <w:bookmarkStart w:id="394" w:name="_Toc5253"/>
      <w:r>
        <w:rPr>
          <w:rFonts w:hint="eastAsia" w:ascii="宋体" w:hAnsi="宋体" w:eastAsia="宋体" w:cs="宋体"/>
          <w:color w:val="auto"/>
          <w:sz w:val="28"/>
          <w:szCs w:val="28"/>
          <w:highlight w:val="none"/>
          <w:lang w:val="zh-CN" w:eastAsia="zh-CN"/>
        </w:rPr>
        <w:t>三、评标</w:t>
      </w:r>
      <w:r>
        <w:rPr>
          <w:rFonts w:hint="eastAsia" w:ascii="宋体" w:hAnsi="宋体" w:eastAsia="宋体" w:cs="宋体"/>
          <w:color w:val="auto"/>
          <w:sz w:val="28"/>
          <w:szCs w:val="28"/>
          <w:highlight w:val="none"/>
          <w:lang w:val="en-US" w:eastAsia="zh-CN"/>
        </w:rPr>
        <w:t>其他要求</w:t>
      </w:r>
      <w:bookmarkEnd w:id="393"/>
      <w:bookmarkEnd w:id="394"/>
    </w:p>
    <w:p w14:paraId="555D6B49">
      <w:pPr>
        <w:pStyle w:val="37"/>
        <w:keepNext w:val="0"/>
        <w:keepLines w:val="0"/>
        <w:pageBreakBefore w:val="0"/>
        <w:widowControl w:val="0"/>
        <w:kinsoku/>
        <w:overflowPunct/>
        <w:topLinePunct w:val="0"/>
        <w:autoSpaceDE/>
        <w:autoSpaceDN/>
        <w:bidi w:val="0"/>
        <w:adjustRightInd/>
        <w:snapToGrid/>
        <w:jc w:val="both"/>
        <w:textAlignment w:val="auto"/>
        <w:rPr>
          <w:rFonts w:hint="eastAsia"/>
          <w:color w:val="auto"/>
          <w:highlight w:val="none"/>
          <w:lang w:eastAsia="zh-CN"/>
        </w:rPr>
      </w:pPr>
      <w:r>
        <w:rPr>
          <w:rFonts w:hint="eastAsia"/>
          <w:color w:val="auto"/>
          <w:highlight w:val="none"/>
          <w:lang w:eastAsia="zh-CN"/>
        </w:rPr>
        <w:t>【</w:t>
      </w:r>
      <w:r>
        <w:rPr>
          <w:rFonts w:hint="eastAsia"/>
          <w:color w:val="auto"/>
          <w:highlight w:val="none"/>
          <w:lang w:val="en-US" w:eastAsia="zh-CN"/>
        </w:rPr>
        <w:t>可根据项目的情况增加上述内容中未包含的要求</w:t>
      </w:r>
      <w:r>
        <w:rPr>
          <w:rFonts w:hint="eastAsia"/>
          <w:color w:val="auto"/>
          <w:highlight w:val="none"/>
          <w:lang w:eastAsia="zh-CN"/>
        </w:rPr>
        <w:t>】</w:t>
      </w:r>
    </w:p>
    <w:p w14:paraId="0BE29AB1">
      <w:pPr>
        <w:pStyle w:val="3"/>
        <w:keepNext/>
        <w:keepLines/>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jc w:val="both"/>
        <w:textAlignment w:val="auto"/>
        <w:rPr>
          <w:rFonts w:hint="eastAsia" w:ascii="宋体" w:hAnsi="宋体" w:eastAsia="宋体" w:cs="宋体"/>
          <w:color w:val="auto"/>
          <w:sz w:val="28"/>
          <w:szCs w:val="28"/>
          <w:highlight w:val="none"/>
          <w:lang w:val="zh-CN" w:eastAsia="zh-CN"/>
        </w:rPr>
      </w:pPr>
      <w:bookmarkStart w:id="395" w:name="_Toc3559"/>
      <w:bookmarkStart w:id="396" w:name="_Toc17549"/>
      <w:r>
        <w:rPr>
          <w:rFonts w:hint="eastAsia" w:ascii="宋体" w:hAnsi="宋体" w:eastAsia="宋体" w:cs="宋体"/>
          <w:color w:val="auto"/>
          <w:sz w:val="28"/>
          <w:szCs w:val="28"/>
          <w:highlight w:val="none"/>
          <w:lang w:val="en-US" w:eastAsia="zh-CN"/>
        </w:rPr>
        <w:t>四</w:t>
      </w:r>
      <w:r>
        <w:rPr>
          <w:rFonts w:hint="eastAsia" w:ascii="宋体" w:hAnsi="宋体" w:eastAsia="宋体" w:cs="宋体"/>
          <w:color w:val="auto"/>
          <w:sz w:val="28"/>
          <w:szCs w:val="28"/>
          <w:highlight w:val="none"/>
          <w:lang w:val="zh-CN" w:eastAsia="zh-CN"/>
        </w:rPr>
        <w:t>、评标标准</w:t>
      </w:r>
      <w:bookmarkEnd w:id="395"/>
      <w:bookmarkEnd w:id="396"/>
    </w:p>
    <w:p w14:paraId="6FC1DEBE">
      <w:pPr>
        <w:pStyle w:val="4"/>
        <w:keepNext/>
        <w:keepLines/>
        <w:pageBreakBefore w:val="0"/>
        <w:widowControl w:val="0"/>
        <w:numPr>
          <w:ilvl w:val="0"/>
          <w:numId w:val="0"/>
        </w:numPr>
        <w:kinsoku/>
        <w:wordWrap/>
        <w:overflowPunct/>
        <w:topLinePunct w:val="0"/>
        <w:autoSpaceDE/>
        <w:autoSpaceDN/>
        <w:bidi w:val="0"/>
        <w:adjustRightInd/>
        <w:snapToGrid/>
        <w:spacing w:before="60" w:after="60" w:line="360" w:lineRule="auto"/>
        <w:ind w:left="420" w:leftChars="0" w:hanging="420" w:firstLineChars="0"/>
        <w:jc w:val="both"/>
        <w:textAlignment w:val="auto"/>
        <w:rPr>
          <w:rFonts w:hint="eastAsia" w:ascii="宋体" w:hAnsi="宋体" w:eastAsia="宋体" w:cs="宋体"/>
          <w:b/>
          <w:bCs/>
          <w:color w:val="auto"/>
          <w:kern w:val="2"/>
          <w:sz w:val="24"/>
          <w:szCs w:val="24"/>
          <w:highlight w:val="none"/>
          <w:lang w:val="zh-CN" w:eastAsia="zh-CN" w:bidi="ar-SA"/>
        </w:rPr>
      </w:pPr>
      <w:bookmarkStart w:id="397" w:name="_Toc163492909"/>
      <w:bookmarkStart w:id="398" w:name="_Toc9559"/>
      <w:r>
        <w:rPr>
          <w:rFonts w:hint="eastAsia" w:ascii="宋体" w:hAnsi="宋体" w:eastAsia="宋体" w:cs="宋体"/>
          <w:b/>
          <w:bCs/>
          <w:color w:val="auto"/>
          <w:kern w:val="2"/>
          <w:sz w:val="24"/>
          <w:szCs w:val="24"/>
          <w:highlight w:val="none"/>
          <w:lang w:val="zh-CN" w:eastAsia="zh-CN" w:bidi="ar-SA"/>
        </w:rPr>
        <w:t>（一）符合性审查表</w:t>
      </w:r>
      <w:bookmarkEnd w:id="397"/>
      <w:bookmarkEnd w:id="398"/>
    </w:p>
    <w:tbl>
      <w:tblPr>
        <w:tblStyle w:val="29"/>
        <w:tblW w:w="5422" w:type="pct"/>
        <w:tblInd w:w="-34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506"/>
        <w:gridCol w:w="1301"/>
        <w:gridCol w:w="5486"/>
        <w:gridCol w:w="866"/>
        <w:gridCol w:w="1088"/>
      </w:tblGrid>
      <w:tr w14:paraId="6867D0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3" w:hRule="atLeast"/>
        </w:trPr>
        <w:tc>
          <w:tcPr>
            <w:tcW w:w="274" w:type="pct"/>
            <w:vMerge w:val="restart"/>
            <w:shd w:val="clear" w:color="auto" w:fill="D8D8D8" w:themeFill="background1" w:themeFillShade="D9"/>
            <w:vAlign w:val="center"/>
          </w:tcPr>
          <w:p w14:paraId="3B188FC3">
            <w:pPr>
              <w:pStyle w:val="49"/>
              <w:jc w:val="center"/>
              <w:rPr>
                <w:rFonts w:hint="eastAsia" w:ascii="宋体" w:hAnsi="宋体" w:eastAsia="宋体" w:cs="宋体"/>
                <w:b/>
                <w:bCs/>
                <w:color w:val="auto"/>
                <w:sz w:val="24"/>
                <w:szCs w:val="24"/>
                <w:highlight w:val="none"/>
                <w:lang w:val="zh-CN"/>
              </w:rPr>
            </w:pPr>
            <w:bookmarkStart w:id="399" w:name="_Toc155185917"/>
            <w:bookmarkStart w:id="400" w:name="_Toc163492910"/>
            <w:r>
              <w:rPr>
                <w:rFonts w:hint="eastAsia" w:ascii="宋体" w:hAnsi="宋体" w:eastAsia="宋体" w:cs="宋体"/>
                <w:b/>
                <w:bCs/>
                <w:color w:val="auto"/>
                <w:sz w:val="24"/>
                <w:szCs w:val="24"/>
                <w:highlight w:val="none"/>
                <w:lang w:val="zh-CN"/>
              </w:rPr>
              <w:t>序号</w:t>
            </w:r>
          </w:p>
        </w:tc>
        <w:tc>
          <w:tcPr>
            <w:tcW w:w="703" w:type="pct"/>
            <w:vMerge w:val="restart"/>
            <w:shd w:val="clear" w:color="auto" w:fill="D8D8D8" w:themeFill="background1" w:themeFillShade="D9"/>
            <w:vAlign w:val="center"/>
          </w:tcPr>
          <w:p w14:paraId="1EAC1EDF">
            <w:pPr>
              <w:pStyle w:val="49"/>
              <w:jc w:val="center"/>
              <w:rPr>
                <w:rFonts w:hint="eastAsia" w:ascii="宋体" w:hAnsi="宋体" w:eastAsia="宋体" w:cs="宋体"/>
                <w:b/>
                <w:bCs/>
                <w:color w:val="auto"/>
                <w:sz w:val="24"/>
                <w:szCs w:val="24"/>
                <w:highlight w:val="none"/>
                <w:lang w:val="zh-CN"/>
              </w:rPr>
            </w:pPr>
            <w:r>
              <w:rPr>
                <w:rFonts w:hint="eastAsia" w:ascii="宋体" w:hAnsi="宋体" w:eastAsia="宋体" w:cs="宋体"/>
                <w:b/>
                <w:bCs/>
                <w:color w:val="auto"/>
                <w:sz w:val="24"/>
                <w:szCs w:val="24"/>
                <w:highlight w:val="none"/>
                <w:lang w:val="zh-CN"/>
              </w:rPr>
              <w:t>审查项</w:t>
            </w:r>
          </w:p>
          <w:p w14:paraId="316B5F87">
            <w:pPr>
              <w:pStyle w:val="49"/>
              <w:jc w:val="center"/>
              <w:rPr>
                <w:rFonts w:hint="eastAsia" w:ascii="宋体" w:hAnsi="宋体" w:eastAsia="宋体" w:cs="宋体"/>
                <w:b/>
                <w:bCs/>
                <w:color w:val="auto"/>
                <w:sz w:val="24"/>
                <w:szCs w:val="24"/>
                <w:highlight w:val="none"/>
                <w:lang w:val="zh-CN"/>
              </w:rPr>
            </w:pPr>
            <w:r>
              <w:rPr>
                <w:rFonts w:hint="eastAsia" w:ascii="宋体" w:hAnsi="宋体" w:eastAsia="宋体" w:cs="宋体"/>
                <w:b/>
                <w:bCs/>
                <w:color w:val="auto"/>
                <w:sz w:val="24"/>
                <w:szCs w:val="24"/>
                <w:highlight w:val="none"/>
                <w:lang w:val="zh-CN"/>
              </w:rPr>
              <w:t>名称</w:t>
            </w:r>
          </w:p>
        </w:tc>
        <w:tc>
          <w:tcPr>
            <w:tcW w:w="2965" w:type="pct"/>
            <w:vMerge w:val="restart"/>
            <w:shd w:val="clear" w:color="auto" w:fill="D8D8D8" w:themeFill="background1" w:themeFillShade="D9"/>
            <w:vAlign w:val="center"/>
          </w:tcPr>
          <w:p w14:paraId="44B32FDC">
            <w:pPr>
              <w:pStyle w:val="49"/>
              <w:jc w:val="center"/>
              <w:rPr>
                <w:rFonts w:hint="eastAsia" w:ascii="宋体" w:hAnsi="宋体" w:eastAsia="宋体" w:cs="宋体"/>
                <w:b/>
                <w:bCs/>
                <w:color w:val="auto"/>
                <w:sz w:val="24"/>
                <w:szCs w:val="24"/>
                <w:highlight w:val="none"/>
                <w:lang w:val="zh-CN"/>
              </w:rPr>
            </w:pPr>
            <w:r>
              <w:rPr>
                <w:rFonts w:hint="eastAsia" w:ascii="宋体" w:hAnsi="宋体" w:eastAsia="宋体" w:cs="宋体"/>
                <w:b/>
                <w:bCs/>
                <w:color w:val="auto"/>
                <w:sz w:val="24"/>
                <w:szCs w:val="24"/>
                <w:highlight w:val="none"/>
                <w:lang w:val="zh-CN"/>
              </w:rPr>
              <w:t>审查内容</w:t>
            </w:r>
          </w:p>
        </w:tc>
        <w:tc>
          <w:tcPr>
            <w:tcW w:w="1056" w:type="pct"/>
            <w:gridSpan w:val="2"/>
            <w:shd w:val="clear" w:color="auto" w:fill="D8D8D8" w:themeFill="background1" w:themeFillShade="D9"/>
            <w:vAlign w:val="center"/>
          </w:tcPr>
          <w:p w14:paraId="2724C461">
            <w:pPr>
              <w:pStyle w:val="49"/>
              <w:jc w:val="cente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审查结果</w:t>
            </w:r>
          </w:p>
        </w:tc>
      </w:tr>
      <w:tr w14:paraId="6963BE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3" w:hRule="atLeast"/>
        </w:trPr>
        <w:tc>
          <w:tcPr>
            <w:tcW w:w="274" w:type="pct"/>
            <w:vMerge w:val="continue"/>
            <w:shd w:val="clear" w:color="auto" w:fill="D8D8D8" w:themeFill="background1" w:themeFillShade="D9"/>
            <w:vAlign w:val="center"/>
          </w:tcPr>
          <w:p w14:paraId="1859AA86">
            <w:pPr>
              <w:pStyle w:val="49"/>
              <w:jc w:val="center"/>
              <w:rPr>
                <w:rFonts w:hint="eastAsia" w:ascii="宋体" w:hAnsi="宋体" w:eastAsia="宋体" w:cs="宋体"/>
                <w:b/>
                <w:bCs/>
                <w:color w:val="auto"/>
                <w:sz w:val="24"/>
                <w:szCs w:val="24"/>
                <w:highlight w:val="none"/>
                <w:lang w:val="zh-CN"/>
              </w:rPr>
            </w:pPr>
          </w:p>
        </w:tc>
        <w:tc>
          <w:tcPr>
            <w:tcW w:w="703" w:type="pct"/>
            <w:vMerge w:val="continue"/>
            <w:shd w:val="clear" w:color="auto" w:fill="D8D8D8" w:themeFill="background1" w:themeFillShade="D9"/>
            <w:vAlign w:val="center"/>
          </w:tcPr>
          <w:p w14:paraId="51EF0565">
            <w:pPr>
              <w:pStyle w:val="49"/>
              <w:jc w:val="center"/>
              <w:rPr>
                <w:rFonts w:hint="eastAsia" w:ascii="宋体" w:hAnsi="宋体" w:eastAsia="宋体" w:cs="宋体"/>
                <w:b/>
                <w:bCs/>
                <w:color w:val="auto"/>
                <w:sz w:val="24"/>
                <w:szCs w:val="24"/>
                <w:highlight w:val="none"/>
                <w:lang w:val="zh-CN"/>
              </w:rPr>
            </w:pPr>
          </w:p>
        </w:tc>
        <w:tc>
          <w:tcPr>
            <w:tcW w:w="2965" w:type="pct"/>
            <w:vMerge w:val="continue"/>
            <w:shd w:val="clear" w:color="auto" w:fill="D8D8D8" w:themeFill="background1" w:themeFillShade="D9"/>
            <w:vAlign w:val="center"/>
          </w:tcPr>
          <w:p w14:paraId="2128C077">
            <w:pPr>
              <w:pStyle w:val="49"/>
              <w:jc w:val="center"/>
              <w:rPr>
                <w:rFonts w:hint="eastAsia" w:ascii="宋体" w:hAnsi="宋体" w:eastAsia="宋体" w:cs="宋体"/>
                <w:b/>
                <w:bCs/>
                <w:color w:val="auto"/>
                <w:sz w:val="24"/>
                <w:szCs w:val="24"/>
                <w:highlight w:val="none"/>
                <w:lang w:val="zh-CN"/>
              </w:rPr>
            </w:pPr>
          </w:p>
        </w:tc>
        <w:tc>
          <w:tcPr>
            <w:tcW w:w="468" w:type="pct"/>
            <w:shd w:val="clear" w:color="auto" w:fill="D8D8D8" w:themeFill="background1" w:themeFillShade="D9"/>
            <w:vAlign w:val="center"/>
          </w:tcPr>
          <w:p w14:paraId="0CAA21D7">
            <w:pPr>
              <w:pStyle w:val="49"/>
              <w:jc w:val="cente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符合</w:t>
            </w:r>
          </w:p>
        </w:tc>
        <w:tc>
          <w:tcPr>
            <w:tcW w:w="588" w:type="pct"/>
            <w:shd w:val="clear" w:color="auto" w:fill="D8D8D8" w:themeFill="background1" w:themeFillShade="D9"/>
            <w:vAlign w:val="center"/>
          </w:tcPr>
          <w:p w14:paraId="15D1F439">
            <w:pPr>
              <w:pStyle w:val="49"/>
              <w:jc w:val="cente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不符合</w:t>
            </w:r>
          </w:p>
        </w:tc>
      </w:tr>
      <w:tr w14:paraId="233AF5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8" w:hRule="atLeast"/>
        </w:trPr>
        <w:tc>
          <w:tcPr>
            <w:tcW w:w="274" w:type="pct"/>
            <w:shd w:val="clear" w:color="auto" w:fill="auto"/>
            <w:vAlign w:val="center"/>
          </w:tcPr>
          <w:p w14:paraId="4A515C07">
            <w:pPr>
              <w:pStyle w:val="49"/>
              <w:numPr>
                <w:ilvl w:val="0"/>
                <w:numId w:val="0"/>
              </w:numPr>
              <w:ind w:left="420" w:leftChars="0" w:hanging="420" w:firstLineChars="0"/>
              <w:jc w:val="center"/>
              <w:rPr>
                <w:rFonts w:hint="eastAsia" w:ascii="宋体" w:hAnsi="宋体" w:eastAsia="宋体" w:cs="宋体"/>
                <w:color w:val="auto"/>
                <w:sz w:val="24"/>
                <w:szCs w:val="24"/>
                <w:highlight w:val="none"/>
                <w:lang w:val="zh-CN"/>
              </w:rPr>
            </w:pPr>
            <w:r>
              <w:rPr>
                <w:rFonts w:hint="eastAsia" w:ascii="宋体" w:hAnsi="宋体" w:eastAsia="宋体" w:cs="宋体"/>
                <w:color w:val="auto"/>
                <w:kern w:val="2"/>
                <w:sz w:val="24"/>
                <w:szCs w:val="24"/>
                <w:highlight w:val="none"/>
                <w:lang w:val="zh-CN" w:eastAsia="zh-CN" w:bidi="ar-SA"/>
              </w:rPr>
              <w:t>1</w:t>
            </w:r>
          </w:p>
        </w:tc>
        <w:tc>
          <w:tcPr>
            <w:tcW w:w="703" w:type="pct"/>
            <w:vAlign w:val="center"/>
          </w:tcPr>
          <w:p w14:paraId="5E0E3062">
            <w:pPr>
              <w:pStyle w:val="49"/>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投标文件</w:t>
            </w:r>
            <w:r>
              <w:rPr>
                <w:rFonts w:hint="eastAsia" w:ascii="宋体" w:hAnsi="宋体" w:eastAsia="宋体" w:cs="宋体"/>
                <w:color w:val="auto"/>
                <w:sz w:val="24"/>
                <w:szCs w:val="24"/>
                <w:highlight w:val="none"/>
              </w:rPr>
              <w:t>签署</w:t>
            </w:r>
          </w:p>
        </w:tc>
        <w:tc>
          <w:tcPr>
            <w:tcW w:w="2965" w:type="pct"/>
            <w:shd w:val="clear" w:color="auto" w:fill="auto"/>
            <w:vAlign w:val="center"/>
          </w:tcPr>
          <w:p w14:paraId="0FA4ED80">
            <w:pPr>
              <w:pStyle w:val="49"/>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en-US" w:eastAsia="zh-CN"/>
              </w:rPr>
              <w:t>投标文件按招标文件要求签署、盖章的</w:t>
            </w:r>
          </w:p>
        </w:tc>
        <w:tc>
          <w:tcPr>
            <w:tcW w:w="468" w:type="pct"/>
            <w:shd w:val="clear" w:color="auto" w:fill="auto"/>
            <w:vAlign w:val="center"/>
          </w:tcPr>
          <w:p w14:paraId="1E1F1EB1">
            <w:pPr>
              <w:pStyle w:val="49"/>
              <w:rPr>
                <w:rFonts w:hint="eastAsia" w:ascii="宋体" w:hAnsi="宋体" w:eastAsia="宋体" w:cs="宋体"/>
                <w:color w:val="auto"/>
                <w:sz w:val="24"/>
                <w:szCs w:val="24"/>
                <w:highlight w:val="none"/>
                <w:lang w:val="zh-CN"/>
              </w:rPr>
            </w:pPr>
          </w:p>
        </w:tc>
        <w:tc>
          <w:tcPr>
            <w:tcW w:w="588" w:type="pct"/>
            <w:shd w:val="clear" w:color="auto" w:fill="auto"/>
            <w:vAlign w:val="center"/>
          </w:tcPr>
          <w:p w14:paraId="35325BAA">
            <w:pPr>
              <w:pStyle w:val="49"/>
              <w:rPr>
                <w:rFonts w:hint="eastAsia" w:ascii="宋体" w:hAnsi="宋体" w:eastAsia="宋体" w:cs="宋体"/>
                <w:color w:val="auto"/>
                <w:sz w:val="24"/>
                <w:szCs w:val="24"/>
                <w:highlight w:val="none"/>
                <w:lang w:val="zh-CN"/>
              </w:rPr>
            </w:pPr>
          </w:p>
        </w:tc>
      </w:tr>
      <w:tr w14:paraId="6BB86F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6" w:hRule="atLeast"/>
        </w:trPr>
        <w:tc>
          <w:tcPr>
            <w:tcW w:w="274" w:type="pct"/>
            <w:shd w:val="clear" w:color="auto" w:fill="auto"/>
            <w:vAlign w:val="center"/>
          </w:tcPr>
          <w:p w14:paraId="70154C2F">
            <w:pPr>
              <w:pStyle w:val="49"/>
              <w:numPr>
                <w:ilvl w:val="0"/>
                <w:numId w:val="0"/>
              </w:numPr>
              <w:ind w:left="420" w:leftChars="0" w:hanging="420" w:firstLineChars="0"/>
              <w:jc w:val="center"/>
              <w:rPr>
                <w:rFonts w:hint="eastAsia" w:ascii="宋体" w:hAnsi="宋体" w:eastAsia="宋体" w:cs="宋体"/>
                <w:color w:val="auto"/>
                <w:kern w:val="2"/>
                <w:sz w:val="24"/>
                <w:szCs w:val="24"/>
                <w:highlight w:val="none"/>
                <w:lang w:val="zh-CN" w:eastAsia="zh-CN" w:bidi="ar-SA"/>
              </w:rPr>
            </w:pPr>
            <w:r>
              <w:rPr>
                <w:rFonts w:hint="eastAsia" w:ascii="宋体" w:hAnsi="宋体" w:eastAsia="宋体" w:cs="宋体"/>
                <w:color w:val="auto"/>
                <w:kern w:val="2"/>
                <w:sz w:val="24"/>
                <w:szCs w:val="24"/>
                <w:highlight w:val="none"/>
                <w:lang w:val="zh-CN" w:eastAsia="zh-CN" w:bidi="ar-SA"/>
              </w:rPr>
              <w:t>2</w:t>
            </w:r>
          </w:p>
        </w:tc>
        <w:tc>
          <w:tcPr>
            <w:tcW w:w="703" w:type="pct"/>
            <w:shd w:val="clear" w:color="auto" w:fill="auto"/>
            <w:vAlign w:val="center"/>
          </w:tcPr>
          <w:p w14:paraId="1B390AF0">
            <w:pPr>
              <w:pStyle w:val="49"/>
              <w:rPr>
                <w:rFonts w:hint="eastAsia" w:ascii="宋体" w:hAnsi="宋体" w:eastAsia="宋体" w:cs="宋体"/>
                <w:color w:val="auto"/>
                <w:kern w:val="2"/>
                <w:sz w:val="24"/>
                <w:szCs w:val="24"/>
                <w:highlight w:val="none"/>
                <w:lang w:val="zh-CN" w:eastAsia="zh-CN" w:bidi="ar-SA"/>
              </w:rPr>
            </w:pPr>
            <w:r>
              <w:rPr>
                <w:rFonts w:hint="eastAsia" w:ascii="宋体" w:hAnsi="宋体" w:eastAsia="宋体" w:cs="宋体"/>
                <w:color w:val="auto"/>
                <w:sz w:val="24"/>
                <w:szCs w:val="24"/>
                <w:highlight w:val="none"/>
                <w:lang w:val="zh-CN"/>
              </w:rPr>
              <w:t>实质性要求</w:t>
            </w:r>
          </w:p>
        </w:tc>
        <w:tc>
          <w:tcPr>
            <w:tcW w:w="2965" w:type="pct"/>
            <w:shd w:val="clear" w:color="auto" w:fill="auto"/>
            <w:vAlign w:val="center"/>
          </w:tcPr>
          <w:p w14:paraId="6D95F485">
            <w:pPr>
              <w:pStyle w:val="49"/>
              <w:rPr>
                <w:rFonts w:hint="eastAsia" w:ascii="宋体" w:hAnsi="宋体" w:eastAsia="宋体" w:cs="宋体"/>
                <w:color w:val="auto"/>
                <w:kern w:val="2"/>
                <w:sz w:val="24"/>
                <w:szCs w:val="24"/>
                <w:highlight w:val="none"/>
                <w:lang w:val="zh-CN" w:eastAsia="zh-CN" w:bidi="ar-SA"/>
              </w:rPr>
            </w:pP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lang w:val="zh-CN" w:eastAsia="zh-CN"/>
              </w:rPr>
              <w:t>文件满足</w:t>
            </w:r>
            <w:r>
              <w:rPr>
                <w:rFonts w:hint="eastAsia" w:ascii="宋体" w:hAnsi="宋体" w:eastAsia="宋体" w:cs="宋体"/>
                <w:color w:val="auto"/>
                <w:sz w:val="24"/>
                <w:szCs w:val="24"/>
                <w:highlight w:val="none"/>
                <w:lang w:val="en-US" w:eastAsia="zh-CN"/>
              </w:rPr>
              <w:t>招标</w:t>
            </w:r>
            <w:r>
              <w:rPr>
                <w:rFonts w:hint="eastAsia" w:ascii="宋体" w:hAnsi="宋体" w:eastAsia="宋体" w:cs="宋体"/>
                <w:color w:val="auto"/>
                <w:sz w:val="24"/>
                <w:szCs w:val="24"/>
                <w:highlight w:val="none"/>
                <w:lang w:val="zh-CN" w:eastAsia="zh-CN"/>
              </w:rPr>
              <w:t>文件中标注“★”号的实质性条款（或指标）要求的</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具体详见</w:t>
            </w:r>
            <w:r>
              <w:rPr>
                <w:rFonts w:hint="eastAsia" w:ascii="宋体" w:hAnsi="宋体" w:eastAsia="宋体" w:cs="宋体"/>
                <w:color w:val="auto"/>
                <w:sz w:val="24"/>
                <w:szCs w:val="24"/>
                <w:highlight w:val="none"/>
                <w:lang w:val="zh-CN"/>
              </w:rPr>
              <w:t>“实质性响应一览表”</w:t>
            </w:r>
          </w:p>
        </w:tc>
        <w:tc>
          <w:tcPr>
            <w:tcW w:w="468" w:type="pct"/>
            <w:shd w:val="clear" w:color="auto" w:fill="auto"/>
            <w:vAlign w:val="center"/>
          </w:tcPr>
          <w:p w14:paraId="4C63B966">
            <w:pPr>
              <w:pStyle w:val="49"/>
              <w:rPr>
                <w:rFonts w:hint="eastAsia" w:ascii="宋体" w:hAnsi="宋体" w:eastAsia="宋体" w:cs="宋体"/>
                <w:color w:val="auto"/>
                <w:sz w:val="24"/>
                <w:szCs w:val="24"/>
                <w:highlight w:val="none"/>
                <w:lang w:val="zh-CN"/>
              </w:rPr>
            </w:pPr>
          </w:p>
        </w:tc>
        <w:tc>
          <w:tcPr>
            <w:tcW w:w="588" w:type="pct"/>
            <w:shd w:val="clear" w:color="auto" w:fill="auto"/>
            <w:vAlign w:val="center"/>
          </w:tcPr>
          <w:p w14:paraId="5A615EFE">
            <w:pPr>
              <w:pStyle w:val="49"/>
              <w:rPr>
                <w:rFonts w:hint="eastAsia" w:ascii="宋体" w:hAnsi="宋体" w:eastAsia="宋体" w:cs="宋体"/>
                <w:color w:val="auto"/>
                <w:sz w:val="24"/>
                <w:szCs w:val="24"/>
                <w:highlight w:val="none"/>
                <w:lang w:val="zh-CN"/>
              </w:rPr>
            </w:pPr>
          </w:p>
        </w:tc>
      </w:tr>
      <w:tr w14:paraId="591B9B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8" w:hRule="atLeast"/>
        </w:trPr>
        <w:tc>
          <w:tcPr>
            <w:tcW w:w="274" w:type="pct"/>
            <w:shd w:val="clear" w:color="auto" w:fill="auto"/>
            <w:vAlign w:val="center"/>
          </w:tcPr>
          <w:p w14:paraId="48860C47">
            <w:pPr>
              <w:pStyle w:val="49"/>
              <w:numPr>
                <w:ilvl w:val="0"/>
                <w:numId w:val="0"/>
              </w:numPr>
              <w:ind w:left="420" w:leftChars="0" w:hanging="420" w:firstLineChars="0"/>
              <w:jc w:val="center"/>
              <w:rPr>
                <w:rFonts w:hint="eastAsia" w:ascii="宋体" w:hAnsi="宋体" w:eastAsia="宋体" w:cs="宋体"/>
                <w:color w:val="auto"/>
                <w:kern w:val="2"/>
                <w:sz w:val="24"/>
                <w:szCs w:val="24"/>
                <w:highlight w:val="none"/>
                <w:lang w:val="zh-CN" w:eastAsia="zh-CN" w:bidi="ar-SA"/>
              </w:rPr>
            </w:pPr>
            <w:r>
              <w:rPr>
                <w:rFonts w:hint="eastAsia" w:ascii="宋体" w:hAnsi="宋体" w:eastAsia="宋体" w:cs="宋体"/>
                <w:color w:val="auto"/>
                <w:kern w:val="2"/>
                <w:sz w:val="24"/>
                <w:szCs w:val="24"/>
                <w:highlight w:val="none"/>
                <w:lang w:val="zh-CN" w:eastAsia="zh-CN" w:bidi="ar-SA"/>
              </w:rPr>
              <w:t>3</w:t>
            </w:r>
          </w:p>
        </w:tc>
        <w:tc>
          <w:tcPr>
            <w:tcW w:w="703" w:type="pct"/>
            <w:vAlign w:val="center"/>
          </w:tcPr>
          <w:p w14:paraId="31EA832C">
            <w:pPr>
              <w:pStyle w:val="49"/>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投标报价</w:t>
            </w:r>
          </w:p>
        </w:tc>
        <w:tc>
          <w:tcPr>
            <w:tcW w:w="2965" w:type="pct"/>
            <w:shd w:val="clear" w:color="auto" w:fill="auto"/>
            <w:vAlign w:val="center"/>
          </w:tcPr>
          <w:p w14:paraId="02D97709">
            <w:pPr>
              <w:pStyle w:val="4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投标人报价未超过招标文件中规定的</w:t>
            </w:r>
            <w:r>
              <w:rPr>
                <w:rFonts w:hint="eastAsia" w:ascii="宋体" w:hAnsi="宋体" w:eastAsia="宋体" w:cs="宋体"/>
                <w:color w:val="auto"/>
                <w:sz w:val="24"/>
                <w:szCs w:val="24"/>
                <w:highlight w:val="none"/>
                <w:lang w:val="en-US" w:eastAsia="zh-CN"/>
              </w:rPr>
              <w:t>最高限价或者预算金额</w:t>
            </w:r>
            <w:r>
              <w:rPr>
                <w:rFonts w:hint="eastAsia" w:ascii="宋体" w:hAnsi="宋体" w:eastAsia="宋体" w:cs="宋体"/>
                <w:color w:val="auto"/>
                <w:kern w:val="2"/>
                <w:sz w:val="24"/>
                <w:szCs w:val="24"/>
                <w:highlight w:val="none"/>
                <w:lang w:val="en-US" w:eastAsia="zh-CN" w:bidi="ar-SA"/>
              </w:rPr>
              <w:t>的</w:t>
            </w:r>
          </w:p>
        </w:tc>
        <w:tc>
          <w:tcPr>
            <w:tcW w:w="468" w:type="pct"/>
            <w:shd w:val="clear" w:color="auto" w:fill="auto"/>
            <w:vAlign w:val="center"/>
          </w:tcPr>
          <w:p w14:paraId="18835E98">
            <w:pPr>
              <w:pStyle w:val="49"/>
              <w:rPr>
                <w:rFonts w:hint="eastAsia" w:ascii="宋体" w:hAnsi="宋体" w:eastAsia="宋体" w:cs="宋体"/>
                <w:color w:val="auto"/>
                <w:sz w:val="24"/>
                <w:szCs w:val="24"/>
                <w:highlight w:val="none"/>
                <w:lang w:val="zh-CN"/>
              </w:rPr>
            </w:pPr>
          </w:p>
        </w:tc>
        <w:tc>
          <w:tcPr>
            <w:tcW w:w="588" w:type="pct"/>
            <w:shd w:val="clear" w:color="auto" w:fill="auto"/>
            <w:vAlign w:val="center"/>
          </w:tcPr>
          <w:p w14:paraId="32826E79">
            <w:pPr>
              <w:pStyle w:val="49"/>
              <w:rPr>
                <w:rFonts w:hint="eastAsia" w:ascii="宋体" w:hAnsi="宋体" w:eastAsia="宋体" w:cs="宋体"/>
                <w:color w:val="auto"/>
                <w:sz w:val="24"/>
                <w:szCs w:val="24"/>
                <w:highlight w:val="none"/>
                <w:lang w:val="zh-CN"/>
              </w:rPr>
            </w:pPr>
          </w:p>
        </w:tc>
      </w:tr>
      <w:tr w14:paraId="60C205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4" w:hRule="atLeast"/>
        </w:trPr>
        <w:tc>
          <w:tcPr>
            <w:tcW w:w="274" w:type="pct"/>
            <w:shd w:val="clear" w:color="auto" w:fill="auto"/>
            <w:vAlign w:val="center"/>
          </w:tcPr>
          <w:p w14:paraId="07BB2C40">
            <w:pPr>
              <w:pStyle w:val="49"/>
              <w:numPr>
                <w:ilvl w:val="0"/>
                <w:numId w:val="0"/>
              </w:numPr>
              <w:ind w:left="420" w:leftChars="0" w:hanging="420" w:firstLineChars="0"/>
              <w:jc w:val="center"/>
              <w:rPr>
                <w:rFonts w:hint="eastAsia" w:ascii="宋体" w:hAnsi="宋体" w:eastAsia="宋体" w:cs="宋体"/>
                <w:color w:val="auto"/>
                <w:kern w:val="2"/>
                <w:sz w:val="24"/>
                <w:szCs w:val="24"/>
                <w:highlight w:val="none"/>
                <w:lang w:val="zh-CN" w:eastAsia="zh-CN" w:bidi="ar-SA"/>
              </w:rPr>
            </w:pPr>
            <w:r>
              <w:rPr>
                <w:rFonts w:hint="eastAsia" w:ascii="宋体" w:hAnsi="宋体" w:eastAsia="宋体" w:cs="宋体"/>
                <w:color w:val="auto"/>
                <w:kern w:val="2"/>
                <w:sz w:val="24"/>
                <w:szCs w:val="24"/>
                <w:highlight w:val="none"/>
                <w:lang w:val="en-US" w:eastAsia="zh-CN" w:bidi="ar-SA"/>
              </w:rPr>
              <w:t>4</w:t>
            </w:r>
          </w:p>
        </w:tc>
        <w:tc>
          <w:tcPr>
            <w:tcW w:w="703" w:type="pct"/>
            <w:shd w:val="clear" w:color="auto" w:fill="auto"/>
            <w:vAlign w:val="center"/>
          </w:tcPr>
          <w:p w14:paraId="4E498260">
            <w:pPr>
              <w:pStyle w:val="4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采购清单</w:t>
            </w:r>
          </w:p>
        </w:tc>
        <w:tc>
          <w:tcPr>
            <w:tcW w:w="2965" w:type="pct"/>
            <w:shd w:val="clear" w:color="auto" w:fill="auto"/>
            <w:vAlign w:val="center"/>
          </w:tcPr>
          <w:p w14:paraId="4AACFDE7">
            <w:pPr>
              <w:pStyle w:val="4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未改变招标文件提供的采购清单</w:t>
            </w:r>
            <w:r>
              <w:rPr>
                <w:rFonts w:hint="eastAsia" w:cs="宋体"/>
                <w:color w:val="auto"/>
                <w:kern w:val="2"/>
                <w:sz w:val="24"/>
                <w:szCs w:val="24"/>
                <w:highlight w:val="none"/>
                <w:lang w:val="en-US" w:eastAsia="zh-CN" w:bidi="ar-SA"/>
              </w:rPr>
              <w:t>数量</w:t>
            </w:r>
            <w:r>
              <w:rPr>
                <w:rFonts w:hint="eastAsia" w:ascii="宋体" w:hAnsi="宋体" w:eastAsia="宋体" w:cs="宋体"/>
                <w:color w:val="auto"/>
                <w:kern w:val="2"/>
                <w:sz w:val="24"/>
                <w:szCs w:val="24"/>
                <w:highlight w:val="none"/>
                <w:lang w:val="en-US" w:eastAsia="zh-CN" w:bidi="ar-SA"/>
              </w:rPr>
              <w:t>的</w:t>
            </w:r>
          </w:p>
        </w:tc>
        <w:tc>
          <w:tcPr>
            <w:tcW w:w="468" w:type="pct"/>
            <w:shd w:val="clear" w:color="auto" w:fill="auto"/>
            <w:vAlign w:val="center"/>
          </w:tcPr>
          <w:p w14:paraId="1732D4F9">
            <w:pPr>
              <w:pStyle w:val="49"/>
              <w:rPr>
                <w:rFonts w:hint="eastAsia" w:ascii="宋体" w:hAnsi="宋体" w:eastAsia="宋体" w:cs="宋体"/>
                <w:color w:val="auto"/>
                <w:sz w:val="24"/>
                <w:szCs w:val="24"/>
                <w:highlight w:val="none"/>
                <w:lang w:val="zh-CN"/>
              </w:rPr>
            </w:pPr>
          </w:p>
        </w:tc>
        <w:tc>
          <w:tcPr>
            <w:tcW w:w="588" w:type="pct"/>
            <w:shd w:val="clear" w:color="auto" w:fill="auto"/>
            <w:vAlign w:val="center"/>
          </w:tcPr>
          <w:p w14:paraId="2F083EAE">
            <w:pPr>
              <w:pStyle w:val="49"/>
              <w:rPr>
                <w:rFonts w:hint="eastAsia" w:ascii="宋体" w:hAnsi="宋体" w:eastAsia="宋体" w:cs="宋体"/>
                <w:color w:val="auto"/>
                <w:sz w:val="24"/>
                <w:szCs w:val="24"/>
                <w:highlight w:val="none"/>
                <w:lang w:val="zh-CN"/>
              </w:rPr>
            </w:pPr>
          </w:p>
        </w:tc>
      </w:tr>
      <w:tr w14:paraId="2A14E2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4" w:hRule="atLeast"/>
        </w:trPr>
        <w:tc>
          <w:tcPr>
            <w:tcW w:w="274" w:type="pct"/>
            <w:shd w:val="clear" w:color="auto" w:fill="auto"/>
            <w:vAlign w:val="center"/>
          </w:tcPr>
          <w:p w14:paraId="23353E08">
            <w:pPr>
              <w:pStyle w:val="49"/>
              <w:numPr>
                <w:ilvl w:val="0"/>
                <w:numId w:val="0"/>
              </w:numPr>
              <w:ind w:left="420" w:leftChars="0" w:hanging="420" w:firstLineChars="0"/>
              <w:jc w:val="center"/>
              <w:rPr>
                <w:rFonts w:hint="default" w:ascii="宋体" w:hAnsi="宋体" w:eastAsia="宋体" w:cs="宋体"/>
                <w:color w:val="auto"/>
                <w:kern w:val="2"/>
                <w:sz w:val="24"/>
                <w:szCs w:val="24"/>
                <w:highlight w:val="none"/>
                <w:lang w:val="en-US" w:eastAsia="zh-CN" w:bidi="ar-SA"/>
              </w:rPr>
            </w:pPr>
            <w:r>
              <w:rPr>
                <w:rFonts w:hint="eastAsia" w:cs="宋体"/>
                <w:color w:val="auto"/>
                <w:kern w:val="2"/>
                <w:sz w:val="24"/>
                <w:szCs w:val="24"/>
                <w:highlight w:val="none"/>
                <w:lang w:val="en-US" w:eastAsia="zh-CN" w:bidi="ar-SA"/>
              </w:rPr>
              <w:t>5</w:t>
            </w:r>
          </w:p>
        </w:tc>
        <w:tc>
          <w:tcPr>
            <w:tcW w:w="703" w:type="pct"/>
            <w:shd w:val="clear" w:color="auto" w:fill="auto"/>
            <w:vAlign w:val="center"/>
          </w:tcPr>
          <w:p w14:paraId="510CF1EC">
            <w:pPr>
              <w:pStyle w:val="49"/>
              <w:rPr>
                <w:rFonts w:hint="default" w:ascii="宋体" w:hAnsi="宋体" w:eastAsia="宋体" w:cs="宋体"/>
                <w:color w:val="auto"/>
                <w:kern w:val="2"/>
                <w:sz w:val="24"/>
                <w:szCs w:val="24"/>
                <w:highlight w:val="none"/>
                <w:lang w:val="en-US" w:eastAsia="zh-CN" w:bidi="ar-SA"/>
              </w:rPr>
            </w:pPr>
            <w:r>
              <w:rPr>
                <w:rFonts w:hint="eastAsia" w:cs="宋体"/>
                <w:color w:val="auto"/>
                <w:kern w:val="2"/>
                <w:sz w:val="24"/>
                <w:szCs w:val="24"/>
                <w:highlight w:val="none"/>
                <w:lang w:val="en-US" w:eastAsia="zh-CN" w:bidi="ar-SA"/>
              </w:rPr>
              <w:t>服务期限</w:t>
            </w:r>
          </w:p>
        </w:tc>
        <w:tc>
          <w:tcPr>
            <w:tcW w:w="2965" w:type="pct"/>
            <w:shd w:val="clear" w:color="auto" w:fill="auto"/>
            <w:vAlign w:val="center"/>
          </w:tcPr>
          <w:p w14:paraId="348D97ED">
            <w:pPr>
              <w:pStyle w:val="49"/>
              <w:rPr>
                <w:rFonts w:hint="default" w:ascii="宋体" w:hAnsi="宋体" w:eastAsia="宋体" w:cs="宋体"/>
                <w:color w:val="auto"/>
                <w:kern w:val="2"/>
                <w:sz w:val="24"/>
                <w:szCs w:val="24"/>
                <w:highlight w:val="none"/>
                <w:lang w:val="en-US" w:eastAsia="zh-CN" w:bidi="ar-SA"/>
              </w:rPr>
            </w:pPr>
            <w:r>
              <w:rPr>
                <w:rFonts w:hint="eastAsia" w:cs="宋体"/>
                <w:color w:val="auto"/>
                <w:kern w:val="2"/>
                <w:sz w:val="24"/>
                <w:szCs w:val="24"/>
                <w:highlight w:val="none"/>
                <w:lang w:val="en-US" w:eastAsia="zh-CN" w:bidi="ar-SA"/>
              </w:rPr>
              <w:t>服务期限符合招标文件要求</w:t>
            </w:r>
          </w:p>
        </w:tc>
        <w:tc>
          <w:tcPr>
            <w:tcW w:w="468" w:type="pct"/>
            <w:shd w:val="clear" w:color="auto" w:fill="auto"/>
            <w:vAlign w:val="center"/>
          </w:tcPr>
          <w:p w14:paraId="217320B0">
            <w:pPr>
              <w:pStyle w:val="49"/>
              <w:rPr>
                <w:rFonts w:hint="eastAsia" w:ascii="宋体" w:hAnsi="宋体" w:eastAsia="宋体" w:cs="宋体"/>
                <w:color w:val="auto"/>
                <w:sz w:val="24"/>
                <w:szCs w:val="24"/>
                <w:highlight w:val="none"/>
                <w:lang w:val="zh-CN"/>
              </w:rPr>
            </w:pPr>
          </w:p>
        </w:tc>
        <w:tc>
          <w:tcPr>
            <w:tcW w:w="588" w:type="pct"/>
            <w:shd w:val="clear" w:color="auto" w:fill="auto"/>
            <w:vAlign w:val="center"/>
          </w:tcPr>
          <w:p w14:paraId="75BDB5AA">
            <w:pPr>
              <w:pStyle w:val="49"/>
              <w:rPr>
                <w:rFonts w:hint="eastAsia" w:ascii="宋体" w:hAnsi="宋体" w:eastAsia="宋体" w:cs="宋体"/>
                <w:color w:val="auto"/>
                <w:sz w:val="24"/>
                <w:szCs w:val="24"/>
                <w:highlight w:val="none"/>
                <w:lang w:val="zh-CN"/>
              </w:rPr>
            </w:pPr>
          </w:p>
        </w:tc>
      </w:tr>
      <w:tr w14:paraId="369219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4" w:hRule="atLeast"/>
        </w:trPr>
        <w:tc>
          <w:tcPr>
            <w:tcW w:w="274" w:type="pct"/>
            <w:shd w:val="clear" w:color="auto" w:fill="auto"/>
            <w:vAlign w:val="center"/>
          </w:tcPr>
          <w:p w14:paraId="1AD37E34">
            <w:pPr>
              <w:pStyle w:val="49"/>
              <w:numPr>
                <w:ilvl w:val="0"/>
                <w:numId w:val="0"/>
              </w:numPr>
              <w:ind w:left="420" w:leftChars="0" w:hanging="420" w:firstLineChars="0"/>
              <w:jc w:val="center"/>
              <w:rPr>
                <w:rFonts w:hint="default" w:ascii="宋体" w:hAnsi="宋体" w:eastAsia="宋体" w:cs="宋体"/>
                <w:color w:val="auto"/>
                <w:kern w:val="2"/>
                <w:sz w:val="24"/>
                <w:szCs w:val="24"/>
                <w:highlight w:val="none"/>
                <w:lang w:val="en-US" w:eastAsia="zh-CN" w:bidi="ar-SA"/>
              </w:rPr>
            </w:pPr>
            <w:r>
              <w:rPr>
                <w:rFonts w:hint="eastAsia" w:cs="宋体"/>
                <w:color w:val="auto"/>
                <w:kern w:val="2"/>
                <w:sz w:val="24"/>
                <w:szCs w:val="24"/>
                <w:highlight w:val="none"/>
                <w:lang w:val="en-US" w:eastAsia="zh-CN" w:bidi="ar-SA"/>
              </w:rPr>
              <w:t>6</w:t>
            </w:r>
          </w:p>
        </w:tc>
        <w:tc>
          <w:tcPr>
            <w:tcW w:w="703" w:type="pct"/>
            <w:shd w:val="clear" w:color="auto" w:fill="auto"/>
            <w:vAlign w:val="center"/>
          </w:tcPr>
          <w:p w14:paraId="72D29720">
            <w:pPr>
              <w:pStyle w:val="49"/>
              <w:rPr>
                <w:rFonts w:hint="default" w:cs="宋体"/>
                <w:color w:val="auto"/>
                <w:kern w:val="2"/>
                <w:sz w:val="24"/>
                <w:szCs w:val="24"/>
                <w:highlight w:val="none"/>
                <w:lang w:val="en-US" w:eastAsia="zh-CN" w:bidi="ar-SA"/>
              </w:rPr>
            </w:pPr>
            <w:r>
              <w:rPr>
                <w:rFonts w:hint="eastAsia" w:cs="宋体"/>
                <w:color w:val="auto"/>
                <w:kern w:val="2"/>
                <w:sz w:val="24"/>
                <w:szCs w:val="24"/>
                <w:highlight w:val="none"/>
                <w:lang w:val="en-US" w:eastAsia="zh-CN" w:bidi="ar-SA"/>
              </w:rPr>
              <w:t>投标有效期</w:t>
            </w:r>
          </w:p>
        </w:tc>
        <w:tc>
          <w:tcPr>
            <w:tcW w:w="2965" w:type="pct"/>
            <w:shd w:val="clear" w:color="auto" w:fill="auto"/>
            <w:vAlign w:val="center"/>
          </w:tcPr>
          <w:p w14:paraId="5DD79CC6">
            <w:pPr>
              <w:pStyle w:val="49"/>
              <w:rPr>
                <w:rFonts w:hint="eastAsia" w:ascii="宋体" w:hAnsi="宋体" w:eastAsia="宋体" w:cs="宋体"/>
                <w:color w:val="auto"/>
                <w:kern w:val="2"/>
                <w:sz w:val="24"/>
                <w:szCs w:val="24"/>
                <w:highlight w:val="none"/>
                <w:lang w:val="en-US" w:eastAsia="zh-CN" w:bidi="ar-SA"/>
              </w:rPr>
            </w:pPr>
            <w:r>
              <w:rPr>
                <w:rFonts w:hint="eastAsia" w:cs="宋体"/>
                <w:color w:val="auto"/>
                <w:kern w:val="2"/>
                <w:sz w:val="24"/>
                <w:szCs w:val="24"/>
                <w:highlight w:val="none"/>
                <w:lang w:val="en-US" w:eastAsia="zh-CN" w:bidi="ar-SA"/>
              </w:rPr>
              <w:t>投标有效期符合招标文件要求</w:t>
            </w:r>
          </w:p>
        </w:tc>
        <w:tc>
          <w:tcPr>
            <w:tcW w:w="468" w:type="pct"/>
            <w:shd w:val="clear" w:color="auto" w:fill="auto"/>
            <w:vAlign w:val="center"/>
          </w:tcPr>
          <w:p w14:paraId="5B78F1F4">
            <w:pPr>
              <w:pStyle w:val="49"/>
              <w:rPr>
                <w:rFonts w:hint="eastAsia" w:ascii="宋体" w:hAnsi="宋体" w:eastAsia="宋体" w:cs="宋体"/>
                <w:color w:val="auto"/>
                <w:sz w:val="24"/>
                <w:szCs w:val="24"/>
                <w:highlight w:val="none"/>
                <w:lang w:val="zh-CN"/>
              </w:rPr>
            </w:pPr>
          </w:p>
        </w:tc>
        <w:tc>
          <w:tcPr>
            <w:tcW w:w="588" w:type="pct"/>
            <w:shd w:val="clear" w:color="auto" w:fill="auto"/>
            <w:vAlign w:val="center"/>
          </w:tcPr>
          <w:p w14:paraId="323EDD17">
            <w:pPr>
              <w:pStyle w:val="49"/>
              <w:rPr>
                <w:rFonts w:hint="eastAsia" w:ascii="宋体" w:hAnsi="宋体" w:eastAsia="宋体" w:cs="宋体"/>
                <w:color w:val="auto"/>
                <w:sz w:val="24"/>
                <w:szCs w:val="24"/>
                <w:highlight w:val="none"/>
                <w:lang w:val="zh-CN"/>
              </w:rPr>
            </w:pPr>
          </w:p>
        </w:tc>
      </w:tr>
      <w:tr w14:paraId="37C419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0" w:hRule="atLeast"/>
        </w:trPr>
        <w:tc>
          <w:tcPr>
            <w:tcW w:w="274" w:type="pct"/>
            <w:shd w:val="clear" w:color="auto" w:fill="auto"/>
            <w:vAlign w:val="center"/>
          </w:tcPr>
          <w:p w14:paraId="31C12A1B">
            <w:pPr>
              <w:pStyle w:val="49"/>
              <w:numPr>
                <w:ilvl w:val="0"/>
                <w:numId w:val="0"/>
              </w:numPr>
              <w:ind w:left="420" w:leftChars="0" w:hanging="420" w:firstLineChars="0"/>
              <w:jc w:val="center"/>
              <w:rPr>
                <w:rFonts w:hint="default" w:ascii="宋体" w:hAnsi="宋体" w:eastAsia="宋体" w:cs="宋体"/>
                <w:color w:val="auto"/>
                <w:kern w:val="2"/>
                <w:sz w:val="24"/>
                <w:szCs w:val="24"/>
                <w:highlight w:val="none"/>
                <w:lang w:val="en-US" w:eastAsia="zh-CN" w:bidi="ar-SA"/>
              </w:rPr>
            </w:pPr>
            <w:r>
              <w:rPr>
                <w:rFonts w:hint="eastAsia" w:cs="宋体"/>
                <w:color w:val="auto"/>
                <w:kern w:val="2"/>
                <w:sz w:val="24"/>
                <w:szCs w:val="24"/>
                <w:highlight w:val="none"/>
                <w:lang w:val="en-US" w:eastAsia="zh-CN" w:bidi="ar-SA"/>
              </w:rPr>
              <w:t>7</w:t>
            </w:r>
          </w:p>
        </w:tc>
        <w:tc>
          <w:tcPr>
            <w:tcW w:w="703" w:type="pct"/>
            <w:vAlign w:val="center"/>
          </w:tcPr>
          <w:p w14:paraId="55194F4F">
            <w:pPr>
              <w:pStyle w:val="4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投标保证金</w:t>
            </w:r>
          </w:p>
        </w:tc>
        <w:tc>
          <w:tcPr>
            <w:tcW w:w="2965" w:type="pct"/>
            <w:shd w:val="clear" w:color="auto" w:fill="auto"/>
            <w:vAlign w:val="center"/>
          </w:tcPr>
          <w:p w14:paraId="4803457A">
            <w:pPr>
              <w:pStyle w:val="49"/>
              <w:rPr>
                <w:rFonts w:hint="eastAsia" w:ascii="宋体" w:hAnsi="宋体" w:eastAsia="宋体" w:cs="宋体"/>
                <w:color w:val="auto"/>
                <w:kern w:val="2"/>
                <w:sz w:val="24"/>
                <w:szCs w:val="24"/>
                <w:highlight w:val="none"/>
                <w:lang w:val="zh-CN" w:eastAsia="zh-CN" w:bidi="ar-SA"/>
              </w:rPr>
            </w:pPr>
            <w:r>
              <w:rPr>
                <w:rFonts w:hint="eastAsia" w:ascii="宋体" w:hAnsi="宋体" w:eastAsia="宋体" w:cs="宋体"/>
                <w:color w:val="auto"/>
                <w:sz w:val="24"/>
                <w:szCs w:val="24"/>
                <w:highlight w:val="none"/>
                <w:lang w:val="en-US" w:eastAsia="zh-CN"/>
              </w:rPr>
              <w:t>投标人按招标文件的规定交纳投标保证金的</w:t>
            </w:r>
          </w:p>
        </w:tc>
        <w:tc>
          <w:tcPr>
            <w:tcW w:w="468" w:type="pct"/>
            <w:shd w:val="clear" w:color="auto" w:fill="auto"/>
            <w:vAlign w:val="center"/>
          </w:tcPr>
          <w:p w14:paraId="194FF3C2">
            <w:pPr>
              <w:pStyle w:val="49"/>
              <w:rPr>
                <w:rFonts w:hint="eastAsia" w:ascii="宋体" w:hAnsi="宋体" w:eastAsia="宋体" w:cs="宋体"/>
                <w:color w:val="auto"/>
                <w:sz w:val="24"/>
                <w:szCs w:val="24"/>
                <w:highlight w:val="none"/>
                <w:lang w:val="zh-CN"/>
              </w:rPr>
            </w:pPr>
          </w:p>
        </w:tc>
        <w:tc>
          <w:tcPr>
            <w:tcW w:w="588" w:type="pct"/>
            <w:shd w:val="clear" w:color="auto" w:fill="auto"/>
            <w:vAlign w:val="center"/>
          </w:tcPr>
          <w:p w14:paraId="2372B823">
            <w:pPr>
              <w:pStyle w:val="49"/>
              <w:rPr>
                <w:rFonts w:hint="eastAsia" w:ascii="宋体" w:hAnsi="宋体" w:eastAsia="宋体" w:cs="宋体"/>
                <w:color w:val="auto"/>
                <w:sz w:val="24"/>
                <w:szCs w:val="24"/>
                <w:highlight w:val="none"/>
                <w:lang w:val="zh-CN"/>
              </w:rPr>
            </w:pPr>
          </w:p>
        </w:tc>
      </w:tr>
      <w:tr w14:paraId="35AAC1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8" w:hRule="atLeast"/>
        </w:trPr>
        <w:tc>
          <w:tcPr>
            <w:tcW w:w="274" w:type="pct"/>
            <w:shd w:val="clear" w:color="auto" w:fill="auto"/>
            <w:vAlign w:val="center"/>
          </w:tcPr>
          <w:p w14:paraId="332BD4A6">
            <w:pPr>
              <w:pStyle w:val="49"/>
              <w:numPr>
                <w:ilvl w:val="0"/>
                <w:numId w:val="0"/>
              </w:numPr>
              <w:ind w:left="420" w:leftChars="0" w:hanging="420" w:firstLineChars="0"/>
              <w:jc w:val="center"/>
              <w:rPr>
                <w:rFonts w:hint="default" w:ascii="宋体" w:hAnsi="宋体" w:eastAsia="宋体" w:cs="宋体"/>
                <w:color w:val="auto"/>
                <w:kern w:val="2"/>
                <w:sz w:val="24"/>
                <w:szCs w:val="24"/>
                <w:highlight w:val="none"/>
                <w:lang w:val="en-US" w:eastAsia="zh-CN" w:bidi="ar-SA"/>
              </w:rPr>
            </w:pPr>
            <w:r>
              <w:rPr>
                <w:rFonts w:hint="eastAsia" w:cs="宋体"/>
                <w:color w:val="auto"/>
                <w:kern w:val="2"/>
                <w:sz w:val="24"/>
                <w:szCs w:val="24"/>
                <w:highlight w:val="none"/>
                <w:lang w:val="en-US" w:eastAsia="zh-CN" w:bidi="ar-SA"/>
              </w:rPr>
              <w:t>8</w:t>
            </w:r>
          </w:p>
        </w:tc>
        <w:tc>
          <w:tcPr>
            <w:tcW w:w="703" w:type="pct"/>
            <w:vAlign w:val="center"/>
          </w:tcPr>
          <w:p w14:paraId="56EEFE7E">
            <w:pPr>
              <w:pStyle w:val="4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附加条件</w:t>
            </w:r>
          </w:p>
        </w:tc>
        <w:tc>
          <w:tcPr>
            <w:tcW w:w="2965" w:type="pct"/>
            <w:shd w:val="clear" w:color="auto" w:fill="auto"/>
            <w:vAlign w:val="center"/>
          </w:tcPr>
          <w:p w14:paraId="618DB2FB">
            <w:pPr>
              <w:pStyle w:val="4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投标文件没有采购人不能接受的附加条件的</w:t>
            </w:r>
          </w:p>
        </w:tc>
        <w:tc>
          <w:tcPr>
            <w:tcW w:w="468" w:type="pct"/>
            <w:shd w:val="clear" w:color="auto" w:fill="auto"/>
            <w:vAlign w:val="center"/>
          </w:tcPr>
          <w:p w14:paraId="36C2A679">
            <w:pPr>
              <w:pStyle w:val="49"/>
              <w:rPr>
                <w:rFonts w:hint="eastAsia" w:ascii="宋体" w:hAnsi="宋体" w:eastAsia="宋体" w:cs="宋体"/>
                <w:color w:val="auto"/>
                <w:sz w:val="24"/>
                <w:szCs w:val="24"/>
                <w:highlight w:val="none"/>
                <w:lang w:val="zh-CN"/>
              </w:rPr>
            </w:pPr>
          </w:p>
        </w:tc>
        <w:tc>
          <w:tcPr>
            <w:tcW w:w="588" w:type="pct"/>
            <w:shd w:val="clear" w:color="auto" w:fill="auto"/>
            <w:vAlign w:val="center"/>
          </w:tcPr>
          <w:p w14:paraId="73E4201A">
            <w:pPr>
              <w:pStyle w:val="49"/>
              <w:rPr>
                <w:rFonts w:hint="eastAsia" w:ascii="宋体" w:hAnsi="宋体" w:eastAsia="宋体" w:cs="宋体"/>
                <w:color w:val="auto"/>
                <w:sz w:val="24"/>
                <w:szCs w:val="24"/>
                <w:highlight w:val="none"/>
                <w:lang w:val="zh-CN"/>
              </w:rPr>
            </w:pPr>
          </w:p>
        </w:tc>
      </w:tr>
      <w:tr w14:paraId="56775C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8" w:hRule="atLeast"/>
        </w:trPr>
        <w:tc>
          <w:tcPr>
            <w:tcW w:w="274" w:type="pct"/>
            <w:shd w:val="clear" w:color="auto" w:fill="auto"/>
            <w:vAlign w:val="center"/>
          </w:tcPr>
          <w:p w14:paraId="3CD6AABE">
            <w:pPr>
              <w:pStyle w:val="49"/>
              <w:numPr>
                <w:ilvl w:val="0"/>
                <w:numId w:val="0"/>
              </w:numPr>
              <w:ind w:left="420" w:leftChars="0" w:hanging="420" w:firstLineChars="0"/>
              <w:jc w:val="center"/>
              <w:rPr>
                <w:rFonts w:hint="default" w:ascii="宋体" w:hAnsi="宋体" w:eastAsia="宋体" w:cs="宋体"/>
                <w:color w:val="auto"/>
                <w:kern w:val="2"/>
                <w:sz w:val="24"/>
                <w:szCs w:val="24"/>
                <w:highlight w:val="none"/>
                <w:lang w:val="en-US" w:eastAsia="zh-CN" w:bidi="ar-SA"/>
              </w:rPr>
            </w:pPr>
            <w:r>
              <w:rPr>
                <w:rFonts w:hint="eastAsia" w:cs="宋体"/>
                <w:color w:val="auto"/>
                <w:kern w:val="2"/>
                <w:sz w:val="24"/>
                <w:szCs w:val="24"/>
                <w:highlight w:val="none"/>
                <w:lang w:val="en-US" w:eastAsia="zh-CN" w:bidi="ar-SA"/>
              </w:rPr>
              <w:t>9</w:t>
            </w:r>
          </w:p>
        </w:tc>
        <w:tc>
          <w:tcPr>
            <w:tcW w:w="703" w:type="pct"/>
            <w:vAlign w:val="center"/>
          </w:tcPr>
          <w:p w14:paraId="40726A5F">
            <w:pPr>
              <w:pStyle w:val="49"/>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其他无效情形</w:t>
            </w:r>
          </w:p>
        </w:tc>
        <w:tc>
          <w:tcPr>
            <w:tcW w:w="2965" w:type="pct"/>
            <w:shd w:val="clear" w:color="auto" w:fill="auto"/>
            <w:vAlign w:val="center"/>
          </w:tcPr>
          <w:p w14:paraId="05CC0303">
            <w:pPr>
              <w:pStyle w:val="49"/>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en-US" w:eastAsia="zh-CN"/>
              </w:rPr>
              <w:t>没有</w:t>
            </w:r>
            <w:r>
              <w:rPr>
                <w:rFonts w:hint="eastAsia" w:ascii="宋体" w:hAnsi="宋体" w:eastAsia="宋体" w:cs="宋体"/>
                <w:color w:val="auto"/>
                <w:sz w:val="24"/>
                <w:szCs w:val="24"/>
                <w:highlight w:val="none"/>
                <w:lang w:val="zh-CN" w:eastAsia="zh-CN"/>
              </w:rPr>
              <w:t>法律、法规、规章规定属于</w:t>
            </w: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lang w:val="zh-CN" w:eastAsia="zh-CN"/>
              </w:rPr>
              <w:t>无效的其他情形。</w:t>
            </w:r>
          </w:p>
        </w:tc>
        <w:tc>
          <w:tcPr>
            <w:tcW w:w="468" w:type="pct"/>
            <w:shd w:val="clear" w:color="auto" w:fill="auto"/>
            <w:vAlign w:val="center"/>
          </w:tcPr>
          <w:p w14:paraId="3A44DE13">
            <w:pPr>
              <w:pStyle w:val="49"/>
              <w:rPr>
                <w:rFonts w:hint="eastAsia" w:ascii="宋体" w:hAnsi="宋体" w:eastAsia="宋体" w:cs="宋体"/>
                <w:color w:val="auto"/>
                <w:sz w:val="24"/>
                <w:szCs w:val="24"/>
                <w:highlight w:val="none"/>
                <w:lang w:val="zh-CN"/>
              </w:rPr>
            </w:pPr>
          </w:p>
        </w:tc>
        <w:tc>
          <w:tcPr>
            <w:tcW w:w="588" w:type="pct"/>
            <w:shd w:val="clear" w:color="auto" w:fill="auto"/>
            <w:vAlign w:val="center"/>
          </w:tcPr>
          <w:p w14:paraId="5D1C94D8">
            <w:pPr>
              <w:pStyle w:val="49"/>
              <w:rPr>
                <w:rFonts w:hint="eastAsia" w:ascii="宋体" w:hAnsi="宋体" w:eastAsia="宋体" w:cs="宋体"/>
                <w:color w:val="auto"/>
                <w:sz w:val="24"/>
                <w:szCs w:val="24"/>
                <w:highlight w:val="none"/>
                <w:lang w:val="zh-CN"/>
              </w:rPr>
            </w:pPr>
          </w:p>
        </w:tc>
      </w:tr>
    </w:tbl>
    <w:p w14:paraId="7D635A1B">
      <w:pPr>
        <w:shd w:val="clear" w:color="auto" w:fill="FFFFFF"/>
        <w:tabs>
          <w:tab w:val="left" w:pos="3045"/>
        </w:tabs>
        <w:autoSpaceDE w:val="0"/>
        <w:autoSpaceDN w:val="0"/>
        <w:adjustRightInd w:val="0"/>
        <w:snapToGrid w:val="0"/>
        <w:spacing w:line="360" w:lineRule="exact"/>
        <w:rPr>
          <w:rFonts w:hint="eastAsia" w:ascii="宋体" w:hAnsi="宋体" w:cs="宋体"/>
          <w:b/>
          <w:color w:val="auto"/>
          <w:sz w:val="24"/>
          <w:highlight w:val="none"/>
        </w:rPr>
      </w:pPr>
    </w:p>
    <w:p w14:paraId="1C64EE8E">
      <w:pPr>
        <w:shd w:val="clear" w:color="auto" w:fill="FFFFFF"/>
        <w:tabs>
          <w:tab w:val="left" w:pos="3045"/>
        </w:tabs>
        <w:autoSpaceDE w:val="0"/>
        <w:autoSpaceDN w:val="0"/>
        <w:adjustRightInd w:val="0"/>
        <w:snapToGrid w:val="0"/>
        <w:spacing w:line="360" w:lineRule="exact"/>
        <w:rPr>
          <w:rFonts w:hint="eastAsia" w:ascii="宋体" w:hAnsi="宋体" w:cs="宋体"/>
          <w:b/>
          <w:color w:val="auto"/>
          <w:sz w:val="24"/>
          <w:highlight w:val="none"/>
        </w:rPr>
      </w:pPr>
    </w:p>
    <w:p w14:paraId="3DAD9DC1">
      <w:pPr>
        <w:shd w:val="clear" w:color="auto" w:fill="FFFFFF"/>
        <w:tabs>
          <w:tab w:val="left" w:pos="3045"/>
        </w:tabs>
        <w:autoSpaceDE w:val="0"/>
        <w:autoSpaceDN w:val="0"/>
        <w:adjustRightInd w:val="0"/>
        <w:snapToGrid w:val="0"/>
        <w:spacing w:line="360" w:lineRule="exact"/>
        <w:rPr>
          <w:rFonts w:hint="eastAsia" w:ascii="宋体" w:hAnsi="宋体" w:cs="宋体"/>
          <w:b/>
          <w:color w:val="auto"/>
          <w:sz w:val="24"/>
          <w:highlight w:val="none"/>
        </w:rPr>
      </w:pPr>
    </w:p>
    <w:p w14:paraId="5E9D7232">
      <w:pPr>
        <w:shd w:val="clear" w:color="auto" w:fill="FFFFFF"/>
        <w:tabs>
          <w:tab w:val="left" w:pos="3045"/>
        </w:tabs>
        <w:autoSpaceDE w:val="0"/>
        <w:autoSpaceDN w:val="0"/>
        <w:adjustRightInd w:val="0"/>
        <w:snapToGrid w:val="0"/>
        <w:spacing w:line="360" w:lineRule="exact"/>
        <w:rPr>
          <w:rFonts w:hint="eastAsia" w:ascii="宋体" w:hAnsi="宋体" w:cs="宋体"/>
          <w:b/>
          <w:color w:val="auto"/>
          <w:sz w:val="24"/>
          <w:highlight w:val="none"/>
        </w:rPr>
      </w:pPr>
    </w:p>
    <w:p w14:paraId="113E6764">
      <w:pPr>
        <w:rPr>
          <w:rFonts w:hint="eastAsia" w:ascii="宋体" w:hAnsi="宋体" w:eastAsia="宋体" w:cstheme="minorBidi"/>
          <w:b/>
          <w:bCs/>
          <w:color w:val="auto"/>
          <w:kern w:val="2"/>
          <w:sz w:val="28"/>
          <w:szCs w:val="28"/>
          <w:highlight w:val="none"/>
          <w:lang w:val="zh-CN" w:eastAsia="zh-CN" w:bidi="ar-SA"/>
        </w:rPr>
      </w:pPr>
      <w:bookmarkStart w:id="401" w:name="_Toc8990"/>
      <w:r>
        <w:rPr>
          <w:rFonts w:hint="eastAsia" w:ascii="宋体" w:hAnsi="宋体" w:eastAsia="宋体" w:cstheme="minorBidi"/>
          <w:b/>
          <w:bCs/>
          <w:color w:val="auto"/>
          <w:kern w:val="2"/>
          <w:sz w:val="28"/>
          <w:szCs w:val="28"/>
          <w:highlight w:val="none"/>
          <w:lang w:val="zh-CN" w:eastAsia="zh-CN" w:bidi="ar-SA"/>
        </w:rPr>
        <w:br w:type="page"/>
      </w:r>
    </w:p>
    <w:p w14:paraId="22425779">
      <w:pPr>
        <w:shd w:val="clear" w:color="auto" w:fill="FFFFFF"/>
        <w:tabs>
          <w:tab w:val="left" w:pos="3045"/>
        </w:tabs>
        <w:autoSpaceDE w:val="0"/>
        <w:autoSpaceDN w:val="0"/>
        <w:adjustRightInd w:val="0"/>
        <w:snapToGrid w:val="0"/>
        <w:spacing w:line="360" w:lineRule="exact"/>
        <w:rPr>
          <w:rFonts w:hint="eastAsia"/>
          <w:color w:val="auto"/>
          <w:highlight w:val="none"/>
        </w:rPr>
      </w:pPr>
      <w:r>
        <w:rPr>
          <w:rFonts w:hint="eastAsia" w:ascii="宋体" w:hAnsi="宋体" w:cs="宋体"/>
          <w:b/>
          <w:color w:val="auto"/>
          <w:sz w:val="24"/>
          <w:highlight w:val="none"/>
        </w:rPr>
        <w:t>符合</w:t>
      </w:r>
      <w:r>
        <w:rPr>
          <w:rFonts w:hint="eastAsia" w:ascii="宋体" w:hAnsi="宋体" w:cs="宋体"/>
          <w:b/>
          <w:color w:val="auto"/>
          <w:sz w:val="24"/>
          <w:highlight w:val="none"/>
          <w:lang w:eastAsia="zh-CN"/>
        </w:rPr>
        <w:t>性</w:t>
      </w:r>
      <w:r>
        <w:rPr>
          <w:rFonts w:hint="eastAsia" w:cs="宋体"/>
          <w:b/>
          <w:color w:val="auto"/>
          <w:sz w:val="24"/>
          <w:highlight w:val="none"/>
          <w:lang w:val="en-US" w:eastAsia="zh-CN"/>
        </w:rPr>
        <w:t>审查表-</w:t>
      </w:r>
      <w:r>
        <w:rPr>
          <w:rFonts w:hint="eastAsia" w:ascii="宋体" w:hAnsi="宋体" w:cs="宋体"/>
          <w:b/>
          <w:color w:val="auto"/>
          <w:sz w:val="24"/>
          <w:highlight w:val="none"/>
        </w:rPr>
        <w:t>附表</w:t>
      </w:r>
    </w:p>
    <w:p w14:paraId="70584E38">
      <w:pPr>
        <w:pStyle w:val="4"/>
        <w:keepNext/>
        <w:keepLines/>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center"/>
        <w:textAlignment w:val="auto"/>
        <w:rPr>
          <w:rFonts w:hint="eastAsia" w:ascii="宋体" w:hAnsi="宋体" w:eastAsia="宋体" w:cstheme="minorBidi"/>
          <w:b/>
          <w:bCs/>
          <w:color w:val="auto"/>
          <w:kern w:val="2"/>
          <w:sz w:val="28"/>
          <w:szCs w:val="28"/>
          <w:highlight w:val="none"/>
          <w:lang w:val="zh-CN" w:eastAsia="zh-CN" w:bidi="ar-SA"/>
        </w:rPr>
      </w:pPr>
      <w:r>
        <w:rPr>
          <w:rFonts w:hint="eastAsia" w:ascii="宋体" w:hAnsi="宋体" w:eastAsia="宋体" w:cstheme="minorBidi"/>
          <w:b/>
          <w:bCs/>
          <w:color w:val="auto"/>
          <w:kern w:val="2"/>
          <w:sz w:val="28"/>
          <w:szCs w:val="28"/>
          <w:highlight w:val="none"/>
          <w:lang w:val="zh-CN" w:eastAsia="zh-CN" w:bidi="ar-SA"/>
        </w:rPr>
        <w:t>实质性响应一览表</w:t>
      </w:r>
      <w:bookmarkEnd w:id="401"/>
    </w:p>
    <w:p w14:paraId="7DFD9111">
      <w:pPr>
        <w:shd w:val="clear" w:color="auto" w:fill="FFFFFF"/>
        <w:tabs>
          <w:tab w:val="left" w:pos="3045"/>
        </w:tabs>
        <w:autoSpaceDE w:val="0"/>
        <w:autoSpaceDN w:val="0"/>
        <w:adjustRightInd w:val="0"/>
        <w:snapToGrid w:val="0"/>
        <w:spacing w:line="360" w:lineRule="exact"/>
        <w:jc w:val="center"/>
        <w:rPr>
          <w:rFonts w:hint="eastAsia" w:ascii="宋体" w:hAnsi="宋体" w:cs="宋体"/>
          <w:b w:val="0"/>
          <w:bCs/>
          <w:color w:val="auto"/>
          <w:sz w:val="24"/>
          <w:highlight w:val="none"/>
        </w:rPr>
      </w:pPr>
      <w:r>
        <w:rPr>
          <w:rFonts w:hint="eastAsia" w:ascii="宋体" w:hAnsi="宋体" w:cs="宋体"/>
          <w:b w:val="0"/>
          <w:bCs/>
          <w:color w:val="auto"/>
          <w:sz w:val="24"/>
          <w:highlight w:val="none"/>
        </w:rPr>
        <w:t>（</w:t>
      </w:r>
      <w:r>
        <w:rPr>
          <w:rFonts w:hint="eastAsia" w:cs="宋体"/>
          <w:b w:val="0"/>
          <w:bCs/>
          <w:color w:val="auto"/>
          <w:sz w:val="24"/>
          <w:highlight w:val="none"/>
          <w:lang w:val="en-US" w:eastAsia="zh-CN"/>
        </w:rPr>
        <w:t>投标人</w:t>
      </w:r>
      <w:r>
        <w:rPr>
          <w:rFonts w:hint="eastAsia" w:ascii="宋体" w:hAnsi="宋体" w:cs="宋体"/>
          <w:b w:val="0"/>
          <w:bCs/>
          <w:color w:val="auto"/>
          <w:sz w:val="24"/>
          <w:highlight w:val="none"/>
        </w:rPr>
        <w:t>须对本附表所有内容逐条响应且无负偏离，否则</w:t>
      </w:r>
      <w:r>
        <w:rPr>
          <w:rFonts w:hint="eastAsia" w:cs="宋体"/>
          <w:b w:val="0"/>
          <w:bCs/>
          <w:color w:val="auto"/>
          <w:sz w:val="24"/>
          <w:highlight w:val="none"/>
          <w:lang w:val="en-US" w:eastAsia="zh-CN"/>
        </w:rPr>
        <w:t>其</w:t>
      </w:r>
      <w:r>
        <w:rPr>
          <w:rFonts w:hint="eastAsia" w:ascii="宋体" w:hAnsi="宋体" w:cs="宋体"/>
          <w:b/>
          <w:bCs w:val="0"/>
          <w:color w:val="auto"/>
          <w:sz w:val="24"/>
          <w:highlight w:val="none"/>
        </w:rPr>
        <w:t>投标无效</w:t>
      </w:r>
      <w:r>
        <w:rPr>
          <w:rFonts w:hint="eastAsia" w:ascii="宋体" w:hAnsi="宋体" w:cs="宋体"/>
          <w:b w:val="0"/>
          <w:bCs/>
          <w:color w:val="auto"/>
          <w:sz w:val="24"/>
          <w:highlight w:val="none"/>
        </w:rPr>
        <w:t>）</w:t>
      </w:r>
    </w:p>
    <w:p w14:paraId="212CF784">
      <w:pPr>
        <w:pStyle w:val="23"/>
        <w:rPr>
          <w:rFonts w:hint="eastAsia" w:ascii="宋体" w:hAnsi="宋体" w:cs="宋体"/>
          <w:color w:val="auto"/>
          <w:highlight w:val="none"/>
        </w:rPr>
      </w:pPr>
    </w:p>
    <w:tbl>
      <w:tblPr>
        <w:tblStyle w:val="29"/>
        <w:tblW w:w="5435" w:type="pct"/>
        <w:tblInd w:w="-2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8"/>
        <w:gridCol w:w="1993"/>
        <w:gridCol w:w="4261"/>
        <w:gridCol w:w="1874"/>
        <w:gridCol w:w="732"/>
      </w:tblGrid>
      <w:tr w14:paraId="098C56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220" w:type="pct"/>
            <w:vMerge w:val="restart"/>
            <w:noWrap w:val="0"/>
            <w:vAlign w:val="center"/>
          </w:tcPr>
          <w:p w14:paraId="7CE32AA3">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3373" w:type="pct"/>
            <w:gridSpan w:val="2"/>
            <w:noWrap w:val="0"/>
            <w:vAlign w:val="center"/>
          </w:tcPr>
          <w:p w14:paraId="01AF8505">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招标</w:t>
            </w:r>
            <w:r>
              <w:rPr>
                <w:rFonts w:hint="eastAsia" w:ascii="宋体" w:hAnsi="宋体" w:eastAsia="宋体" w:cs="宋体"/>
                <w:color w:val="auto"/>
                <w:sz w:val="21"/>
                <w:szCs w:val="21"/>
                <w:highlight w:val="none"/>
              </w:rPr>
              <w:t>文件要求的实质性响应内容</w:t>
            </w:r>
          </w:p>
        </w:tc>
        <w:tc>
          <w:tcPr>
            <w:tcW w:w="1010" w:type="pct"/>
            <w:vMerge w:val="restart"/>
            <w:noWrap w:val="0"/>
            <w:vAlign w:val="center"/>
          </w:tcPr>
          <w:p w14:paraId="2428BDFD">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投标文件响应</w:t>
            </w:r>
            <w:r>
              <w:rPr>
                <w:rFonts w:hint="eastAsia" w:ascii="宋体" w:hAnsi="宋体" w:eastAsia="宋体" w:cs="宋体"/>
                <w:color w:val="auto"/>
                <w:sz w:val="21"/>
                <w:szCs w:val="21"/>
                <w:highlight w:val="none"/>
                <w:lang w:val="en-US" w:eastAsia="zh-CN"/>
              </w:rPr>
              <w:t>的</w:t>
            </w:r>
            <w:r>
              <w:rPr>
                <w:rFonts w:hint="eastAsia" w:ascii="宋体" w:hAnsi="宋体" w:eastAsia="宋体" w:cs="宋体"/>
                <w:color w:val="auto"/>
                <w:sz w:val="21"/>
                <w:szCs w:val="21"/>
                <w:highlight w:val="none"/>
              </w:rPr>
              <w:t>具体内容</w:t>
            </w:r>
          </w:p>
        </w:tc>
        <w:tc>
          <w:tcPr>
            <w:tcW w:w="395" w:type="pct"/>
            <w:vMerge w:val="restart"/>
            <w:noWrap w:val="0"/>
            <w:vAlign w:val="center"/>
          </w:tcPr>
          <w:p w14:paraId="2BD31803">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w:t>
            </w:r>
          </w:p>
        </w:tc>
      </w:tr>
      <w:tr w14:paraId="063C6B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trPr>
        <w:tc>
          <w:tcPr>
            <w:tcW w:w="220" w:type="pct"/>
            <w:vMerge w:val="continue"/>
            <w:noWrap w:val="0"/>
            <w:vAlign w:val="center"/>
          </w:tcPr>
          <w:p w14:paraId="01C86409">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rPr>
            </w:pPr>
          </w:p>
        </w:tc>
        <w:tc>
          <w:tcPr>
            <w:tcW w:w="1075" w:type="pct"/>
            <w:noWrap w:val="0"/>
            <w:vAlign w:val="center"/>
          </w:tcPr>
          <w:p w14:paraId="38AFEC81">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实质性要求</w:t>
            </w:r>
          </w:p>
        </w:tc>
        <w:tc>
          <w:tcPr>
            <w:tcW w:w="2298" w:type="pct"/>
            <w:noWrap w:val="0"/>
            <w:vAlign w:val="center"/>
          </w:tcPr>
          <w:p w14:paraId="11DB8578">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招标文件中的规定</w:t>
            </w:r>
          </w:p>
        </w:tc>
        <w:tc>
          <w:tcPr>
            <w:tcW w:w="1010" w:type="pct"/>
            <w:vMerge w:val="continue"/>
            <w:noWrap w:val="0"/>
            <w:vAlign w:val="center"/>
          </w:tcPr>
          <w:p w14:paraId="3D2B011E">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rPr>
            </w:pPr>
          </w:p>
        </w:tc>
        <w:tc>
          <w:tcPr>
            <w:tcW w:w="395" w:type="pct"/>
            <w:vMerge w:val="continue"/>
            <w:noWrap w:val="0"/>
            <w:vAlign w:val="center"/>
          </w:tcPr>
          <w:p w14:paraId="485D6181">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rPr>
            </w:pPr>
          </w:p>
        </w:tc>
      </w:tr>
      <w:tr w14:paraId="0E72DD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4" w:hRule="atLeast"/>
        </w:trPr>
        <w:tc>
          <w:tcPr>
            <w:tcW w:w="220" w:type="pct"/>
            <w:noWrap w:val="0"/>
            <w:vAlign w:val="center"/>
          </w:tcPr>
          <w:p w14:paraId="7ECA8034">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075" w:type="pct"/>
            <w:shd w:val="clear" w:color="auto" w:fill="auto"/>
            <w:noWrap w:val="0"/>
            <w:vAlign w:val="center"/>
          </w:tcPr>
          <w:p w14:paraId="62642515">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投标有效期</w:t>
            </w:r>
          </w:p>
        </w:tc>
        <w:tc>
          <w:tcPr>
            <w:tcW w:w="2298" w:type="pct"/>
            <w:shd w:val="clear" w:color="auto" w:fill="auto"/>
            <w:noWrap w:val="0"/>
            <w:vAlign w:val="center"/>
          </w:tcPr>
          <w:p w14:paraId="3517C392">
            <w:pPr>
              <w:keepNext w:val="0"/>
              <w:keepLines w:val="0"/>
              <w:pageBreakBefore w:val="0"/>
              <w:widowControl w:val="0"/>
              <w:shd w:val="clear" w:color="auto" w:fill="FFFFFF"/>
              <w:kinsoku/>
              <w:wordWrap/>
              <w:overflowPunct/>
              <w:topLinePunct w:val="0"/>
              <w:autoSpaceDE w:val="0"/>
              <w:autoSpaceDN w:val="0"/>
              <w:bidi w:val="0"/>
              <w:adjustRightInd/>
              <w:snapToGrid/>
              <w:spacing w:line="360" w:lineRule="exac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招标文件“第二章投标须知”关于投标有效期的规定</w:t>
            </w:r>
          </w:p>
        </w:tc>
        <w:tc>
          <w:tcPr>
            <w:tcW w:w="1010" w:type="pct"/>
            <w:noWrap w:val="0"/>
            <w:vAlign w:val="center"/>
          </w:tcPr>
          <w:p w14:paraId="3F7DA8EA">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投标人在</w:t>
            </w:r>
            <w:r>
              <w:rPr>
                <w:rFonts w:hint="eastAsia" w:ascii="宋体" w:hAnsi="宋体" w:eastAsia="宋体" w:cs="宋体"/>
                <w:color w:val="auto"/>
                <w:sz w:val="21"/>
                <w:szCs w:val="21"/>
                <w:highlight w:val="none"/>
              </w:rPr>
              <w:t>此处填写</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lang w:val="en-US" w:eastAsia="zh-CN"/>
              </w:rPr>
              <w:t>文件的相关内容</w:t>
            </w:r>
            <w:r>
              <w:rPr>
                <w:rFonts w:hint="eastAsia" w:ascii="宋体" w:hAnsi="宋体" w:eastAsia="宋体" w:cs="宋体"/>
                <w:color w:val="auto"/>
                <w:sz w:val="21"/>
                <w:szCs w:val="21"/>
                <w:highlight w:val="none"/>
                <w:lang w:eastAsia="zh-CN"/>
              </w:rPr>
              <w:t>】</w:t>
            </w:r>
          </w:p>
        </w:tc>
        <w:tc>
          <w:tcPr>
            <w:tcW w:w="395" w:type="pct"/>
            <w:noWrap w:val="0"/>
            <w:vAlign w:val="center"/>
          </w:tcPr>
          <w:p w14:paraId="729A3125">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1"/>
                <w:szCs w:val="21"/>
                <w:highlight w:val="none"/>
              </w:rPr>
            </w:pPr>
          </w:p>
        </w:tc>
      </w:tr>
      <w:tr w14:paraId="671CC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2" w:hRule="atLeast"/>
        </w:trPr>
        <w:tc>
          <w:tcPr>
            <w:tcW w:w="220" w:type="pct"/>
            <w:noWrap w:val="0"/>
            <w:vAlign w:val="center"/>
          </w:tcPr>
          <w:p w14:paraId="79561691">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075" w:type="pct"/>
            <w:shd w:val="clear" w:color="auto" w:fill="auto"/>
            <w:noWrap w:val="0"/>
            <w:vAlign w:val="center"/>
          </w:tcPr>
          <w:p w14:paraId="7FB35A2D">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i w:val="0"/>
                <w:iCs w:val="0"/>
                <w:color w:val="auto"/>
                <w:kern w:val="2"/>
                <w:sz w:val="21"/>
                <w:szCs w:val="21"/>
                <w:highlight w:val="none"/>
                <w:lang w:val="en-US" w:eastAsia="zh-CN" w:bidi="ar-SA"/>
              </w:rPr>
            </w:pPr>
            <w:r>
              <w:rPr>
                <w:rFonts w:hint="eastAsia" w:ascii="宋体" w:hAnsi="宋体" w:eastAsia="宋体" w:cs="宋体"/>
                <w:i w:val="0"/>
                <w:iCs w:val="0"/>
                <w:color w:val="auto"/>
                <w:sz w:val="21"/>
                <w:szCs w:val="21"/>
                <w:highlight w:val="none"/>
                <w:lang w:val="en-US" w:eastAsia="zh-CN"/>
              </w:rPr>
              <w:t>【根据项目需要自行填列及编制】</w:t>
            </w:r>
          </w:p>
        </w:tc>
        <w:tc>
          <w:tcPr>
            <w:tcW w:w="2298" w:type="pct"/>
            <w:shd w:val="clear" w:color="auto" w:fill="auto"/>
            <w:noWrap w:val="0"/>
            <w:vAlign w:val="center"/>
          </w:tcPr>
          <w:p w14:paraId="119C002B">
            <w:pPr>
              <w:keepNext w:val="0"/>
              <w:keepLines w:val="0"/>
              <w:pageBreakBefore w:val="0"/>
              <w:widowControl w:val="0"/>
              <w:shd w:val="clear" w:color="auto" w:fill="FFFFFF"/>
              <w:kinsoku/>
              <w:wordWrap/>
              <w:overflowPunct/>
              <w:topLinePunct w:val="0"/>
              <w:autoSpaceDE w:val="0"/>
              <w:autoSpaceDN w:val="0"/>
              <w:bidi w:val="0"/>
              <w:adjustRightInd/>
              <w:snapToGrid/>
              <w:spacing w:line="360" w:lineRule="exact"/>
              <w:textAlignment w:val="auto"/>
              <w:rPr>
                <w:rFonts w:hint="eastAsia" w:ascii="宋体" w:hAnsi="宋体" w:eastAsia="宋体" w:cs="宋体"/>
                <w:color w:val="auto"/>
                <w:kern w:val="2"/>
                <w:sz w:val="21"/>
                <w:szCs w:val="21"/>
                <w:highlight w:val="none"/>
                <w:lang w:val="en-US" w:eastAsia="zh-CN" w:bidi="ar-SA"/>
              </w:rPr>
            </w:pPr>
          </w:p>
        </w:tc>
        <w:tc>
          <w:tcPr>
            <w:tcW w:w="1010" w:type="pct"/>
            <w:noWrap w:val="0"/>
            <w:vAlign w:val="center"/>
          </w:tcPr>
          <w:p w14:paraId="5BB89004">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1"/>
                <w:szCs w:val="21"/>
                <w:highlight w:val="none"/>
              </w:rPr>
            </w:pPr>
          </w:p>
        </w:tc>
        <w:tc>
          <w:tcPr>
            <w:tcW w:w="395" w:type="pct"/>
            <w:noWrap w:val="0"/>
            <w:vAlign w:val="center"/>
          </w:tcPr>
          <w:p w14:paraId="0E4E1170">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1"/>
                <w:szCs w:val="21"/>
                <w:highlight w:val="none"/>
              </w:rPr>
            </w:pPr>
          </w:p>
        </w:tc>
      </w:tr>
      <w:tr w14:paraId="350561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4" w:hRule="atLeast"/>
        </w:trPr>
        <w:tc>
          <w:tcPr>
            <w:tcW w:w="220" w:type="pct"/>
            <w:shd w:val="clear" w:color="auto" w:fill="auto"/>
            <w:noWrap w:val="0"/>
            <w:vAlign w:val="center"/>
          </w:tcPr>
          <w:p w14:paraId="7D5DC93C">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3</w:t>
            </w:r>
          </w:p>
        </w:tc>
        <w:tc>
          <w:tcPr>
            <w:tcW w:w="1075" w:type="pct"/>
            <w:shd w:val="clear" w:color="auto" w:fill="auto"/>
            <w:noWrap w:val="0"/>
            <w:vAlign w:val="center"/>
          </w:tcPr>
          <w:p w14:paraId="505EE26A">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zh-CN"/>
              </w:rPr>
              <w:t>……</w:t>
            </w:r>
          </w:p>
        </w:tc>
        <w:tc>
          <w:tcPr>
            <w:tcW w:w="2298" w:type="pct"/>
            <w:shd w:val="clear" w:color="auto" w:fill="auto"/>
            <w:noWrap w:val="0"/>
            <w:vAlign w:val="center"/>
          </w:tcPr>
          <w:p w14:paraId="324EF1FF">
            <w:pPr>
              <w:pStyle w:val="49"/>
              <w:rPr>
                <w:rFonts w:hint="eastAsia" w:ascii="宋体" w:hAnsi="宋体" w:eastAsia="宋体" w:cs="宋体"/>
                <w:color w:val="auto"/>
                <w:kern w:val="2"/>
                <w:sz w:val="21"/>
                <w:szCs w:val="21"/>
                <w:highlight w:val="none"/>
                <w:lang w:val="en-US" w:eastAsia="zh-CN" w:bidi="ar-SA"/>
              </w:rPr>
            </w:pPr>
          </w:p>
        </w:tc>
        <w:tc>
          <w:tcPr>
            <w:tcW w:w="1010" w:type="pct"/>
            <w:noWrap w:val="0"/>
            <w:vAlign w:val="center"/>
          </w:tcPr>
          <w:p w14:paraId="042BD647">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1"/>
                <w:szCs w:val="21"/>
                <w:highlight w:val="none"/>
              </w:rPr>
            </w:pPr>
          </w:p>
        </w:tc>
        <w:tc>
          <w:tcPr>
            <w:tcW w:w="395" w:type="pct"/>
            <w:noWrap w:val="0"/>
            <w:vAlign w:val="center"/>
          </w:tcPr>
          <w:p w14:paraId="458E18AF">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1"/>
                <w:szCs w:val="21"/>
                <w:highlight w:val="none"/>
              </w:rPr>
            </w:pPr>
          </w:p>
        </w:tc>
      </w:tr>
      <w:tr w14:paraId="0126A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220" w:type="pct"/>
            <w:shd w:val="clear" w:color="auto" w:fill="auto"/>
            <w:noWrap w:val="0"/>
            <w:vAlign w:val="center"/>
          </w:tcPr>
          <w:p w14:paraId="24A010C1">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4</w:t>
            </w:r>
          </w:p>
        </w:tc>
        <w:tc>
          <w:tcPr>
            <w:tcW w:w="1075" w:type="pct"/>
            <w:shd w:val="clear" w:color="auto" w:fill="auto"/>
            <w:noWrap w:val="0"/>
            <w:vAlign w:val="center"/>
          </w:tcPr>
          <w:p w14:paraId="127FA675">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zh-CN"/>
              </w:rPr>
              <w:t>……</w:t>
            </w:r>
          </w:p>
        </w:tc>
        <w:tc>
          <w:tcPr>
            <w:tcW w:w="2298" w:type="pct"/>
            <w:shd w:val="clear" w:color="auto" w:fill="auto"/>
            <w:noWrap w:val="0"/>
            <w:vAlign w:val="center"/>
          </w:tcPr>
          <w:p w14:paraId="723D0D7F">
            <w:pPr>
              <w:pStyle w:val="49"/>
              <w:rPr>
                <w:rFonts w:hint="eastAsia" w:ascii="宋体" w:hAnsi="宋体" w:eastAsia="宋体" w:cs="宋体"/>
                <w:color w:val="auto"/>
                <w:kern w:val="2"/>
                <w:sz w:val="21"/>
                <w:szCs w:val="21"/>
                <w:highlight w:val="none"/>
                <w:lang w:val="en-US" w:eastAsia="zh-CN" w:bidi="ar-SA"/>
              </w:rPr>
            </w:pPr>
          </w:p>
        </w:tc>
        <w:tc>
          <w:tcPr>
            <w:tcW w:w="1010" w:type="pct"/>
            <w:noWrap w:val="0"/>
            <w:vAlign w:val="center"/>
          </w:tcPr>
          <w:p w14:paraId="6E29F276">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1"/>
                <w:szCs w:val="21"/>
                <w:highlight w:val="none"/>
              </w:rPr>
            </w:pPr>
          </w:p>
        </w:tc>
        <w:tc>
          <w:tcPr>
            <w:tcW w:w="395" w:type="pct"/>
            <w:noWrap w:val="0"/>
            <w:vAlign w:val="center"/>
          </w:tcPr>
          <w:p w14:paraId="63A4B6FE">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1"/>
                <w:szCs w:val="21"/>
                <w:highlight w:val="none"/>
              </w:rPr>
            </w:pPr>
          </w:p>
        </w:tc>
      </w:tr>
      <w:tr w14:paraId="188F2E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trPr>
        <w:tc>
          <w:tcPr>
            <w:tcW w:w="220" w:type="pct"/>
            <w:shd w:val="clear" w:color="auto" w:fill="auto"/>
            <w:noWrap w:val="0"/>
            <w:vAlign w:val="center"/>
          </w:tcPr>
          <w:p w14:paraId="7D889D64">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5</w:t>
            </w:r>
          </w:p>
        </w:tc>
        <w:tc>
          <w:tcPr>
            <w:tcW w:w="1075" w:type="pct"/>
            <w:shd w:val="clear" w:color="auto" w:fill="auto"/>
            <w:noWrap w:val="0"/>
            <w:vAlign w:val="center"/>
          </w:tcPr>
          <w:p w14:paraId="1BACABE2">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zh-CN"/>
              </w:rPr>
              <w:t>……</w:t>
            </w:r>
          </w:p>
        </w:tc>
        <w:tc>
          <w:tcPr>
            <w:tcW w:w="2298" w:type="pct"/>
            <w:noWrap w:val="0"/>
            <w:vAlign w:val="center"/>
          </w:tcPr>
          <w:p w14:paraId="6AF4E488">
            <w:pPr>
              <w:pStyle w:val="73"/>
              <w:keepNext w:val="0"/>
              <w:keepLines w:val="0"/>
              <w:pageBreakBefore w:val="0"/>
              <w:widowControl w:val="0"/>
              <w:shd w:val="clear" w:color="auto" w:fill="FFFFFF"/>
              <w:kinsoku/>
              <w:wordWrap/>
              <w:overflowPunct/>
              <w:topLinePunct w:val="0"/>
              <w:bidi w:val="0"/>
              <w:adjustRightInd/>
              <w:snapToGrid/>
              <w:spacing w:line="360" w:lineRule="exact"/>
              <w:ind w:firstLine="0" w:firstLineChars="0"/>
              <w:textAlignment w:val="auto"/>
              <w:rPr>
                <w:rFonts w:hint="eastAsia" w:ascii="宋体" w:hAnsi="宋体" w:eastAsia="宋体" w:cs="宋体"/>
                <w:color w:val="auto"/>
                <w:kern w:val="0"/>
                <w:sz w:val="21"/>
                <w:szCs w:val="21"/>
                <w:highlight w:val="none"/>
                <w:lang w:val="en-US" w:eastAsia="zh-CN" w:bidi="ar-SA"/>
              </w:rPr>
            </w:pPr>
          </w:p>
        </w:tc>
        <w:tc>
          <w:tcPr>
            <w:tcW w:w="1010" w:type="pct"/>
            <w:noWrap w:val="0"/>
            <w:vAlign w:val="center"/>
          </w:tcPr>
          <w:p w14:paraId="5791DDF3">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1"/>
                <w:szCs w:val="21"/>
                <w:highlight w:val="none"/>
              </w:rPr>
            </w:pPr>
          </w:p>
        </w:tc>
        <w:tc>
          <w:tcPr>
            <w:tcW w:w="395" w:type="pct"/>
            <w:noWrap w:val="0"/>
            <w:vAlign w:val="center"/>
          </w:tcPr>
          <w:p w14:paraId="4FAB1392">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1"/>
                <w:szCs w:val="21"/>
                <w:highlight w:val="none"/>
              </w:rPr>
            </w:pPr>
          </w:p>
        </w:tc>
      </w:tr>
      <w:tr w14:paraId="7D82C3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trPr>
        <w:tc>
          <w:tcPr>
            <w:tcW w:w="220" w:type="pct"/>
            <w:shd w:val="clear" w:color="auto" w:fill="auto"/>
            <w:noWrap w:val="0"/>
            <w:vAlign w:val="center"/>
          </w:tcPr>
          <w:p w14:paraId="1D658F73">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6</w:t>
            </w:r>
          </w:p>
        </w:tc>
        <w:tc>
          <w:tcPr>
            <w:tcW w:w="1075" w:type="pct"/>
            <w:noWrap w:val="0"/>
            <w:vAlign w:val="center"/>
          </w:tcPr>
          <w:p w14:paraId="76B2B25F">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1"/>
                <w:szCs w:val="21"/>
                <w:highlight w:val="none"/>
                <w:lang w:val="en-US" w:eastAsia="zh-CN"/>
              </w:rPr>
            </w:pPr>
          </w:p>
        </w:tc>
        <w:tc>
          <w:tcPr>
            <w:tcW w:w="2298" w:type="pct"/>
            <w:noWrap w:val="0"/>
            <w:vAlign w:val="center"/>
          </w:tcPr>
          <w:p w14:paraId="080CF7F9">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kern w:val="2"/>
                <w:sz w:val="21"/>
                <w:szCs w:val="21"/>
                <w:highlight w:val="none"/>
                <w:lang w:val="en-US" w:eastAsia="zh-CN" w:bidi="ar-SA"/>
              </w:rPr>
            </w:pPr>
          </w:p>
        </w:tc>
        <w:tc>
          <w:tcPr>
            <w:tcW w:w="1010" w:type="pct"/>
            <w:noWrap w:val="0"/>
            <w:vAlign w:val="center"/>
          </w:tcPr>
          <w:p w14:paraId="404E91E1">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1"/>
                <w:szCs w:val="21"/>
                <w:highlight w:val="none"/>
              </w:rPr>
            </w:pPr>
          </w:p>
        </w:tc>
        <w:tc>
          <w:tcPr>
            <w:tcW w:w="395" w:type="pct"/>
            <w:noWrap w:val="0"/>
            <w:vAlign w:val="center"/>
          </w:tcPr>
          <w:p w14:paraId="4B03ECB7">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1"/>
                <w:szCs w:val="21"/>
                <w:highlight w:val="none"/>
              </w:rPr>
            </w:pPr>
          </w:p>
        </w:tc>
      </w:tr>
      <w:tr w14:paraId="581EA5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220" w:type="pct"/>
            <w:shd w:val="clear" w:color="auto" w:fill="auto"/>
            <w:noWrap w:val="0"/>
            <w:vAlign w:val="center"/>
          </w:tcPr>
          <w:p w14:paraId="2A12EC9F">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7</w:t>
            </w:r>
          </w:p>
        </w:tc>
        <w:tc>
          <w:tcPr>
            <w:tcW w:w="1075" w:type="pct"/>
            <w:noWrap w:val="0"/>
            <w:vAlign w:val="center"/>
          </w:tcPr>
          <w:p w14:paraId="0BFE6DFD">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1"/>
                <w:szCs w:val="21"/>
                <w:highlight w:val="none"/>
                <w:lang w:val="en-US" w:eastAsia="zh-CN"/>
              </w:rPr>
            </w:pPr>
          </w:p>
        </w:tc>
        <w:tc>
          <w:tcPr>
            <w:tcW w:w="2298" w:type="pct"/>
            <w:noWrap w:val="0"/>
            <w:vAlign w:val="center"/>
          </w:tcPr>
          <w:p w14:paraId="70263471">
            <w:pPr>
              <w:keepNext w:val="0"/>
              <w:keepLines w:val="0"/>
              <w:pageBreakBefore w:val="0"/>
              <w:widowControl w:val="0"/>
              <w:shd w:val="clear" w:color="auto" w:fill="FFFFFF"/>
              <w:kinsoku/>
              <w:wordWrap/>
              <w:overflowPunct/>
              <w:topLinePunct w:val="0"/>
              <w:autoSpaceDE/>
              <w:autoSpaceDN/>
              <w:bidi w:val="0"/>
              <w:adjustRightInd/>
              <w:snapToGrid/>
              <w:spacing w:line="400" w:lineRule="atLeast"/>
              <w:textAlignment w:val="auto"/>
              <w:rPr>
                <w:rFonts w:hint="eastAsia" w:ascii="宋体" w:hAnsi="宋体" w:eastAsia="宋体" w:cs="宋体"/>
                <w:color w:val="auto"/>
                <w:sz w:val="21"/>
                <w:szCs w:val="21"/>
                <w:highlight w:val="none"/>
                <w:lang w:val="en-US" w:eastAsia="zh-CN"/>
              </w:rPr>
            </w:pPr>
          </w:p>
        </w:tc>
        <w:tc>
          <w:tcPr>
            <w:tcW w:w="1010" w:type="pct"/>
            <w:noWrap w:val="0"/>
            <w:vAlign w:val="center"/>
          </w:tcPr>
          <w:p w14:paraId="7D8F15D3">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1"/>
                <w:szCs w:val="21"/>
                <w:highlight w:val="none"/>
              </w:rPr>
            </w:pPr>
          </w:p>
        </w:tc>
        <w:tc>
          <w:tcPr>
            <w:tcW w:w="395" w:type="pct"/>
            <w:noWrap w:val="0"/>
            <w:vAlign w:val="center"/>
          </w:tcPr>
          <w:p w14:paraId="4F0FDAA9">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1"/>
                <w:szCs w:val="21"/>
                <w:highlight w:val="none"/>
              </w:rPr>
            </w:pPr>
          </w:p>
        </w:tc>
      </w:tr>
      <w:tr w14:paraId="409E60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trPr>
        <w:tc>
          <w:tcPr>
            <w:tcW w:w="220" w:type="pct"/>
            <w:noWrap w:val="0"/>
            <w:vAlign w:val="center"/>
          </w:tcPr>
          <w:p w14:paraId="225EEE9F">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lang w:val="en-US" w:eastAsia="zh-CN"/>
              </w:rPr>
            </w:pPr>
          </w:p>
        </w:tc>
        <w:tc>
          <w:tcPr>
            <w:tcW w:w="1075" w:type="pct"/>
            <w:shd w:val="clear" w:color="auto" w:fill="auto"/>
            <w:noWrap w:val="0"/>
            <w:vAlign w:val="center"/>
          </w:tcPr>
          <w:p w14:paraId="4AA81257">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1"/>
                <w:szCs w:val="21"/>
                <w:highlight w:val="none"/>
                <w:lang w:val="zh-CN" w:eastAsia="zh-CN"/>
              </w:rPr>
            </w:pPr>
          </w:p>
        </w:tc>
        <w:tc>
          <w:tcPr>
            <w:tcW w:w="2298" w:type="pct"/>
            <w:noWrap w:val="0"/>
            <w:vAlign w:val="center"/>
          </w:tcPr>
          <w:p w14:paraId="5D3B3A00">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lang w:eastAsia="zh-CN"/>
              </w:rPr>
            </w:pPr>
          </w:p>
        </w:tc>
        <w:tc>
          <w:tcPr>
            <w:tcW w:w="1010" w:type="pct"/>
            <w:noWrap w:val="0"/>
            <w:vAlign w:val="center"/>
          </w:tcPr>
          <w:p w14:paraId="22A79CB5">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1"/>
                <w:szCs w:val="21"/>
                <w:highlight w:val="none"/>
              </w:rPr>
            </w:pPr>
          </w:p>
        </w:tc>
        <w:tc>
          <w:tcPr>
            <w:tcW w:w="395" w:type="pct"/>
            <w:noWrap w:val="0"/>
            <w:vAlign w:val="center"/>
          </w:tcPr>
          <w:p w14:paraId="1D5F24CB">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1"/>
                <w:szCs w:val="21"/>
                <w:highlight w:val="none"/>
              </w:rPr>
            </w:pPr>
          </w:p>
        </w:tc>
      </w:tr>
    </w:tbl>
    <w:p w14:paraId="1E416027">
      <w:pPr>
        <w:rPr>
          <w:rFonts w:hint="eastAsia"/>
          <w:b/>
          <w:bCs/>
          <w:color w:val="auto"/>
          <w:sz w:val="21"/>
          <w:szCs w:val="21"/>
          <w:highlight w:val="none"/>
          <w:lang w:val="en-US" w:eastAsia="zh-CN"/>
        </w:rPr>
      </w:pPr>
    </w:p>
    <w:p w14:paraId="73C7580B">
      <w:pPr>
        <w:rPr>
          <w:rFonts w:hint="default" w:eastAsia="宋体"/>
          <w:b/>
          <w:bCs/>
          <w:color w:val="auto"/>
          <w:sz w:val="21"/>
          <w:szCs w:val="21"/>
          <w:highlight w:val="none"/>
          <w:lang w:val="en-US" w:eastAsia="zh-CN"/>
        </w:rPr>
      </w:pPr>
      <w:r>
        <w:rPr>
          <w:rFonts w:hint="eastAsia"/>
          <w:b/>
          <w:bCs/>
          <w:color w:val="auto"/>
          <w:sz w:val="21"/>
          <w:szCs w:val="21"/>
          <w:highlight w:val="none"/>
          <w:lang w:val="en-US" w:eastAsia="zh-CN"/>
        </w:rPr>
        <w:t>注：“实质性响应一览表”中的内容为参考，可根据项目情况自行设置。</w:t>
      </w:r>
    </w:p>
    <w:p w14:paraId="16A7E26A">
      <w:pPr>
        <w:rPr>
          <w:rFonts w:hint="eastAsia" w:ascii="宋体" w:hAnsi="宋体" w:eastAsia="宋体" w:cstheme="minorBidi"/>
          <w:b/>
          <w:bCs/>
          <w:color w:val="auto"/>
          <w:kern w:val="2"/>
          <w:sz w:val="30"/>
          <w:szCs w:val="32"/>
          <w:highlight w:val="none"/>
          <w:lang w:val="zh-CN" w:eastAsia="zh-CN" w:bidi="ar-SA"/>
        </w:rPr>
      </w:pPr>
      <w:r>
        <w:rPr>
          <w:rFonts w:hint="eastAsia" w:ascii="宋体" w:hAnsi="宋体" w:eastAsia="宋体" w:cstheme="minorBidi"/>
          <w:b/>
          <w:bCs/>
          <w:color w:val="auto"/>
          <w:kern w:val="2"/>
          <w:sz w:val="30"/>
          <w:szCs w:val="32"/>
          <w:highlight w:val="none"/>
          <w:lang w:val="zh-CN" w:eastAsia="zh-CN" w:bidi="ar-SA"/>
        </w:rPr>
        <w:br w:type="page"/>
      </w:r>
    </w:p>
    <w:p w14:paraId="3FE0903E">
      <w:pPr>
        <w:pStyle w:val="4"/>
        <w:keepNext/>
        <w:keepLines/>
        <w:pageBreakBefore w:val="0"/>
        <w:widowControl w:val="0"/>
        <w:numPr>
          <w:ilvl w:val="0"/>
          <w:numId w:val="0"/>
        </w:numPr>
        <w:kinsoku/>
        <w:wordWrap/>
        <w:overflowPunct/>
        <w:topLinePunct w:val="0"/>
        <w:autoSpaceDE/>
        <w:autoSpaceDN/>
        <w:bidi w:val="0"/>
        <w:adjustRightInd/>
        <w:snapToGrid/>
        <w:spacing w:before="60" w:after="60" w:line="360" w:lineRule="auto"/>
        <w:ind w:left="420" w:leftChars="0" w:hanging="420" w:firstLineChars="0"/>
        <w:textAlignment w:val="auto"/>
        <w:rPr>
          <w:rFonts w:hint="eastAsia" w:ascii="宋体" w:hAnsi="宋体" w:eastAsia="宋体" w:cs="宋体"/>
          <w:b/>
          <w:bCs/>
          <w:color w:val="auto"/>
          <w:kern w:val="2"/>
          <w:sz w:val="24"/>
          <w:szCs w:val="24"/>
          <w:highlight w:val="none"/>
          <w:lang w:val="zh-CN" w:eastAsia="zh-CN" w:bidi="ar-SA"/>
        </w:rPr>
      </w:pPr>
      <w:bookmarkStart w:id="402" w:name="_Toc17074"/>
      <w:r>
        <w:rPr>
          <w:rFonts w:hint="eastAsia" w:ascii="宋体" w:hAnsi="宋体" w:eastAsia="宋体" w:cs="宋体"/>
          <w:b/>
          <w:bCs/>
          <w:color w:val="auto"/>
          <w:kern w:val="2"/>
          <w:sz w:val="24"/>
          <w:szCs w:val="24"/>
          <w:highlight w:val="none"/>
          <w:lang w:val="zh-CN" w:eastAsia="zh-CN" w:bidi="ar-SA"/>
        </w:rPr>
        <w:t>（二）评分标准</w:t>
      </w:r>
      <w:bookmarkEnd w:id="399"/>
      <w:bookmarkEnd w:id="400"/>
      <w:bookmarkEnd w:id="402"/>
    </w:p>
    <w:p w14:paraId="22F81FE4">
      <w:pPr>
        <w:jc w:val="center"/>
        <w:rPr>
          <w:rFonts w:hint="eastAsia" w:ascii="宋体" w:hAnsi="宋体" w:eastAsia="宋体" w:cs="宋体"/>
          <w:b/>
          <w:bCs/>
          <w:color w:val="auto"/>
          <w:kern w:val="2"/>
          <w:sz w:val="24"/>
          <w:szCs w:val="24"/>
          <w:highlight w:val="none"/>
          <w:lang w:val="zh-CN" w:eastAsia="zh-CN" w:bidi="ar-SA"/>
        </w:rPr>
      </w:pPr>
      <w:r>
        <w:rPr>
          <w:rFonts w:hint="eastAsia" w:ascii="宋体" w:hAnsi="宋体" w:eastAsia="宋体" w:cs="宋体"/>
          <w:b/>
          <w:bCs/>
          <w:color w:val="auto"/>
          <w:kern w:val="2"/>
          <w:sz w:val="24"/>
          <w:szCs w:val="24"/>
          <w:highlight w:val="none"/>
          <w:lang w:val="en-US" w:eastAsia="zh-CN" w:bidi="ar-SA"/>
        </w:rPr>
        <w:t>评分标准</w:t>
      </w:r>
    </w:p>
    <w:tbl>
      <w:tblPr>
        <w:tblStyle w:val="29"/>
        <w:tblW w:w="551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4"/>
        <w:gridCol w:w="1573"/>
        <w:gridCol w:w="1000"/>
        <w:gridCol w:w="6040"/>
      </w:tblGrid>
      <w:tr w14:paraId="5C9C2A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417" w:type="pct"/>
            <w:shd w:val="clear" w:color="auto" w:fill="D8D8D8" w:themeFill="background1" w:themeFillShade="D9"/>
            <w:vAlign w:val="center"/>
          </w:tcPr>
          <w:p w14:paraId="27983E3A">
            <w:pPr>
              <w:pStyle w:val="49"/>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评标项目</w:t>
            </w:r>
          </w:p>
        </w:tc>
        <w:tc>
          <w:tcPr>
            <w:tcW w:w="836" w:type="pct"/>
            <w:shd w:val="clear" w:color="auto" w:fill="D8D8D8" w:themeFill="background1" w:themeFillShade="D9"/>
            <w:vAlign w:val="center"/>
          </w:tcPr>
          <w:p w14:paraId="0C487E8E">
            <w:pPr>
              <w:pStyle w:val="49"/>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评标分项</w:t>
            </w:r>
          </w:p>
        </w:tc>
        <w:tc>
          <w:tcPr>
            <w:tcW w:w="532" w:type="pct"/>
            <w:shd w:val="clear" w:color="auto" w:fill="D8D8D8" w:themeFill="background1" w:themeFillShade="D9"/>
            <w:vAlign w:val="center"/>
          </w:tcPr>
          <w:p w14:paraId="59598CF3">
            <w:pPr>
              <w:pStyle w:val="49"/>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分值</w:t>
            </w:r>
          </w:p>
        </w:tc>
        <w:tc>
          <w:tcPr>
            <w:tcW w:w="3213" w:type="pct"/>
            <w:shd w:val="clear" w:color="auto" w:fill="D8D8D8" w:themeFill="background1" w:themeFillShade="D9"/>
            <w:vAlign w:val="center"/>
          </w:tcPr>
          <w:p w14:paraId="5487D0E8">
            <w:pPr>
              <w:pStyle w:val="49"/>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子项目及分值</w:t>
            </w:r>
          </w:p>
        </w:tc>
      </w:tr>
      <w:tr w14:paraId="70DAE7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4" w:hRule="atLeast"/>
          <w:jc w:val="center"/>
        </w:trPr>
        <w:tc>
          <w:tcPr>
            <w:tcW w:w="417" w:type="pct"/>
            <w:vAlign w:val="center"/>
          </w:tcPr>
          <w:p w14:paraId="0DA9CA49">
            <w:pPr>
              <w:pStyle w:val="49"/>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价格部分</w:t>
            </w:r>
          </w:p>
        </w:tc>
        <w:tc>
          <w:tcPr>
            <w:tcW w:w="836" w:type="pct"/>
            <w:tcBorders>
              <w:bottom w:val="single" w:color="auto" w:sz="4" w:space="0"/>
            </w:tcBorders>
            <w:vAlign w:val="center"/>
          </w:tcPr>
          <w:p w14:paraId="24A26D92">
            <w:pPr>
              <w:pStyle w:val="49"/>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投标报价</w:t>
            </w:r>
          </w:p>
        </w:tc>
        <w:tc>
          <w:tcPr>
            <w:tcW w:w="532" w:type="pct"/>
            <w:vAlign w:val="center"/>
          </w:tcPr>
          <w:p w14:paraId="641E7D94">
            <w:pPr>
              <w:pStyle w:val="49"/>
              <w:jc w:val="center"/>
              <w:rPr>
                <w:rFonts w:hint="eastAsia" w:ascii="宋体" w:hAnsi="宋体" w:eastAsia="宋体" w:cs="宋体"/>
                <w:color w:val="auto"/>
                <w:sz w:val="21"/>
                <w:szCs w:val="21"/>
                <w:highlight w:val="none"/>
                <w:lang w:val="en-US" w:eastAsia="zh-CN"/>
              </w:rPr>
            </w:pPr>
            <w:r>
              <w:rPr>
                <w:rFonts w:hint="eastAsia" w:cs="宋体"/>
                <w:color w:val="auto"/>
                <w:sz w:val="21"/>
                <w:szCs w:val="21"/>
                <w:highlight w:val="none"/>
                <w:lang w:val="en-US" w:eastAsia="zh-CN"/>
              </w:rPr>
              <w:t>2</w:t>
            </w:r>
            <w:r>
              <w:rPr>
                <w:rFonts w:hint="eastAsia" w:ascii="宋体" w:hAnsi="宋体" w:eastAsia="宋体" w:cs="宋体"/>
                <w:color w:val="auto"/>
                <w:sz w:val="21"/>
                <w:szCs w:val="21"/>
                <w:highlight w:val="none"/>
                <w:lang w:val="en-US" w:eastAsia="zh-CN"/>
              </w:rPr>
              <w:t>0分</w:t>
            </w:r>
          </w:p>
        </w:tc>
        <w:tc>
          <w:tcPr>
            <w:tcW w:w="3213" w:type="pct"/>
            <w:vAlign w:val="center"/>
          </w:tcPr>
          <w:p w14:paraId="5EB5C9CC">
            <w:pPr>
              <w:pStyle w:val="49"/>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评标委员会只对符合性审查合格的投标文件进行价格评议，报价分采用低价优先法计算，即满足招标文件要求且投标价格（落实政府采购政策进行价格调整的，以调整后的价格计算）最低的投标报价为评标基准价，其价格分为满分。其他投标人的价格分按照下列公式计算：</w:t>
            </w:r>
            <w:r>
              <w:rPr>
                <w:rFonts w:hint="eastAsia" w:cs="宋体"/>
                <w:color w:val="auto"/>
                <w:sz w:val="21"/>
                <w:szCs w:val="21"/>
                <w:highlight w:val="none"/>
                <w:lang w:val="en-US" w:eastAsia="zh-CN"/>
              </w:rPr>
              <w:t>投标报价=</w:t>
            </w:r>
            <w:r>
              <w:rPr>
                <w:rFonts w:hint="eastAsia" w:ascii="宋体" w:hAnsi="宋体" w:eastAsia="宋体" w:cs="宋体"/>
                <w:color w:val="auto"/>
                <w:sz w:val="21"/>
                <w:szCs w:val="21"/>
                <w:highlight w:val="none"/>
                <w:lang w:val="en-US" w:eastAsia="zh-CN"/>
              </w:rPr>
              <w:t>（评标基准价/投标单价）×分项权重。分项权重=最高限价（单价）/最高限价（单价）合计×</w:t>
            </w:r>
            <w:r>
              <w:rPr>
                <w:rFonts w:hint="eastAsia" w:cs="宋体"/>
                <w:color w:val="auto"/>
                <w:sz w:val="21"/>
                <w:szCs w:val="21"/>
                <w:highlight w:val="none"/>
                <w:lang w:val="en-US" w:eastAsia="zh-CN"/>
              </w:rPr>
              <w:t>2</w:t>
            </w:r>
            <w:r>
              <w:rPr>
                <w:rFonts w:hint="eastAsia" w:ascii="宋体" w:hAnsi="宋体" w:eastAsia="宋体" w:cs="宋体"/>
                <w:color w:val="auto"/>
                <w:sz w:val="21"/>
                <w:szCs w:val="21"/>
                <w:highlight w:val="none"/>
                <w:lang w:val="en-US" w:eastAsia="zh-CN"/>
              </w:rPr>
              <w:t>0。投标报价得分为各分项报价得分之和。投标报价计算得分保留二位小数点</w:t>
            </w:r>
            <w:r>
              <w:rPr>
                <w:rFonts w:hint="eastAsia" w:cs="宋体"/>
                <w:color w:val="auto"/>
                <w:sz w:val="21"/>
                <w:szCs w:val="21"/>
                <w:highlight w:val="none"/>
                <w:lang w:val="en-US" w:eastAsia="zh-CN"/>
              </w:rPr>
              <w:t>。</w:t>
            </w:r>
          </w:p>
          <w:p w14:paraId="29D675EB">
            <w:pPr>
              <w:pStyle w:val="4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w:t>
            </w:r>
            <w:r>
              <w:rPr>
                <w:rFonts w:hint="eastAsia" w:ascii="宋体" w:hAnsi="宋体" w:eastAsia="宋体" w:cs="宋体"/>
                <w:color w:val="auto"/>
                <w:sz w:val="21"/>
                <w:szCs w:val="21"/>
                <w:highlight w:val="none"/>
                <w:lang w:eastAsia="zh-CN"/>
              </w:rPr>
              <w:t>本项目专门面向中小微企</w:t>
            </w:r>
            <w:bookmarkStart w:id="708" w:name="_GoBack"/>
            <w:bookmarkEnd w:id="708"/>
            <w:r>
              <w:rPr>
                <w:rFonts w:hint="eastAsia" w:ascii="宋体" w:hAnsi="宋体" w:eastAsia="宋体" w:cs="宋体"/>
                <w:color w:val="auto"/>
                <w:sz w:val="21"/>
                <w:szCs w:val="21"/>
                <w:highlight w:val="none"/>
                <w:lang w:eastAsia="zh-CN"/>
              </w:rPr>
              <w:t>业采购（小</w:t>
            </w:r>
            <w:r>
              <w:rPr>
                <w:rFonts w:hint="eastAsia" w:ascii="宋体" w:hAnsi="宋体" w:eastAsia="宋体" w:cs="宋体"/>
                <w:color w:val="auto"/>
                <w:sz w:val="21"/>
                <w:szCs w:val="21"/>
                <w:highlight w:val="none"/>
                <w:lang w:val="en-US" w:eastAsia="zh-CN"/>
              </w:rPr>
              <w:t>微</w:t>
            </w:r>
            <w:r>
              <w:rPr>
                <w:rFonts w:hint="eastAsia" w:ascii="宋体" w:hAnsi="宋体" w:eastAsia="宋体" w:cs="宋体"/>
                <w:color w:val="auto"/>
                <w:sz w:val="21"/>
                <w:szCs w:val="21"/>
                <w:highlight w:val="none"/>
                <w:lang w:eastAsia="zh-CN"/>
              </w:rPr>
              <w:t>企业</w:t>
            </w:r>
            <w:r>
              <w:rPr>
                <w:rFonts w:hint="eastAsia" w:ascii="宋体" w:hAnsi="宋体" w:eastAsia="宋体" w:cs="宋体"/>
                <w:color w:val="auto"/>
                <w:sz w:val="21"/>
                <w:szCs w:val="21"/>
                <w:highlight w:val="none"/>
                <w:lang w:val="en-US" w:eastAsia="zh-CN"/>
              </w:rPr>
              <w:t>不再</w:t>
            </w:r>
            <w:r>
              <w:rPr>
                <w:rFonts w:hint="eastAsia" w:ascii="宋体" w:hAnsi="宋体" w:eastAsia="宋体" w:cs="宋体"/>
                <w:color w:val="auto"/>
                <w:sz w:val="21"/>
                <w:szCs w:val="21"/>
                <w:highlight w:val="none"/>
                <w:lang w:eastAsia="zh-CN"/>
              </w:rPr>
              <w:t>享受价格扣除优惠），</w:t>
            </w:r>
            <w:r>
              <w:rPr>
                <w:rFonts w:hint="eastAsia" w:ascii="宋体" w:hAnsi="宋体" w:eastAsia="宋体" w:cs="宋体"/>
                <w:color w:val="auto"/>
                <w:sz w:val="21"/>
                <w:szCs w:val="21"/>
                <w:highlight w:val="none"/>
                <w:lang w:val="en-US" w:eastAsia="zh-CN"/>
              </w:rPr>
              <w:t>不</w:t>
            </w:r>
            <w:r>
              <w:rPr>
                <w:rFonts w:hint="eastAsia" w:ascii="宋体" w:hAnsi="宋体" w:eastAsia="宋体" w:cs="宋体"/>
                <w:color w:val="auto"/>
                <w:sz w:val="21"/>
                <w:szCs w:val="21"/>
                <w:highlight w:val="none"/>
                <w:lang w:eastAsia="zh-CN"/>
              </w:rPr>
              <w:t>接受大型企业投标</w:t>
            </w:r>
            <w:r>
              <w:rPr>
                <w:rFonts w:hint="eastAsia" w:ascii="宋体" w:hAnsi="宋体" w:eastAsia="宋体" w:cs="宋体"/>
                <w:color w:val="auto"/>
                <w:sz w:val="21"/>
                <w:szCs w:val="21"/>
                <w:highlight w:val="none"/>
              </w:rPr>
              <w:t>。</w:t>
            </w:r>
          </w:p>
          <w:p w14:paraId="17E1AE33">
            <w:pPr>
              <w:pStyle w:val="49"/>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备注</w:t>
            </w:r>
            <w:r>
              <w:rPr>
                <w:rFonts w:hint="eastAsia" w:ascii="宋体" w:hAnsi="宋体" w:eastAsia="宋体" w:cs="宋体"/>
                <w:color w:val="auto"/>
                <w:sz w:val="21"/>
                <w:szCs w:val="21"/>
                <w:highlight w:val="none"/>
              </w:rPr>
              <w:t>：符合</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投标人须知</w:t>
            </w:r>
            <w:r>
              <w:rPr>
                <w:rFonts w:hint="eastAsia" w:ascii="宋体" w:hAnsi="宋体" w:eastAsia="宋体" w:cs="宋体"/>
                <w:color w:val="auto"/>
                <w:sz w:val="21"/>
                <w:szCs w:val="21"/>
                <w:highlight w:val="none"/>
                <w:lang w:val="en-US" w:eastAsia="zh-CN"/>
              </w:rPr>
              <w:t>前附表”</w:t>
            </w:r>
            <w:r>
              <w:rPr>
                <w:rFonts w:hint="eastAsia" w:ascii="宋体" w:hAnsi="宋体" w:eastAsia="宋体" w:cs="宋体"/>
                <w:color w:val="auto"/>
                <w:sz w:val="21"/>
                <w:szCs w:val="21"/>
                <w:highlight w:val="none"/>
              </w:rPr>
              <w:t>中价格扣除规定的，在评审时予以价格扣除，用扣除后的价格参与评审。</w:t>
            </w:r>
          </w:p>
        </w:tc>
      </w:tr>
      <w:tr w14:paraId="09328C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417" w:type="pct"/>
            <w:vMerge w:val="restart"/>
            <w:vAlign w:val="center"/>
          </w:tcPr>
          <w:p w14:paraId="6D3DB7C6">
            <w:pPr>
              <w:pStyle w:val="49"/>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商务</w:t>
            </w:r>
            <w:r>
              <w:rPr>
                <w:rFonts w:hint="eastAsia" w:cs="宋体"/>
                <w:color w:val="auto"/>
                <w:sz w:val="21"/>
                <w:szCs w:val="21"/>
                <w:highlight w:val="none"/>
                <w:lang w:val="en-US" w:eastAsia="zh-CN"/>
              </w:rPr>
              <w:t>技术</w:t>
            </w:r>
            <w:r>
              <w:rPr>
                <w:rFonts w:hint="eastAsia" w:ascii="宋体" w:hAnsi="宋体" w:eastAsia="宋体" w:cs="宋体"/>
                <w:color w:val="auto"/>
                <w:sz w:val="21"/>
                <w:szCs w:val="21"/>
                <w:highlight w:val="none"/>
              </w:rPr>
              <w:t>部分</w:t>
            </w:r>
          </w:p>
        </w:tc>
        <w:tc>
          <w:tcPr>
            <w:tcW w:w="836" w:type="pct"/>
            <w:vMerge w:val="restart"/>
            <w:tcBorders>
              <w:top w:val="single" w:color="auto" w:sz="4" w:space="0"/>
            </w:tcBorders>
            <w:vAlign w:val="center"/>
          </w:tcPr>
          <w:p w14:paraId="6869DB0E">
            <w:pPr>
              <w:pStyle w:val="49"/>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投标人企业实力及信誉情况</w:t>
            </w:r>
          </w:p>
        </w:tc>
        <w:tc>
          <w:tcPr>
            <w:tcW w:w="532" w:type="pct"/>
            <w:vMerge w:val="restart"/>
            <w:vAlign w:val="center"/>
          </w:tcPr>
          <w:p w14:paraId="58A0C287">
            <w:pPr>
              <w:pStyle w:val="49"/>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9分</w:t>
            </w:r>
          </w:p>
        </w:tc>
        <w:tc>
          <w:tcPr>
            <w:tcW w:w="3213" w:type="pct"/>
            <w:vAlign w:val="center"/>
          </w:tcPr>
          <w:p w14:paraId="01CCB6FF">
            <w:pPr>
              <w:pStyle w:val="49"/>
              <w:numPr>
                <w:ilvl w:val="0"/>
                <w:numId w:val="0"/>
              </w:numP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根据本项目制定以下方案：</w:t>
            </w:r>
          </w:p>
          <w:p w14:paraId="3E03A872">
            <w:pPr>
              <w:pStyle w:val="49"/>
              <w:numPr>
                <w:ilvl w:val="0"/>
                <w:numId w:val="0"/>
              </w:numP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1、提供人员配置形式管理架构得 2 分；</w:t>
            </w:r>
          </w:p>
          <w:p w14:paraId="1797ABA2">
            <w:pPr>
              <w:pStyle w:val="49"/>
              <w:numPr>
                <w:ilvl w:val="0"/>
                <w:numId w:val="0"/>
              </w:numP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2、提供质量服务计划表得 2 分；</w:t>
            </w:r>
          </w:p>
          <w:p w14:paraId="58CDA5AB">
            <w:pPr>
              <w:pStyle w:val="49"/>
              <w:numPr>
                <w:ilvl w:val="0"/>
                <w:numId w:val="0"/>
              </w:numP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3、提供人员配备计划得 2 分；</w:t>
            </w:r>
          </w:p>
          <w:p w14:paraId="3A3F246B">
            <w:pPr>
              <w:pStyle w:val="49"/>
              <w:numPr>
                <w:ilvl w:val="0"/>
                <w:numId w:val="0"/>
              </w:numP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以上内容完整且完全满足项目要求得 6 分，不提供不得分，每项内容有缺陷扣 1 分，扣完为止(缺陷是指：存在不适用项目实际情况的情形、 凭空编造、内容前后不一致、前后逻辑错误、涉及的规范 及标准错误、地点区域错误、内容遗漏、不符合采购需求等)</w:t>
            </w:r>
          </w:p>
        </w:tc>
      </w:tr>
      <w:tr w14:paraId="5D4CF6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417" w:type="pct"/>
            <w:vMerge w:val="continue"/>
            <w:vAlign w:val="center"/>
          </w:tcPr>
          <w:p w14:paraId="647A362E">
            <w:pPr>
              <w:pStyle w:val="49"/>
              <w:jc w:val="center"/>
              <w:rPr>
                <w:rFonts w:hint="eastAsia" w:ascii="宋体" w:hAnsi="宋体" w:eastAsia="宋体" w:cs="宋体"/>
                <w:color w:val="auto"/>
                <w:sz w:val="21"/>
                <w:szCs w:val="21"/>
                <w:highlight w:val="none"/>
              </w:rPr>
            </w:pPr>
          </w:p>
        </w:tc>
        <w:tc>
          <w:tcPr>
            <w:tcW w:w="836" w:type="pct"/>
            <w:vMerge w:val="continue"/>
            <w:vAlign w:val="center"/>
          </w:tcPr>
          <w:p w14:paraId="5ABD95F0">
            <w:pPr>
              <w:pStyle w:val="49"/>
              <w:jc w:val="center"/>
              <w:rPr>
                <w:rFonts w:hint="eastAsia" w:ascii="宋体" w:hAnsi="宋体" w:eastAsia="宋体" w:cs="宋体"/>
                <w:color w:val="auto"/>
                <w:sz w:val="21"/>
                <w:szCs w:val="21"/>
                <w:highlight w:val="none"/>
              </w:rPr>
            </w:pPr>
          </w:p>
        </w:tc>
        <w:tc>
          <w:tcPr>
            <w:tcW w:w="532" w:type="pct"/>
            <w:vMerge w:val="continue"/>
            <w:vAlign w:val="center"/>
          </w:tcPr>
          <w:p w14:paraId="57548949">
            <w:pPr>
              <w:pStyle w:val="49"/>
              <w:jc w:val="center"/>
              <w:rPr>
                <w:rFonts w:hint="default" w:ascii="宋体" w:hAnsi="宋体" w:eastAsia="宋体" w:cs="宋体"/>
                <w:color w:val="auto"/>
                <w:sz w:val="21"/>
                <w:szCs w:val="21"/>
                <w:highlight w:val="none"/>
                <w:lang w:val="en-US" w:eastAsia="zh-CN"/>
              </w:rPr>
            </w:pPr>
          </w:p>
        </w:tc>
        <w:tc>
          <w:tcPr>
            <w:tcW w:w="3213" w:type="pct"/>
            <w:vAlign w:val="center"/>
          </w:tcPr>
          <w:p w14:paraId="07086564">
            <w:pPr>
              <w:pStyle w:val="4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供应商应具备符合医疗洗涤的场地布局及合理分区，提供平面布置图得3 分（无平面图不得分）：洗涤场所布局完全符合 WS/T508标准，设有完全独立的办公区域和工作区域;工作流程应由污到洁，完全不交叉、不逆行，具有工作人员、医用织物接收与发放的专用通道;清洁区与污染区之间完全隔离屏障;区域及功能用房标识明确、通风良好;采用卫生隔离式洗涤设备及隧道式洗涤机组;提供洗涤场地分区平面图及各分区的照片(包含污染区、分拣区、洗涤区、消毒区、整理修补区、清洁区)；</w:t>
            </w:r>
          </w:p>
          <w:p w14:paraId="050FCB56">
            <w:pPr>
              <w:pStyle w:val="4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（平面布置图是否合理，由评委进行对所有供应商提供的资料进行对比评议）</w:t>
            </w:r>
          </w:p>
        </w:tc>
      </w:tr>
      <w:tr w14:paraId="29443D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417" w:type="pct"/>
            <w:vMerge w:val="continue"/>
            <w:vAlign w:val="center"/>
          </w:tcPr>
          <w:p w14:paraId="357887B4">
            <w:pPr>
              <w:pStyle w:val="49"/>
              <w:jc w:val="center"/>
              <w:rPr>
                <w:rFonts w:hint="eastAsia" w:ascii="宋体" w:hAnsi="宋体" w:eastAsia="宋体" w:cs="宋体"/>
                <w:color w:val="auto"/>
                <w:sz w:val="21"/>
                <w:szCs w:val="21"/>
                <w:highlight w:val="none"/>
              </w:rPr>
            </w:pPr>
          </w:p>
        </w:tc>
        <w:tc>
          <w:tcPr>
            <w:tcW w:w="836" w:type="pct"/>
            <w:tcBorders>
              <w:top w:val="single" w:color="auto" w:sz="4" w:space="0"/>
            </w:tcBorders>
            <w:vAlign w:val="center"/>
          </w:tcPr>
          <w:p w14:paraId="55E240BA">
            <w:pPr>
              <w:pStyle w:val="49"/>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业绩</w:t>
            </w:r>
          </w:p>
        </w:tc>
        <w:tc>
          <w:tcPr>
            <w:tcW w:w="532" w:type="pct"/>
            <w:vAlign w:val="center"/>
          </w:tcPr>
          <w:p w14:paraId="60630E07">
            <w:pPr>
              <w:pStyle w:val="49"/>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6分</w:t>
            </w:r>
          </w:p>
        </w:tc>
        <w:tc>
          <w:tcPr>
            <w:tcW w:w="3213" w:type="pct"/>
            <w:vAlign w:val="center"/>
          </w:tcPr>
          <w:p w14:paraId="25F96EDB">
            <w:pPr>
              <w:pStyle w:val="4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1.供应商近三年（202</w:t>
            </w:r>
            <w:r>
              <w:rPr>
                <w:rFonts w:hint="eastAsia"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年</w:t>
            </w:r>
            <w:r>
              <w:rPr>
                <w:rFonts w:hint="eastAsia"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月1日至今）类似业绩（以中标通知书或合同签订时间为准），不提供不得分；每提供一项得1分，最高得6分）。</w:t>
            </w:r>
          </w:p>
          <w:p w14:paraId="202C5288">
            <w:pPr>
              <w:pStyle w:val="4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（注：1、业绩以中标通知书或合同为准，（合同须包含合同首页、合同关键页、签字盖章页，未提供证明材料的不得分；2、业绩必须能看出投标供应商名称、合同签订时间等）</w:t>
            </w:r>
          </w:p>
        </w:tc>
      </w:tr>
      <w:tr w14:paraId="37C0EA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417" w:type="pct"/>
            <w:vMerge w:val="continue"/>
            <w:vAlign w:val="center"/>
          </w:tcPr>
          <w:p w14:paraId="6E5A0AB9">
            <w:pPr>
              <w:pStyle w:val="49"/>
              <w:jc w:val="center"/>
              <w:rPr>
                <w:rFonts w:hint="eastAsia" w:ascii="宋体" w:hAnsi="宋体" w:eastAsia="宋体" w:cs="宋体"/>
                <w:color w:val="auto"/>
                <w:sz w:val="21"/>
                <w:szCs w:val="21"/>
                <w:highlight w:val="none"/>
              </w:rPr>
            </w:pPr>
          </w:p>
        </w:tc>
        <w:tc>
          <w:tcPr>
            <w:tcW w:w="836" w:type="pct"/>
            <w:tcBorders>
              <w:top w:val="single" w:color="auto" w:sz="4" w:space="0"/>
            </w:tcBorders>
            <w:vAlign w:val="center"/>
          </w:tcPr>
          <w:p w14:paraId="1EA9AE50">
            <w:pPr>
              <w:pStyle w:val="49"/>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服务实施</w:t>
            </w:r>
          </w:p>
          <w:p w14:paraId="7CED1061">
            <w:pPr>
              <w:pStyle w:val="49"/>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方案的合理性</w:t>
            </w:r>
          </w:p>
        </w:tc>
        <w:tc>
          <w:tcPr>
            <w:tcW w:w="532" w:type="pct"/>
            <w:vAlign w:val="center"/>
          </w:tcPr>
          <w:p w14:paraId="2E188CD4">
            <w:pPr>
              <w:pStyle w:val="49"/>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15分</w:t>
            </w:r>
          </w:p>
        </w:tc>
        <w:tc>
          <w:tcPr>
            <w:tcW w:w="3213" w:type="pct"/>
            <w:vAlign w:val="center"/>
          </w:tcPr>
          <w:p w14:paraId="13450B14">
            <w:pPr>
              <w:pStyle w:val="49"/>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服务实施方案（15 分）：</w:t>
            </w:r>
          </w:p>
          <w:p w14:paraId="0DAAF149">
            <w:pPr>
              <w:pStyle w:val="49"/>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所制定的总体服务实施方案包括项目整体实施计划、各项服务（包括但不限于运输、消毒、包装、检验和收发）和组织实施方案、运作流程等方面科学、合理、详细。</w:t>
            </w:r>
          </w:p>
          <w:p w14:paraId="3021DB8C">
            <w:pPr>
              <w:pStyle w:val="49"/>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以上内容不存在瑕疵:15 分；</w:t>
            </w:r>
            <w:r>
              <w:rPr>
                <w:rFonts w:hint="eastAsia" w:cs="宋体"/>
                <w:color w:val="auto"/>
                <w:sz w:val="21"/>
                <w:szCs w:val="21"/>
                <w:highlight w:val="none"/>
                <w:lang w:val="en-US" w:eastAsia="zh-CN"/>
              </w:rPr>
              <w:t>每出现</w:t>
            </w:r>
            <w:r>
              <w:rPr>
                <w:rFonts w:hint="eastAsia" w:ascii="宋体" w:hAnsi="宋体" w:eastAsia="宋体" w:cs="宋体"/>
                <w:color w:val="auto"/>
                <w:sz w:val="21"/>
                <w:szCs w:val="21"/>
                <w:highlight w:val="none"/>
                <w:lang w:eastAsia="zh-CN"/>
              </w:rPr>
              <w:t>瑕疵</w:t>
            </w:r>
            <w:r>
              <w:rPr>
                <w:rFonts w:hint="eastAsia" w:cs="宋体"/>
                <w:color w:val="auto"/>
                <w:sz w:val="21"/>
                <w:szCs w:val="21"/>
                <w:highlight w:val="none"/>
                <w:lang w:val="en-US" w:eastAsia="zh-CN"/>
              </w:rPr>
              <w:t>1处口5分，即</w:t>
            </w:r>
            <w:r>
              <w:rPr>
                <w:rFonts w:hint="eastAsia" w:ascii="宋体" w:hAnsi="宋体" w:eastAsia="宋体" w:cs="宋体"/>
                <w:color w:val="auto"/>
                <w:sz w:val="21"/>
                <w:szCs w:val="21"/>
                <w:highlight w:val="none"/>
                <w:lang w:eastAsia="zh-CN"/>
              </w:rPr>
              <w:t>以上内容存在 1 处瑕疵:10 分；以上内容存在2 处瑕疵:5 分；</w:t>
            </w:r>
          </w:p>
          <w:p w14:paraId="2C89B0EB">
            <w:pPr>
              <w:pStyle w:val="49"/>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未提供方案或不满足项目需求书要求或内容存在 3 处及以上瑕疵:0 分。</w:t>
            </w:r>
          </w:p>
          <w:p w14:paraId="79497C83">
            <w:pPr>
              <w:pStyle w:val="49"/>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(本项所称“瑕疵 ”是指内容缺项、不完整或缺少关键点；非专门针对本项目或不适用本项目特性、套用其他项目内容；对同一问题前后表述矛盾:存在逻辑漏洞科学原理或常识错误；不利于本项目 目标的实现、现有技术条件下不可能出现的情形等任意一种情形 )。</w:t>
            </w:r>
          </w:p>
        </w:tc>
      </w:tr>
      <w:tr w14:paraId="51B474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417" w:type="pct"/>
            <w:vMerge w:val="continue"/>
            <w:vAlign w:val="center"/>
          </w:tcPr>
          <w:p w14:paraId="7A848F70">
            <w:pPr>
              <w:pStyle w:val="49"/>
              <w:jc w:val="center"/>
              <w:rPr>
                <w:rFonts w:hint="eastAsia" w:ascii="宋体" w:hAnsi="宋体" w:eastAsia="宋体" w:cs="宋体"/>
                <w:color w:val="auto"/>
                <w:sz w:val="21"/>
                <w:szCs w:val="21"/>
                <w:highlight w:val="none"/>
              </w:rPr>
            </w:pPr>
          </w:p>
        </w:tc>
        <w:tc>
          <w:tcPr>
            <w:tcW w:w="836" w:type="pct"/>
            <w:tcBorders>
              <w:top w:val="single" w:color="auto" w:sz="4" w:space="0"/>
            </w:tcBorders>
            <w:vAlign w:val="center"/>
          </w:tcPr>
          <w:p w14:paraId="1428FE58">
            <w:pPr>
              <w:pStyle w:val="49"/>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服务质量情况</w:t>
            </w:r>
          </w:p>
        </w:tc>
        <w:tc>
          <w:tcPr>
            <w:tcW w:w="532" w:type="pct"/>
            <w:vAlign w:val="center"/>
          </w:tcPr>
          <w:p w14:paraId="2A6F6FAB">
            <w:pPr>
              <w:pStyle w:val="49"/>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15分</w:t>
            </w:r>
          </w:p>
        </w:tc>
        <w:tc>
          <w:tcPr>
            <w:tcW w:w="3213" w:type="pct"/>
            <w:vAlign w:val="center"/>
          </w:tcPr>
          <w:p w14:paraId="6907E794">
            <w:pPr>
              <w:pStyle w:val="4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服务质量情况（15 分）：</w:t>
            </w:r>
          </w:p>
          <w:p w14:paraId="5616FC20">
            <w:pPr>
              <w:pStyle w:val="4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供应商服务质量情况（包括但不限于提供的被服、手术衣洗涤等、收集运送工作服务各项质量指标的承诺、目标的科学性、可行性、合理性）：</w:t>
            </w:r>
          </w:p>
          <w:p w14:paraId="72018897">
            <w:pPr>
              <w:pStyle w:val="4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方案优于要求：质量保证措施详细、合理、具体可行，可操作性强的，得 15 分；</w:t>
            </w:r>
          </w:p>
          <w:p w14:paraId="118CD590">
            <w:pPr>
              <w:pStyle w:val="4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方案满足要求：质量保证措施详细、合理，可操作的，得 11 分；方案部分满足要求：质量保证措施基本合理，详细，可操作性一般的，得 6 分；</w:t>
            </w:r>
          </w:p>
          <w:p w14:paraId="793F4032">
            <w:pPr>
              <w:pStyle w:val="4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提供方案但不满足要求：质量保证措施不合理，不详细，可操作性差的，得 2 分。</w:t>
            </w:r>
          </w:p>
          <w:p w14:paraId="50AADC07">
            <w:pPr>
              <w:pStyle w:val="4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未提供对应方案得 0 分。</w:t>
            </w:r>
          </w:p>
          <w:p w14:paraId="0ED6C3E4">
            <w:pPr>
              <w:pStyle w:val="4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量保证措施详细是指：提供的上述质量指标承诺表述详细；具体可行是指：具体的工作计划，明确责任人和时间节点，确保措施的全面实施；合理是指：建立质量管理体系，包括质量目标、质量标准、质量检查和质量管理流程等，确保质量管理工作有章可循；可操作性强是指：针对本项提供有利于项目实施的内容）。</w:t>
            </w:r>
          </w:p>
        </w:tc>
      </w:tr>
      <w:tr w14:paraId="718B6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417" w:type="pct"/>
            <w:vMerge w:val="continue"/>
            <w:vAlign w:val="center"/>
          </w:tcPr>
          <w:p w14:paraId="4FF1ABDF">
            <w:pPr>
              <w:pStyle w:val="49"/>
              <w:jc w:val="center"/>
              <w:rPr>
                <w:rFonts w:hint="eastAsia" w:ascii="宋体" w:hAnsi="宋体" w:eastAsia="宋体" w:cs="宋体"/>
                <w:color w:val="auto"/>
                <w:sz w:val="21"/>
                <w:szCs w:val="21"/>
                <w:highlight w:val="none"/>
              </w:rPr>
            </w:pPr>
          </w:p>
        </w:tc>
        <w:tc>
          <w:tcPr>
            <w:tcW w:w="836" w:type="pct"/>
            <w:tcBorders>
              <w:top w:val="single" w:color="auto" w:sz="4" w:space="0"/>
            </w:tcBorders>
            <w:vAlign w:val="center"/>
          </w:tcPr>
          <w:p w14:paraId="7FAA7A45">
            <w:pPr>
              <w:pStyle w:val="49"/>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安全保障设施及措施</w:t>
            </w:r>
          </w:p>
        </w:tc>
        <w:tc>
          <w:tcPr>
            <w:tcW w:w="532" w:type="pct"/>
            <w:vAlign w:val="center"/>
          </w:tcPr>
          <w:p w14:paraId="585EBCD1">
            <w:pPr>
              <w:pStyle w:val="49"/>
              <w:jc w:val="center"/>
              <w:rPr>
                <w:rFonts w:hint="default" w:cs="宋体"/>
                <w:color w:val="auto"/>
                <w:sz w:val="21"/>
                <w:szCs w:val="21"/>
                <w:highlight w:val="none"/>
                <w:lang w:val="en-US" w:eastAsia="zh-CN"/>
              </w:rPr>
            </w:pPr>
            <w:r>
              <w:rPr>
                <w:rFonts w:hint="eastAsia" w:cs="宋体"/>
                <w:color w:val="auto"/>
                <w:sz w:val="21"/>
                <w:szCs w:val="21"/>
                <w:highlight w:val="none"/>
                <w:lang w:val="en-US" w:eastAsia="zh-CN"/>
              </w:rPr>
              <w:t>12分</w:t>
            </w:r>
          </w:p>
        </w:tc>
        <w:tc>
          <w:tcPr>
            <w:tcW w:w="3213" w:type="pct"/>
            <w:vAlign w:val="center"/>
          </w:tcPr>
          <w:p w14:paraId="2DA5D101">
            <w:pPr>
              <w:pStyle w:val="4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安全保障设施及体系（12 分）</w:t>
            </w:r>
          </w:p>
          <w:p w14:paraId="3FE5410A">
            <w:pPr>
              <w:pStyle w:val="4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1、拥有稳定的水、电、蒸汽等能源供应系统及提供有效期内洗涤剂（提供相关证明材料）得 6 分。</w:t>
            </w:r>
          </w:p>
          <w:p w14:paraId="0ABD3BCE">
            <w:pPr>
              <w:pStyle w:val="4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（1）有水、电、蒸汽供应系统其中一项得 1 分，总共得 3 分，没有不得分；</w:t>
            </w:r>
          </w:p>
          <w:p w14:paraId="2910E0A5">
            <w:pPr>
              <w:pStyle w:val="4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（2）能够提供有效期内洗涤剂(氯漂剂、乳化剂、彩漂剂、医用去渍剂)的检测报告以证明其安全性的，提供一个 1 分，最高得 3 分;</w:t>
            </w:r>
          </w:p>
          <w:p w14:paraId="2571AF7F">
            <w:pPr>
              <w:pStyle w:val="4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2、供应商提供安全保证措施（如安全规章制度、操作流程、安全培训教育等）6 分</w:t>
            </w:r>
          </w:p>
          <w:p w14:paraId="1BC2B2D0">
            <w:pPr>
              <w:pStyle w:val="4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（1）安全保证措施表述全面、具体（满足下述①②③④) 得 6分；</w:t>
            </w:r>
          </w:p>
          <w:p w14:paraId="7FE030C1">
            <w:pPr>
              <w:pStyle w:val="4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（2）安全保证措施表述基本全面、具体（满足下述①②③④任意 3 项）得 4 分</w:t>
            </w:r>
          </w:p>
          <w:p w14:paraId="52EFD903">
            <w:pPr>
              <w:pStyle w:val="4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（3）有安全保证措施但表述不全面 、不够具体（满足下述①②③④任意2 项）得 2 分</w:t>
            </w:r>
          </w:p>
          <w:p w14:paraId="673FCD9C">
            <w:pPr>
              <w:pStyle w:val="4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（4）无安全保证措施的不得分。</w:t>
            </w:r>
          </w:p>
          <w:p w14:paraId="37E8FD45">
            <w:pPr>
              <w:pStyle w:val="4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安全保证措施指：①供应商为安全生成或服务制定一系列的规章制度和操作流程②是否有安全培训和教育以及完善的监测和报告机制③是否在生产或服务现场设置安全警示标志④是否对生产或服务现场相关的设备进行定期更换整理和维护工作，以便更好的为本项目服务）</w:t>
            </w:r>
          </w:p>
        </w:tc>
      </w:tr>
      <w:tr w14:paraId="5C50B2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417" w:type="pct"/>
            <w:vMerge w:val="continue"/>
            <w:vAlign w:val="center"/>
          </w:tcPr>
          <w:p w14:paraId="1B441904">
            <w:pPr>
              <w:pStyle w:val="49"/>
              <w:jc w:val="center"/>
              <w:rPr>
                <w:rFonts w:hint="eastAsia" w:ascii="宋体" w:hAnsi="宋体" w:eastAsia="宋体" w:cs="宋体"/>
                <w:color w:val="auto"/>
                <w:sz w:val="21"/>
                <w:szCs w:val="21"/>
                <w:highlight w:val="none"/>
              </w:rPr>
            </w:pPr>
          </w:p>
        </w:tc>
        <w:tc>
          <w:tcPr>
            <w:tcW w:w="836" w:type="pct"/>
            <w:tcBorders>
              <w:top w:val="single" w:color="auto" w:sz="4" w:space="0"/>
            </w:tcBorders>
            <w:vAlign w:val="center"/>
          </w:tcPr>
          <w:p w14:paraId="1DEA709D">
            <w:pPr>
              <w:pStyle w:val="49"/>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清洁生产能力</w:t>
            </w:r>
          </w:p>
        </w:tc>
        <w:tc>
          <w:tcPr>
            <w:tcW w:w="532" w:type="pct"/>
            <w:vAlign w:val="center"/>
          </w:tcPr>
          <w:p w14:paraId="4A4D8310">
            <w:pPr>
              <w:pStyle w:val="49"/>
              <w:jc w:val="center"/>
              <w:rPr>
                <w:rFonts w:hint="default" w:cs="宋体"/>
                <w:color w:val="auto"/>
                <w:sz w:val="21"/>
                <w:szCs w:val="21"/>
                <w:highlight w:val="none"/>
                <w:lang w:val="en-US" w:eastAsia="zh-CN"/>
              </w:rPr>
            </w:pPr>
            <w:r>
              <w:rPr>
                <w:rFonts w:hint="eastAsia" w:cs="宋体"/>
                <w:color w:val="auto"/>
                <w:sz w:val="21"/>
                <w:szCs w:val="21"/>
                <w:highlight w:val="none"/>
                <w:lang w:val="en-US" w:eastAsia="zh-CN"/>
              </w:rPr>
              <w:t>8分</w:t>
            </w:r>
          </w:p>
        </w:tc>
        <w:tc>
          <w:tcPr>
            <w:tcW w:w="3213" w:type="pct"/>
            <w:vAlign w:val="center"/>
          </w:tcPr>
          <w:p w14:paraId="37502892">
            <w:pPr>
              <w:pStyle w:val="4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清洁生产能力（8 分）：对设备技术状态进行评价（设备使用过程中的技术性能、生产能力、生产效率及有关技术质量标准）</w:t>
            </w:r>
          </w:p>
          <w:p w14:paraId="6C5CD764">
            <w:pPr>
              <w:pStyle w:val="4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设备配置可用性高、质量良好、性能良好的（需提供设备实际照片） ，得 8 分；</w:t>
            </w:r>
          </w:p>
          <w:p w14:paraId="343A1D7F">
            <w:pPr>
              <w:pStyle w:val="4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设备配置可用性、质量、性能较强的，得 5 分；</w:t>
            </w:r>
          </w:p>
          <w:p w14:paraId="659231D0">
            <w:pPr>
              <w:pStyle w:val="4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设备配置可用性、质量、性能完善的，得 2 分；</w:t>
            </w:r>
          </w:p>
          <w:p w14:paraId="609A3770">
            <w:pPr>
              <w:pStyle w:val="4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设备配置可用性、质量、性能差的不得分。</w:t>
            </w:r>
          </w:p>
          <w:p w14:paraId="266A685C">
            <w:pPr>
              <w:pStyle w:val="4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（可用性指的是：设备在规定的时间内可以正常运行的时间；性能指的是：设备在规定的时间内完成的任务数量；质量指的是：设备在规定的时间内完成的任务的质量。根据各供应商投标文件提供资料对比评价）</w:t>
            </w:r>
          </w:p>
        </w:tc>
      </w:tr>
      <w:tr w14:paraId="71AFC7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417" w:type="pct"/>
            <w:vMerge w:val="continue"/>
            <w:vAlign w:val="center"/>
          </w:tcPr>
          <w:p w14:paraId="5C5B6F24">
            <w:pPr>
              <w:pStyle w:val="49"/>
              <w:jc w:val="center"/>
              <w:rPr>
                <w:rFonts w:hint="eastAsia" w:ascii="宋体" w:hAnsi="宋体" w:eastAsia="宋体" w:cs="宋体"/>
                <w:color w:val="auto"/>
                <w:sz w:val="21"/>
                <w:szCs w:val="21"/>
                <w:highlight w:val="none"/>
              </w:rPr>
            </w:pPr>
          </w:p>
        </w:tc>
        <w:tc>
          <w:tcPr>
            <w:tcW w:w="836" w:type="pct"/>
            <w:tcBorders>
              <w:top w:val="single" w:color="auto" w:sz="4" w:space="0"/>
            </w:tcBorders>
            <w:vAlign w:val="center"/>
          </w:tcPr>
          <w:p w14:paraId="45BAF76D">
            <w:pPr>
              <w:pStyle w:val="49"/>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突发事件应急处理预案</w:t>
            </w:r>
          </w:p>
        </w:tc>
        <w:tc>
          <w:tcPr>
            <w:tcW w:w="532" w:type="pct"/>
            <w:vAlign w:val="center"/>
          </w:tcPr>
          <w:p w14:paraId="6A1016DB">
            <w:pPr>
              <w:pStyle w:val="49"/>
              <w:jc w:val="center"/>
              <w:rPr>
                <w:rFonts w:hint="default" w:cs="宋体"/>
                <w:color w:val="auto"/>
                <w:sz w:val="21"/>
                <w:szCs w:val="21"/>
                <w:highlight w:val="none"/>
                <w:lang w:val="en-US" w:eastAsia="zh-CN"/>
              </w:rPr>
            </w:pPr>
            <w:r>
              <w:rPr>
                <w:rFonts w:hint="eastAsia" w:cs="宋体"/>
                <w:color w:val="auto"/>
                <w:sz w:val="21"/>
                <w:szCs w:val="21"/>
                <w:highlight w:val="none"/>
                <w:lang w:val="en-US" w:eastAsia="zh-CN"/>
              </w:rPr>
              <w:t>9分</w:t>
            </w:r>
          </w:p>
        </w:tc>
        <w:tc>
          <w:tcPr>
            <w:tcW w:w="3213" w:type="pct"/>
            <w:vAlign w:val="center"/>
          </w:tcPr>
          <w:p w14:paraId="08B6426F">
            <w:pPr>
              <w:pStyle w:val="4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供应商对突发事件（包括但不限于停水、停电、机器故障以及因故暂停服务或暂时减少服务量等）提供应急预案，采取的应急措施、调配人力和物力的支持力度情况进行评审：提供对突发事件的处理措施和应急预案</w:t>
            </w:r>
          </w:p>
          <w:p w14:paraId="6FA8157A">
            <w:pPr>
              <w:pStyle w:val="4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全面、详细，可行性高，切实保障采购人本项目服务的及时性和连续性，得 </w:t>
            </w: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rPr>
              <w:t xml:space="preserve"> 分；提供对突发事件的处理措施和应急预案可行，基本保障采购人本项目服务的及时性和连续性，得 </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 xml:space="preserve"> 分；提供对突发事件的处理措施和应急</w:t>
            </w:r>
          </w:p>
          <w:p w14:paraId="5E3603F7">
            <w:pPr>
              <w:pStyle w:val="4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预案具有较大缺漏或不可行，难以保障采购人本项目服务的及时性和连续性，得 </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 xml:space="preserve"> 分；未提供得 0 分。</w:t>
            </w:r>
          </w:p>
        </w:tc>
      </w:tr>
      <w:tr w14:paraId="597EA8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417" w:type="pct"/>
            <w:vMerge w:val="continue"/>
            <w:vAlign w:val="center"/>
          </w:tcPr>
          <w:p w14:paraId="6B2E0984">
            <w:pPr>
              <w:pStyle w:val="49"/>
              <w:jc w:val="center"/>
              <w:rPr>
                <w:rFonts w:hint="eastAsia" w:ascii="宋体" w:hAnsi="宋体" w:eastAsia="宋体" w:cs="宋体"/>
                <w:color w:val="auto"/>
                <w:sz w:val="21"/>
                <w:szCs w:val="21"/>
                <w:highlight w:val="none"/>
              </w:rPr>
            </w:pPr>
          </w:p>
        </w:tc>
        <w:tc>
          <w:tcPr>
            <w:tcW w:w="836" w:type="pct"/>
            <w:tcBorders>
              <w:top w:val="single" w:color="auto" w:sz="4" w:space="0"/>
            </w:tcBorders>
            <w:vAlign w:val="center"/>
          </w:tcPr>
          <w:p w14:paraId="18BE5847">
            <w:pPr>
              <w:pStyle w:val="49"/>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人员配备</w:t>
            </w:r>
          </w:p>
        </w:tc>
        <w:tc>
          <w:tcPr>
            <w:tcW w:w="532" w:type="pct"/>
            <w:vAlign w:val="center"/>
          </w:tcPr>
          <w:p w14:paraId="19AF0623">
            <w:pPr>
              <w:pStyle w:val="49"/>
              <w:jc w:val="center"/>
              <w:rPr>
                <w:rFonts w:hint="default" w:cs="宋体"/>
                <w:color w:val="auto"/>
                <w:sz w:val="21"/>
                <w:szCs w:val="21"/>
                <w:highlight w:val="none"/>
                <w:lang w:val="en-US" w:eastAsia="zh-CN"/>
              </w:rPr>
            </w:pPr>
            <w:r>
              <w:rPr>
                <w:rFonts w:hint="eastAsia" w:cs="宋体"/>
                <w:color w:val="auto"/>
                <w:sz w:val="21"/>
                <w:szCs w:val="21"/>
                <w:highlight w:val="none"/>
                <w:lang w:val="en-US" w:eastAsia="zh-CN"/>
              </w:rPr>
              <w:t>6分</w:t>
            </w:r>
          </w:p>
        </w:tc>
        <w:tc>
          <w:tcPr>
            <w:tcW w:w="3213" w:type="pct"/>
            <w:vAlign w:val="center"/>
          </w:tcPr>
          <w:p w14:paraId="725401EF">
            <w:pPr>
              <w:pStyle w:val="4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针对本项目有合理的项目组织架构、固定的人员至少6 名以上，有详细的调配措施，人员配备合理、齐全，分工明确。人员配备齐整得 6 分，人员配备不足，分工明确的得 3 分。人员配备不足，分工不明确的得 1 分;未提供不得分。</w:t>
            </w:r>
          </w:p>
        </w:tc>
      </w:tr>
      <w:tr w14:paraId="1C0650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jc w:val="center"/>
        </w:trPr>
        <w:tc>
          <w:tcPr>
            <w:tcW w:w="1254" w:type="pct"/>
            <w:gridSpan w:val="2"/>
            <w:vAlign w:val="center"/>
          </w:tcPr>
          <w:p w14:paraId="643E20FC">
            <w:pPr>
              <w:pStyle w:val="49"/>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合计</w:t>
            </w:r>
          </w:p>
        </w:tc>
        <w:tc>
          <w:tcPr>
            <w:tcW w:w="532" w:type="pct"/>
            <w:tcBorders>
              <w:bottom w:val="single" w:color="auto" w:sz="4" w:space="0"/>
            </w:tcBorders>
            <w:vAlign w:val="center"/>
          </w:tcPr>
          <w:p w14:paraId="4EB6D081">
            <w:pPr>
              <w:pStyle w:val="49"/>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=SUM(ABOVE)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100</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lang w:val="en-US" w:eastAsia="zh-CN"/>
              </w:rPr>
              <w:t>分</w:t>
            </w:r>
          </w:p>
        </w:tc>
        <w:tc>
          <w:tcPr>
            <w:tcW w:w="3213" w:type="pct"/>
            <w:tcBorders>
              <w:bottom w:val="single" w:color="auto" w:sz="4" w:space="0"/>
            </w:tcBorders>
            <w:vAlign w:val="center"/>
          </w:tcPr>
          <w:p w14:paraId="6C798833">
            <w:pPr>
              <w:pStyle w:val="49"/>
              <w:rPr>
                <w:rFonts w:hint="eastAsia" w:ascii="宋体" w:hAnsi="宋体" w:eastAsia="宋体" w:cs="宋体"/>
                <w:color w:val="auto"/>
                <w:sz w:val="21"/>
                <w:szCs w:val="21"/>
                <w:highlight w:val="none"/>
              </w:rPr>
            </w:pPr>
          </w:p>
        </w:tc>
      </w:tr>
    </w:tbl>
    <w:p w14:paraId="7B89D31A">
      <w:pPr>
        <w:rPr>
          <w:rFonts w:hint="eastAsia"/>
          <w:color w:val="auto"/>
          <w:highlight w:val="none"/>
        </w:rPr>
      </w:pPr>
      <w:r>
        <w:rPr>
          <w:rFonts w:hint="eastAsia"/>
          <w:color w:val="auto"/>
          <w:highlight w:val="none"/>
        </w:rPr>
        <w:br w:type="page"/>
      </w:r>
    </w:p>
    <w:p w14:paraId="203C6AA1">
      <w:pPr>
        <w:pStyle w:val="2"/>
        <w:keepNext/>
        <w:keepLines/>
        <w:pageBreakBefore w:val="0"/>
        <w:widowControl w:val="0"/>
        <w:numPr>
          <w:ilvl w:val="0"/>
          <w:numId w:val="0"/>
        </w:numPr>
        <w:kinsoku/>
        <w:wordWrap/>
        <w:overflowPunct/>
        <w:topLinePunct w:val="0"/>
        <w:autoSpaceDE/>
        <w:autoSpaceDN/>
        <w:bidi w:val="0"/>
        <w:adjustRightInd/>
        <w:snapToGrid/>
        <w:spacing w:before="220" w:after="220" w:line="480" w:lineRule="auto"/>
        <w:ind w:left="420" w:leftChars="0" w:hanging="420" w:firstLineChars="0"/>
        <w:textAlignment w:val="auto"/>
        <w:rPr>
          <w:rFonts w:hint="eastAsia" w:ascii="宋体" w:hAnsi="宋体" w:eastAsia="宋体" w:cs="宋体"/>
          <w:b/>
          <w:bCs/>
          <w:color w:val="auto"/>
          <w:kern w:val="44"/>
          <w:sz w:val="36"/>
          <w:szCs w:val="36"/>
          <w:highlight w:val="none"/>
          <w:lang w:val="zh-CN" w:eastAsia="zh-CN" w:bidi="ar-SA"/>
        </w:rPr>
      </w:pPr>
      <w:bookmarkStart w:id="403" w:name="_Toc155185918"/>
      <w:bookmarkStart w:id="404" w:name="_Toc22127"/>
      <w:bookmarkStart w:id="405" w:name="_Toc1640"/>
      <w:r>
        <w:rPr>
          <w:rFonts w:hint="eastAsia" w:ascii="宋体" w:hAnsi="宋体" w:eastAsia="宋体" w:cs="宋体"/>
          <w:b/>
          <w:bCs/>
          <w:color w:val="auto"/>
          <w:kern w:val="44"/>
          <w:sz w:val="36"/>
          <w:szCs w:val="36"/>
          <w:highlight w:val="none"/>
          <w:lang w:val="zh-CN" w:eastAsia="zh-CN" w:bidi="ar-SA"/>
        </w:rPr>
        <w:t>第六章 合同</w:t>
      </w:r>
      <w:bookmarkEnd w:id="403"/>
      <w:r>
        <w:rPr>
          <w:rFonts w:hint="eastAsia" w:ascii="宋体" w:hAnsi="宋体" w:eastAsia="宋体" w:cs="宋体"/>
          <w:b/>
          <w:bCs/>
          <w:color w:val="auto"/>
          <w:kern w:val="44"/>
          <w:sz w:val="36"/>
          <w:szCs w:val="36"/>
          <w:highlight w:val="none"/>
          <w:lang w:val="zh-CN" w:eastAsia="zh-CN" w:bidi="ar-SA"/>
        </w:rPr>
        <w:t>草案</w:t>
      </w:r>
      <w:bookmarkEnd w:id="404"/>
      <w:bookmarkEnd w:id="405"/>
    </w:p>
    <w:p w14:paraId="5CF7B029">
      <w:pPr>
        <w:wordWrap w:val="0"/>
        <w:jc w:val="center"/>
        <w:rPr>
          <w:rFonts w:hint="eastAsia" w:eastAsia="宋体"/>
          <w:bCs/>
          <w:color w:val="auto"/>
          <w:sz w:val="24"/>
          <w:szCs w:val="24"/>
          <w:highlight w:val="none"/>
          <w:lang w:eastAsia="zh-CN"/>
        </w:rPr>
      </w:pPr>
      <w:r>
        <w:rPr>
          <w:rFonts w:hint="eastAsia"/>
          <w:color w:val="auto"/>
          <w:sz w:val="24"/>
          <w:szCs w:val="24"/>
          <w:highlight w:val="none"/>
          <w:lang w:eastAsia="zh-CN"/>
        </w:rPr>
        <w:t>【</w:t>
      </w:r>
      <w:r>
        <w:rPr>
          <w:rFonts w:hint="eastAsia"/>
          <w:color w:val="auto"/>
          <w:sz w:val="24"/>
          <w:szCs w:val="24"/>
          <w:highlight w:val="none"/>
        </w:rPr>
        <w:t>此合同书仅作为签订正式合同时的参考，正式合同书应包括本参考格式的内容</w:t>
      </w:r>
      <w:r>
        <w:rPr>
          <w:rFonts w:hint="eastAsia"/>
          <w:color w:val="auto"/>
          <w:sz w:val="24"/>
          <w:szCs w:val="24"/>
          <w:highlight w:val="none"/>
          <w:lang w:eastAsia="zh-CN"/>
        </w:rPr>
        <w:t>】</w:t>
      </w:r>
    </w:p>
    <w:p w14:paraId="466B9990">
      <w:pPr>
        <w:wordWrap w:val="0"/>
        <w:rPr>
          <w:bCs/>
          <w:color w:val="auto"/>
          <w:sz w:val="28"/>
          <w:szCs w:val="28"/>
          <w:highlight w:val="none"/>
        </w:rPr>
      </w:pPr>
      <w:r>
        <w:rPr>
          <w:rFonts w:hint="eastAsia" w:cs="Helvetica"/>
          <w:bCs/>
          <w:color w:val="auto"/>
          <w:sz w:val="24"/>
          <w:szCs w:val="24"/>
          <w:highlight w:val="none"/>
          <w:lang w:val="zh-CN"/>
        </w:rPr>
        <w:t>合同编号：</w:t>
      </w:r>
      <w:r>
        <w:rPr>
          <w:rFonts w:hint="eastAsia" w:cs="Helvetica"/>
          <w:bCs/>
          <w:color w:val="auto"/>
          <w:sz w:val="24"/>
          <w:szCs w:val="24"/>
          <w:highlight w:val="none"/>
          <w:u w:val="single"/>
        </w:rPr>
        <w:t xml:space="preserve">              </w:t>
      </w:r>
    </w:p>
    <w:p w14:paraId="4DD54709">
      <w:pPr>
        <w:pStyle w:val="13"/>
        <w:spacing w:after="0"/>
        <w:jc w:val="center"/>
        <w:rPr>
          <w:rFonts w:ascii="宋体" w:hAnsi="宋体" w:cs="宋体"/>
          <w:b/>
          <w:bCs/>
          <w:color w:val="auto"/>
          <w:spacing w:val="-20"/>
          <w:kern w:val="44"/>
          <w:sz w:val="48"/>
          <w:szCs w:val="48"/>
          <w:highlight w:val="none"/>
        </w:rPr>
      </w:pPr>
      <w:bookmarkStart w:id="406" w:name="_Toc3995"/>
    </w:p>
    <w:p w14:paraId="3B059C39">
      <w:pPr>
        <w:pStyle w:val="13"/>
        <w:rPr>
          <w:color w:val="auto"/>
          <w:highlight w:val="none"/>
        </w:rPr>
      </w:pPr>
    </w:p>
    <w:p w14:paraId="1EAD278A">
      <w:pPr>
        <w:spacing w:line="240" w:lineRule="auto"/>
        <w:jc w:val="center"/>
        <w:outlineLvl w:val="1"/>
        <w:rPr>
          <w:rFonts w:hint="eastAsia" w:ascii="宋体" w:hAnsi="宋体" w:eastAsia="宋体" w:cs="宋体"/>
          <w:b/>
          <w:bCs/>
          <w:color w:val="auto"/>
          <w:spacing w:val="-20"/>
          <w:kern w:val="44"/>
          <w:sz w:val="44"/>
          <w:szCs w:val="44"/>
          <w:highlight w:val="none"/>
          <w:lang w:val="en-US" w:eastAsia="zh-CN" w:bidi="ar-SA"/>
        </w:rPr>
      </w:pPr>
      <w:bookmarkStart w:id="407" w:name="_Toc31195"/>
      <w:bookmarkStart w:id="408" w:name="_Toc8451"/>
      <w:bookmarkStart w:id="409" w:name="_Toc27174"/>
      <w:bookmarkStart w:id="410" w:name="_Toc3714"/>
      <w:r>
        <w:rPr>
          <w:rFonts w:hint="eastAsia" w:ascii="宋体" w:hAnsi="宋体" w:eastAsia="宋体" w:cs="宋体"/>
          <w:b/>
          <w:bCs/>
          <w:color w:val="auto"/>
          <w:spacing w:val="-20"/>
          <w:kern w:val="44"/>
          <w:sz w:val="44"/>
          <w:szCs w:val="44"/>
          <w:highlight w:val="none"/>
          <w:lang w:val="en-US" w:eastAsia="zh-CN" w:bidi="ar-SA"/>
        </w:rPr>
        <w:t>政府采购合同参考范本</w:t>
      </w:r>
      <w:bookmarkEnd w:id="407"/>
      <w:bookmarkEnd w:id="408"/>
      <w:bookmarkEnd w:id="409"/>
      <w:bookmarkEnd w:id="410"/>
    </w:p>
    <w:p w14:paraId="4571CDB1">
      <w:pPr>
        <w:spacing w:line="480" w:lineRule="auto"/>
        <w:jc w:val="center"/>
        <w:outlineLvl w:val="1"/>
        <w:rPr>
          <w:rFonts w:hint="eastAsia" w:ascii="宋体" w:hAnsi="宋体" w:eastAsia="宋体" w:cs="宋体"/>
          <w:b/>
          <w:bCs/>
          <w:color w:val="auto"/>
          <w:spacing w:val="-20"/>
          <w:kern w:val="44"/>
          <w:sz w:val="44"/>
          <w:szCs w:val="44"/>
          <w:highlight w:val="none"/>
          <w:lang w:val="en-US" w:eastAsia="zh-CN" w:bidi="ar-SA"/>
        </w:rPr>
      </w:pPr>
      <w:bookmarkStart w:id="411" w:name="_Toc9050"/>
      <w:bookmarkStart w:id="412" w:name="_Toc8560"/>
      <w:bookmarkStart w:id="413" w:name="_Toc23807"/>
      <w:bookmarkStart w:id="414" w:name="_Toc3569"/>
      <w:r>
        <w:rPr>
          <w:rFonts w:hint="eastAsia" w:ascii="宋体" w:hAnsi="宋体" w:eastAsia="宋体" w:cs="宋体"/>
          <w:b/>
          <w:bCs/>
          <w:color w:val="auto"/>
          <w:spacing w:val="-20"/>
          <w:kern w:val="44"/>
          <w:sz w:val="44"/>
          <w:szCs w:val="44"/>
          <w:highlight w:val="none"/>
          <w:lang w:val="en-US" w:eastAsia="zh-CN" w:bidi="ar-SA"/>
        </w:rPr>
        <w:t>（服务类）</w:t>
      </w:r>
      <w:bookmarkEnd w:id="411"/>
      <w:bookmarkEnd w:id="412"/>
      <w:bookmarkEnd w:id="413"/>
      <w:bookmarkEnd w:id="414"/>
    </w:p>
    <w:p w14:paraId="78DDAE5C">
      <w:pPr>
        <w:spacing w:line="480" w:lineRule="auto"/>
        <w:jc w:val="center"/>
        <w:rPr>
          <w:rFonts w:cs="Times New Roman" w:asciiTheme="minorEastAsia" w:hAnsiTheme="minorEastAsia" w:eastAsiaTheme="minorEastAsia"/>
          <w:b/>
          <w:color w:val="auto"/>
          <w:sz w:val="24"/>
          <w:szCs w:val="24"/>
          <w:highlight w:val="none"/>
        </w:rPr>
      </w:pPr>
    </w:p>
    <w:p w14:paraId="317A7DEF">
      <w:pPr>
        <w:spacing w:line="480" w:lineRule="auto"/>
        <w:jc w:val="center"/>
        <w:rPr>
          <w:rFonts w:cs="Times New Roman" w:asciiTheme="minorEastAsia" w:hAnsiTheme="minorEastAsia" w:eastAsiaTheme="minorEastAsia"/>
          <w:b/>
          <w:color w:val="auto"/>
          <w:sz w:val="24"/>
          <w:szCs w:val="24"/>
          <w:highlight w:val="none"/>
        </w:rPr>
      </w:pPr>
    </w:p>
    <w:p w14:paraId="55C3B597">
      <w:pPr>
        <w:spacing w:line="360" w:lineRule="auto"/>
        <w:jc w:val="center"/>
        <w:outlineLvl w:val="1"/>
        <w:rPr>
          <w:rFonts w:hint="eastAsia" w:ascii="宋体" w:hAnsi="宋体" w:eastAsia="宋体" w:cs="宋体"/>
          <w:b/>
          <w:color w:val="auto"/>
          <w:sz w:val="36"/>
          <w:szCs w:val="36"/>
          <w:highlight w:val="none"/>
        </w:rPr>
      </w:pPr>
      <w:bookmarkStart w:id="415" w:name="_Toc27541"/>
      <w:bookmarkStart w:id="416" w:name="_Toc8654"/>
      <w:bookmarkStart w:id="417" w:name="_Toc18509"/>
      <w:bookmarkStart w:id="418" w:name="_Toc2449"/>
      <w:r>
        <w:rPr>
          <w:rFonts w:hint="eastAsia" w:ascii="宋体" w:hAnsi="宋体" w:eastAsia="宋体" w:cs="宋体"/>
          <w:b/>
          <w:color w:val="auto"/>
          <w:sz w:val="36"/>
          <w:szCs w:val="36"/>
          <w:highlight w:val="none"/>
        </w:rPr>
        <w:t>第一部分 合同书</w:t>
      </w:r>
      <w:bookmarkEnd w:id="415"/>
      <w:bookmarkEnd w:id="416"/>
      <w:bookmarkEnd w:id="417"/>
      <w:bookmarkEnd w:id="418"/>
    </w:p>
    <w:p w14:paraId="4BA01776">
      <w:pPr>
        <w:spacing w:line="480" w:lineRule="auto"/>
        <w:jc w:val="center"/>
        <w:rPr>
          <w:rFonts w:cs="Times New Roman" w:asciiTheme="minorEastAsia" w:hAnsiTheme="minorEastAsia" w:eastAsiaTheme="minorEastAsia"/>
          <w:b/>
          <w:color w:val="auto"/>
          <w:sz w:val="24"/>
          <w:szCs w:val="24"/>
          <w:highlight w:val="none"/>
        </w:rPr>
      </w:pPr>
    </w:p>
    <w:p w14:paraId="5F204112">
      <w:pPr>
        <w:pStyle w:val="13"/>
        <w:rPr>
          <w:color w:val="auto"/>
          <w:highlight w:val="none"/>
        </w:rPr>
      </w:pPr>
    </w:p>
    <w:p w14:paraId="69570DA0">
      <w:pPr>
        <w:pStyle w:val="13"/>
        <w:rPr>
          <w:color w:val="auto"/>
          <w:highlight w:val="none"/>
        </w:rPr>
      </w:pPr>
    </w:p>
    <w:p w14:paraId="77910ED1">
      <w:pPr>
        <w:spacing w:before="120" w:line="480" w:lineRule="auto"/>
        <w:ind w:left="960"/>
        <w:rPr>
          <w:rFonts w:hint="eastAsia" w:ascii="宋体" w:hAnsi="宋体" w:eastAsia="宋体" w:cs="宋体"/>
          <w:i w:val="0"/>
          <w:iCs w:val="0"/>
          <w:color w:val="auto"/>
          <w:sz w:val="24"/>
          <w:szCs w:val="24"/>
          <w:highlight w:val="none"/>
          <w:u w:val="single"/>
        </w:rPr>
      </w:pPr>
      <w:r>
        <w:rPr>
          <w:rFonts w:hint="eastAsia" w:ascii="宋体" w:hAnsi="宋体" w:eastAsia="宋体" w:cs="宋体"/>
          <w:i w:val="0"/>
          <w:iCs w:val="0"/>
          <w:color w:val="auto"/>
          <w:sz w:val="24"/>
          <w:szCs w:val="24"/>
          <w:highlight w:val="none"/>
        </w:rPr>
        <w:t>项目名称：</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（分包项目须填写完整的分包号及分包名称）</w:t>
      </w:r>
    </w:p>
    <w:p w14:paraId="730F4465">
      <w:pPr>
        <w:spacing w:before="120" w:line="480" w:lineRule="auto"/>
        <w:ind w:left="96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项目编号</w:t>
      </w:r>
      <w:r>
        <w:rPr>
          <w:rFonts w:hint="eastAsia" w:ascii="宋体" w:hAnsi="宋体" w:eastAsia="宋体" w:cs="宋体"/>
          <w:i w:val="0"/>
          <w:iCs w:val="0"/>
          <w:color w:val="auto"/>
          <w:sz w:val="24"/>
          <w:szCs w:val="24"/>
          <w:highlight w:val="none"/>
          <w:lang w:val="en-US" w:eastAsia="zh-CN"/>
        </w:rPr>
        <w:t>/包号</w:t>
      </w:r>
      <w:r>
        <w:rPr>
          <w:rFonts w:hint="eastAsia" w:ascii="宋体" w:hAnsi="宋体" w:eastAsia="宋体" w:cs="宋体"/>
          <w:i w:val="0"/>
          <w:iCs w:val="0"/>
          <w:color w:val="auto"/>
          <w:sz w:val="24"/>
          <w:szCs w:val="24"/>
          <w:highlight w:val="none"/>
        </w:rPr>
        <w:t>：</w:t>
      </w:r>
      <w:r>
        <w:rPr>
          <w:rFonts w:hint="eastAsia" w:ascii="宋体" w:hAnsi="宋体" w:eastAsia="宋体" w:cs="宋体"/>
          <w:i w:val="0"/>
          <w:iCs w:val="0"/>
          <w:color w:val="auto"/>
          <w:sz w:val="24"/>
          <w:szCs w:val="24"/>
          <w:highlight w:val="none"/>
          <w:u w:val="single"/>
        </w:rPr>
        <w:t xml:space="preserve">        </w:t>
      </w:r>
    </w:p>
    <w:p w14:paraId="66872538">
      <w:pPr>
        <w:spacing w:before="120" w:line="480" w:lineRule="auto"/>
        <w:ind w:left="960"/>
        <w:rPr>
          <w:rFonts w:hint="eastAsia" w:ascii="宋体" w:hAnsi="宋体" w:eastAsia="宋体" w:cs="宋体"/>
          <w:i w:val="0"/>
          <w:iCs w:val="0"/>
          <w:color w:val="auto"/>
          <w:sz w:val="24"/>
          <w:szCs w:val="24"/>
          <w:highlight w:val="none"/>
          <w:u w:val="single"/>
        </w:rPr>
      </w:pPr>
      <w:r>
        <w:rPr>
          <w:rFonts w:hint="eastAsia" w:ascii="宋体" w:hAnsi="宋体" w:eastAsia="宋体" w:cs="宋体"/>
          <w:i w:val="0"/>
          <w:iCs w:val="0"/>
          <w:color w:val="auto"/>
          <w:sz w:val="24"/>
          <w:szCs w:val="24"/>
          <w:highlight w:val="none"/>
        </w:rPr>
        <w:t>甲方（采购人）：</w:t>
      </w:r>
      <w:r>
        <w:rPr>
          <w:rFonts w:hint="eastAsia" w:ascii="宋体" w:hAnsi="宋体" w:eastAsia="宋体" w:cs="宋体"/>
          <w:i w:val="0"/>
          <w:iCs w:val="0"/>
          <w:color w:val="auto"/>
          <w:sz w:val="24"/>
          <w:szCs w:val="24"/>
          <w:highlight w:val="none"/>
          <w:u w:val="single"/>
        </w:rPr>
        <w:t xml:space="preserve">                              </w:t>
      </w:r>
    </w:p>
    <w:p w14:paraId="557645D2">
      <w:pPr>
        <w:spacing w:before="120" w:line="480" w:lineRule="auto"/>
        <w:ind w:left="960"/>
        <w:rPr>
          <w:rFonts w:hint="eastAsia" w:ascii="宋体" w:hAnsi="宋体" w:eastAsia="宋体" w:cs="宋体"/>
          <w:i w:val="0"/>
          <w:iCs w:val="0"/>
          <w:color w:val="auto"/>
          <w:sz w:val="24"/>
          <w:szCs w:val="24"/>
          <w:highlight w:val="none"/>
          <w:u w:val="single"/>
        </w:rPr>
      </w:pPr>
      <w:r>
        <w:rPr>
          <w:rFonts w:hint="eastAsia" w:ascii="宋体" w:hAnsi="宋体" w:eastAsia="宋体" w:cs="宋体"/>
          <w:i w:val="0"/>
          <w:iCs w:val="0"/>
          <w:color w:val="auto"/>
          <w:sz w:val="24"/>
          <w:szCs w:val="24"/>
          <w:highlight w:val="none"/>
        </w:rPr>
        <w:t>乙方（中标人）：</w:t>
      </w:r>
      <w:r>
        <w:rPr>
          <w:rFonts w:hint="eastAsia" w:ascii="宋体" w:hAnsi="宋体" w:eastAsia="宋体" w:cs="宋体"/>
          <w:i w:val="0"/>
          <w:iCs w:val="0"/>
          <w:color w:val="auto"/>
          <w:sz w:val="24"/>
          <w:szCs w:val="24"/>
          <w:highlight w:val="none"/>
          <w:u w:val="single"/>
        </w:rPr>
        <w:t xml:space="preserve">                              </w:t>
      </w:r>
    </w:p>
    <w:p w14:paraId="263D5C0B">
      <w:pPr>
        <w:spacing w:before="120" w:line="480" w:lineRule="auto"/>
        <w:ind w:firstLine="960" w:firstLineChars="400"/>
        <w:rPr>
          <w:rFonts w:hint="eastAsia" w:ascii="宋体" w:hAnsi="宋体" w:eastAsia="宋体" w:cs="宋体"/>
          <w:i w:val="0"/>
          <w:iCs w:val="0"/>
          <w:color w:val="auto"/>
          <w:sz w:val="24"/>
          <w:szCs w:val="24"/>
          <w:highlight w:val="none"/>
          <w:u w:val="single"/>
        </w:rPr>
      </w:pPr>
      <w:r>
        <w:rPr>
          <w:rFonts w:hint="eastAsia" w:ascii="宋体" w:hAnsi="宋体" w:eastAsia="宋体" w:cs="宋体"/>
          <w:i w:val="0"/>
          <w:iCs w:val="0"/>
          <w:color w:val="auto"/>
          <w:sz w:val="24"/>
          <w:szCs w:val="24"/>
          <w:highlight w:val="none"/>
        </w:rPr>
        <w:t>签订地：</w:t>
      </w:r>
      <w:r>
        <w:rPr>
          <w:rFonts w:hint="eastAsia" w:ascii="宋体" w:hAnsi="宋体" w:eastAsia="宋体" w:cs="宋体"/>
          <w:i w:val="0"/>
          <w:iCs w:val="0"/>
          <w:color w:val="auto"/>
          <w:sz w:val="24"/>
          <w:szCs w:val="24"/>
          <w:highlight w:val="none"/>
          <w:u w:val="single"/>
        </w:rPr>
        <w:t xml:space="preserve">                                     </w:t>
      </w:r>
    </w:p>
    <w:p w14:paraId="28A94FB3">
      <w:pPr>
        <w:spacing w:before="120" w:line="480" w:lineRule="auto"/>
        <w:ind w:firstLine="960" w:firstLineChars="40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签订日期：</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年</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月</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日</w:t>
      </w:r>
    </w:p>
    <w:p w14:paraId="34F4996A">
      <w:pPr>
        <w:widowControl/>
        <w:jc w:val="left"/>
        <w:rPr>
          <w:rFonts w:cs="Times New Roman" w:asciiTheme="minorEastAsia" w:hAnsiTheme="minorEastAsia" w:eastAsiaTheme="minorEastAsia"/>
          <w:color w:val="auto"/>
          <w:sz w:val="24"/>
          <w:szCs w:val="24"/>
          <w:highlight w:val="none"/>
        </w:rPr>
      </w:pPr>
      <w:r>
        <w:rPr>
          <w:rFonts w:cs="Times New Roman" w:asciiTheme="minorEastAsia" w:hAnsiTheme="minorEastAsia" w:eastAsiaTheme="minorEastAsia"/>
          <w:color w:val="auto"/>
          <w:sz w:val="24"/>
          <w:szCs w:val="24"/>
          <w:highlight w:val="none"/>
        </w:rPr>
        <w:br w:type="page"/>
      </w:r>
    </w:p>
    <w:p w14:paraId="5343AEB4">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zh-CN"/>
        </w:rPr>
        <w:t>以下简称：甲方</w:t>
      </w:r>
      <w:r>
        <w:rPr>
          <w:rFonts w:hint="eastAsia" w:ascii="宋体" w:hAnsi="宋体" w:eastAsia="宋体" w:cs="宋体"/>
          <w:color w:val="auto"/>
          <w:sz w:val="24"/>
          <w:szCs w:val="24"/>
          <w:highlight w:val="none"/>
        </w:rPr>
        <w:t>）通过</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组织的</w:t>
      </w:r>
      <w:r>
        <w:rPr>
          <w:rFonts w:hint="eastAsia" w:ascii="宋体" w:hAnsi="宋体" w:eastAsia="宋体" w:cs="宋体"/>
          <w:color w:val="auto"/>
          <w:sz w:val="24"/>
          <w:szCs w:val="24"/>
          <w:highlight w:val="none"/>
          <w:u w:val="single"/>
        </w:rPr>
        <w:t>公开招标</w:t>
      </w:r>
      <w:r>
        <w:rPr>
          <w:rFonts w:hint="eastAsia" w:ascii="宋体" w:hAnsi="宋体" w:eastAsia="宋体" w:cs="宋体"/>
          <w:color w:val="auto"/>
          <w:sz w:val="24"/>
          <w:szCs w:val="24"/>
          <w:highlight w:val="none"/>
        </w:rPr>
        <w:t>方式采购活动，经</w:t>
      </w:r>
      <w:r>
        <w:rPr>
          <w:rFonts w:hint="eastAsia" w:ascii="宋体" w:hAnsi="宋体" w:eastAsia="宋体" w:cs="宋体"/>
          <w:color w:val="auto"/>
          <w:sz w:val="24"/>
          <w:szCs w:val="24"/>
          <w:highlight w:val="none"/>
          <w:u w:val="single"/>
        </w:rPr>
        <w:t>评标委员会</w:t>
      </w:r>
      <w:r>
        <w:rPr>
          <w:rFonts w:hint="eastAsia" w:ascii="宋体" w:hAnsi="宋体" w:eastAsia="宋体" w:cs="宋体"/>
          <w:color w:val="auto"/>
          <w:sz w:val="24"/>
          <w:szCs w:val="24"/>
          <w:highlight w:val="none"/>
        </w:rPr>
        <w:t>评定，</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zh-CN"/>
        </w:rPr>
        <w:t>以下简称：乙方</w:t>
      </w:r>
      <w:r>
        <w:rPr>
          <w:rFonts w:hint="eastAsia" w:ascii="宋体" w:hAnsi="宋体" w:eastAsia="宋体" w:cs="宋体"/>
          <w:color w:val="auto"/>
          <w:sz w:val="24"/>
          <w:szCs w:val="24"/>
          <w:highlight w:val="none"/>
        </w:rPr>
        <w:t>）为本项目中标人，现按照采购文件确定的事项签订本合同。</w:t>
      </w:r>
    </w:p>
    <w:p w14:paraId="1A7D6614">
      <w:pPr>
        <w:spacing w:line="360" w:lineRule="auto"/>
        <w:ind w:firstLine="435"/>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根据《中华人民共和国民法典》、《中华人民共和国政府采购法》等相关法律法规之规定，按照平等、自愿、公平和诚实信用的原则，经甲方和乙方协商一致，约定以下合同条款，以兹共同遵守、全面履行。</w:t>
      </w:r>
    </w:p>
    <w:p w14:paraId="081298ED">
      <w:pPr>
        <w:spacing w:line="360" w:lineRule="auto"/>
        <w:ind w:firstLine="437"/>
        <w:outlineLvl w:val="2"/>
        <w:rPr>
          <w:rFonts w:hint="eastAsia" w:ascii="宋体" w:hAnsi="宋体" w:eastAsia="宋体" w:cs="宋体"/>
          <w:b/>
          <w:bCs/>
          <w:color w:val="auto"/>
          <w:sz w:val="24"/>
          <w:szCs w:val="24"/>
          <w:highlight w:val="none"/>
          <w:lang w:val="zh-CN"/>
        </w:rPr>
      </w:pPr>
      <w:bookmarkStart w:id="419" w:name="_Toc4429"/>
      <w:bookmarkStart w:id="420" w:name="_Toc2232"/>
      <w:bookmarkStart w:id="421" w:name="_Toc3029"/>
      <w:bookmarkStart w:id="422" w:name="_Toc24059"/>
      <w:r>
        <w:rPr>
          <w:rFonts w:hint="eastAsia" w:ascii="宋体" w:hAnsi="宋体" w:eastAsia="宋体" w:cs="宋体"/>
          <w:b/>
          <w:bCs/>
          <w:color w:val="auto"/>
          <w:sz w:val="24"/>
          <w:szCs w:val="24"/>
          <w:highlight w:val="none"/>
          <w:lang w:val="zh-CN"/>
        </w:rPr>
        <w:t>1.1 合同组成部分</w:t>
      </w:r>
      <w:bookmarkEnd w:id="419"/>
      <w:bookmarkEnd w:id="420"/>
      <w:bookmarkEnd w:id="421"/>
      <w:bookmarkEnd w:id="422"/>
    </w:p>
    <w:p w14:paraId="024A42B6">
      <w:pPr>
        <w:spacing w:line="360" w:lineRule="auto"/>
        <w:ind w:firstLine="435"/>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下列文件为本合同的组成部分，并构成一个整体，需综合解释、相互补充。如果下列文件内容出现不一致的情形，那么在保证按照采购文件确定的事项前提下，组成本合同的多个文件的优先适用顺序如下：</w:t>
      </w:r>
    </w:p>
    <w:p w14:paraId="62BC58A8">
      <w:pPr>
        <w:spacing w:line="360" w:lineRule="auto"/>
        <w:ind w:firstLine="435"/>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1.1.1本合同及其补充合同、变更协议；</w:t>
      </w:r>
    </w:p>
    <w:p w14:paraId="037DCF58">
      <w:pPr>
        <w:spacing w:line="360" w:lineRule="auto"/>
        <w:ind w:firstLine="435"/>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1.1.2中标通知书；</w:t>
      </w:r>
    </w:p>
    <w:p w14:paraId="20FA8DCC">
      <w:pPr>
        <w:spacing w:line="360" w:lineRule="auto"/>
        <w:ind w:firstLine="435"/>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1.1.3投标文件（含澄清或者说明文件）；</w:t>
      </w:r>
    </w:p>
    <w:p w14:paraId="01E3C1EE">
      <w:pPr>
        <w:spacing w:line="360" w:lineRule="auto"/>
        <w:ind w:firstLine="435"/>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1.1.4招标文件（含澄清或者修改文件）；</w:t>
      </w:r>
    </w:p>
    <w:p w14:paraId="7BCC15DE">
      <w:pPr>
        <w:spacing w:line="360" w:lineRule="auto"/>
        <w:ind w:firstLine="435"/>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1.1.5其他相关采购文件。</w:t>
      </w:r>
    </w:p>
    <w:p w14:paraId="283E7943">
      <w:pPr>
        <w:spacing w:line="360" w:lineRule="auto"/>
        <w:ind w:firstLine="437"/>
        <w:outlineLvl w:val="2"/>
        <w:rPr>
          <w:rFonts w:hint="eastAsia" w:ascii="宋体" w:hAnsi="宋体" w:eastAsia="宋体" w:cs="宋体"/>
          <w:b/>
          <w:bCs/>
          <w:color w:val="auto"/>
          <w:sz w:val="24"/>
          <w:szCs w:val="24"/>
          <w:highlight w:val="none"/>
          <w:lang w:val="zh-CN"/>
        </w:rPr>
      </w:pPr>
      <w:bookmarkStart w:id="423" w:name="_Toc2918"/>
      <w:bookmarkStart w:id="424" w:name="_Toc18585"/>
      <w:bookmarkStart w:id="425" w:name="_Toc6773"/>
      <w:bookmarkStart w:id="426" w:name="_Toc6311"/>
      <w:bookmarkStart w:id="427" w:name="_Toc22185"/>
      <w:bookmarkStart w:id="428" w:name="_Toc7044"/>
      <w:r>
        <w:rPr>
          <w:rFonts w:hint="eastAsia" w:ascii="宋体" w:hAnsi="宋体" w:eastAsia="宋体" w:cs="宋体"/>
          <w:b/>
          <w:bCs/>
          <w:color w:val="auto"/>
          <w:sz w:val="24"/>
          <w:szCs w:val="24"/>
          <w:highlight w:val="none"/>
          <w:lang w:val="zh-CN"/>
        </w:rPr>
        <w:t xml:space="preserve">1.2 </w:t>
      </w:r>
      <w:bookmarkEnd w:id="423"/>
      <w:bookmarkEnd w:id="424"/>
      <w:bookmarkEnd w:id="425"/>
      <w:bookmarkEnd w:id="426"/>
      <w:bookmarkEnd w:id="427"/>
      <w:r>
        <w:rPr>
          <w:rFonts w:hint="eastAsia" w:ascii="宋体" w:hAnsi="宋体" w:eastAsia="宋体" w:cs="宋体"/>
          <w:b/>
          <w:bCs/>
          <w:color w:val="auto"/>
          <w:sz w:val="24"/>
          <w:szCs w:val="24"/>
          <w:highlight w:val="none"/>
          <w:lang w:val="zh-CN"/>
        </w:rPr>
        <w:t>服务</w:t>
      </w:r>
      <w:bookmarkEnd w:id="428"/>
    </w:p>
    <w:p w14:paraId="2A8C8081">
      <w:pPr>
        <w:spacing w:line="360" w:lineRule="auto"/>
        <w:ind w:firstLine="435"/>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1.2.1服务名称：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7D507EFA">
      <w:pPr>
        <w:spacing w:line="360" w:lineRule="auto"/>
        <w:ind w:firstLine="435"/>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1.2.2服务内容：</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47170C53">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1.2.3服务质量：</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72949008">
      <w:pPr>
        <w:spacing w:line="360" w:lineRule="auto"/>
        <w:ind w:firstLine="437"/>
        <w:outlineLvl w:val="2"/>
        <w:rPr>
          <w:rFonts w:hint="eastAsia" w:ascii="宋体" w:hAnsi="宋体" w:eastAsia="宋体" w:cs="宋体"/>
          <w:b/>
          <w:bCs/>
          <w:color w:val="auto"/>
          <w:sz w:val="24"/>
          <w:szCs w:val="24"/>
          <w:highlight w:val="none"/>
          <w:lang w:val="zh-CN"/>
        </w:rPr>
      </w:pPr>
      <w:bookmarkStart w:id="429" w:name="_Toc23292"/>
      <w:bookmarkStart w:id="430" w:name="_Toc21631"/>
      <w:bookmarkStart w:id="431" w:name="_Toc31596"/>
      <w:bookmarkStart w:id="432" w:name="_Toc21551"/>
      <w:r>
        <w:rPr>
          <w:rFonts w:hint="eastAsia" w:ascii="宋体" w:hAnsi="宋体" w:eastAsia="宋体" w:cs="宋体"/>
          <w:b/>
          <w:bCs/>
          <w:color w:val="auto"/>
          <w:sz w:val="24"/>
          <w:szCs w:val="24"/>
          <w:highlight w:val="none"/>
          <w:lang w:val="zh-CN"/>
        </w:rPr>
        <w:t>1.3 价款</w:t>
      </w:r>
      <w:bookmarkEnd w:id="429"/>
      <w:bookmarkEnd w:id="430"/>
      <w:bookmarkEnd w:id="431"/>
      <w:bookmarkEnd w:id="432"/>
    </w:p>
    <w:p w14:paraId="0E6E2DB0">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本合同总价为：￥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元（大写：人民币</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w:t>
      </w:r>
    </w:p>
    <w:p w14:paraId="585CBE51">
      <w:pPr>
        <w:spacing w:line="360" w:lineRule="auto"/>
        <w:ind w:firstLine="435"/>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分项价格：</w:t>
      </w:r>
    </w:p>
    <w:tbl>
      <w:tblPr>
        <w:tblStyle w:val="29"/>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7"/>
        <w:gridCol w:w="4316"/>
        <w:gridCol w:w="12"/>
        <w:gridCol w:w="3225"/>
        <w:gridCol w:w="12"/>
      </w:tblGrid>
      <w:tr w14:paraId="7AF9B6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369" w:hRule="atLeast"/>
          <w:jc w:val="center"/>
        </w:trPr>
        <w:tc>
          <w:tcPr>
            <w:tcW w:w="957" w:type="dxa"/>
            <w:vAlign w:val="center"/>
          </w:tcPr>
          <w:p w14:paraId="0CD18D7F">
            <w:pPr>
              <w:jc w:val="center"/>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序号</w:t>
            </w:r>
          </w:p>
        </w:tc>
        <w:tc>
          <w:tcPr>
            <w:tcW w:w="4316" w:type="dxa"/>
            <w:vAlign w:val="center"/>
          </w:tcPr>
          <w:p w14:paraId="4F68A816">
            <w:pPr>
              <w:ind w:firstLine="20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分项名称</w:t>
            </w:r>
          </w:p>
        </w:tc>
        <w:tc>
          <w:tcPr>
            <w:tcW w:w="3237" w:type="dxa"/>
            <w:gridSpan w:val="2"/>
            <w:vAlign w:val="center"/>
          </w:tcPr>
          <w:p w14:paraId="4C7FFB26">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分项价格</w:t>
            </w:r>
          </w:p>
        </w:tc>
      </w:tr>
      <w:tr w14:paraId="6B926F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369" w:hRule="atLeast"/>
          <w:jc w:val="center"/>
        </w:trPr>
        <w:tc>
          <w:tcPr>
            <w:tcW w:w="957" w:type="dxa"/>
          </w:tcPr>
          <w:p w14:paraId="0F360428">
            <w:pPr>
              <w:jc w:val="center"/>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1</w:t>
            </w:r>
          </w:p>
        </w:tc>
        <w:tc>
          <w:tcPr>
            <w:tcW w:w="4316" w:type="dxa"/>
            <w:vAlign w:val="center"/>
          </w:tcPr>
          <w:p w14:paraId="2461E5E0">
            <w:pPr>
              <w:ind w:firstLine="200"/>
              <w:jc w:val="center"/>
              <w:rPr>
                <w:rFonts w:hint="eastAsia" w:ascii="宋体" w:hAnsi="宋体" w:eastAsia="宋体" w:cs="宋体"/>
                <w:color w:val="auto"/>
                <w:sz w:val="24"/>
                <w:szCs w:val="24"/>
                <w:highlight w:val="none"/>
              </w:rPr>
            </w:pPr>
          </w:p>
        </w:tc>
        <w:tc>
          <w:tcPr>
            <w:tcW w:w="3237" w:type="dxa"/>
            <w:gridSpan w:val="2"/>
            <w:vAlign w:val="center"/>
          </w:tcPr>
          <w:p w14:paraId="0E415F66">
            <w:pPr>
              <w:ind w:firstLine="200"/>
              <w:jc w:val="center"/>
              <w:rPr>
                <w:rFonts w:hint="eastAsia" w:ascii="宋体" w:hAnsi="宋体" w:eastAsia="宋体" w:cs="宋体"/>
                <w:color w:val="auto"/>
                <w:sz w:val="24"/>
                <w:szCs w:val="24"/>
                <w:highlight w:val="none"/>
              </w:rPr>
            </w:pPr>
          </w:p>
        </w:tc>
      </w:tr>
      <w:tr w14:paraId="0D8613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369" w:hRule="atLeast"/>
          <w:jc w:val="center"/>
        </w:trPr>
        <w:tc>
          <w:tcPr>
            <w:tcW w:w="957" w:type="dxa"/>
          </w:tcPr>
          <w:p w14:paraId="424CE31A">
            <w:pPr>
              <w:jc w:val="center"/>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2</w:t>
            </w:r>
          </w:p>
        </w:tc>
        <w:tc>
          <w:tcPr>
            <w:tcW w:w="4316" w:type="dxa"/>
            <w:vAlign w:val="center"/>
          </w:tcPr>
          <w:p w14:paraId="345F5B41">
            <w:pPr>
              <w:ind w:firstLine="200"/>
              <w:jc w:val="center"/>
              <w:rPr>
                <w:rFonts w:hint="eastAsia" w:ascii="宋体" w:hAnsi="宋体" w:eastAsia="宋体" w:cs="宋体"/>
                <w:color w:val="auto"/>
                <w:sz w:val="24"/>
                <w:szCs w:val="24"/>
                <w:highlight w:val="none"/>
              </w:rPr>
            </w:pPr>
          </w:p>
        </w:tc>
        <w:tc>
          <w:tcPr>
            <w:tcW w:w="3237" w:type="dxa"/>
            <w:gridSpan w:val="2"/>
            <w:vAlign w:val="center"/>
          </w:tcPr>
          <w:p w14:paraId="3722A032">
            <w:pPr>
              <w:ind w:firstLine="200"/>
              <w:jc w:val="center"/>
              <w:rPr>
                <w:rFonts w:hint="eastAsia" w:ascii="宋体" w:hAnsi="宋体" w:eastAsia="宋体" w:cs="宋体"/>
                <w:color w:val="auto"/>
                <w:sz w:val="24"/>
                <w:szCs w:val="24"/>
                <w:highlight w:val="none"/>
              </w:rPr>
            </w:pPr>
          </w:p>
        </w:tc>
      </w:tr>
      <w:tr w14:paraId="6F0791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369" w:hRule="atLeast"/>
          <w:jc w:val="center"/>
        </w:trPr>
        <w:tc>
          <w:tcPr>
            <w:tcW w:w="957" w:type="dxa"/>
          </w:tcPr>
          <w:p w14:paraId="512C37D0">
            <w:pPr>
              <w:jc w:val="center"/>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3</w:t>
            </w:r>
          </w:p>
        </w:tc>
        <w:tc>
          <w:tcPr>
            <w:tcW w:w="4316" w:type="dxa"/>
            <w:vAlign w:val="center"/>
          </w:tcPr>
          <w:p w14:paraId="498FC842">
            <w:pPr>
              <w:ind w:firstLine="200"/>
              <w:jc w:val="center"/>
              <w:rPr>
                <w:rFonts w:hint="eastAsia" w:ascii="宋体" w:hAnsi="宋体" w:eastAsia="宋体" w:cs="宋体"/>
                <w:color w:val="auto"/>
                <w:sz w:val="24"/>
                <w:szCs w:val="24"/>
                <w:highlight w:val="none"/>
              </w:rPr>
            </w:pPr>
          </w:p>
        </w:tc>
        <w:tc>
          <w:tcPr>
            <w:tcW w:w="3237" w:type="dxa"/>
            <w:gridSpan w:val="2"/>
            <w:vAlign w:val="center"/>
          </w:tcPr>
          <w:p w14:paraId="4CAABBD7">
            <w:pPr>
              <w:ind w:firstLine="200"/>
              <w:jc w:val="center"/>
              <w:rPr>
                <w:rFonts w:hint="eastAsia" w:ascii="宋体" w:hAnsi="宋体" w:eastAsia="宋体" w:cs="宋体"/>
                <w:color w:val="auto"/>
                <w:sz w:val="24"/>
                <w:szCs w:val="24"/>
                <w:highlight w:val="none"/>
              </w:rPr>
            </w:pPr>
          </w:p>
        </w:tc>
      </w:tr>
      <w:tr w14:paraId="7BB672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369" w:hRule="atLeast"/>
          <w:jc w:val="center"/>
        </w:trPr>
        <w:tc>
          <w:tcPr>
            <w:tcW w:w="957" w:type="dxa"/>
          </w:tcPr>
          <w:p w14:paraId="1019B673">
            <w:pPr>
              <w:jc w:val="center"/>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w:t>
            </w:r>
          </w:p>
        </w:tc>
        <w:tc>
          <w:tcPr>
            <w:tcW w:w="4316" w:type="dxa"/>
            <w:vAlign w:val="center"/>
          </w:tcPr>
          <w:p w14:paraId="1668CCE7">
            <w:pPr>
              <w:ind w:firstLine="200"/>
              <w:jc w:val="center"/>
              <w:rPr>
                <w:rFonts w:hint="eastAsia" w:ascii="宋体" w:hAnsi="宋体" w:eastAsia="宋体" w:cs="宋体"/>
                <w:color w:val="auto"/>
                <w:sz w:val="24"/>
                <w:szCs w:val="24"/>
                <w:highlight w:val="none"/>
              </w:rPr>
            </w:pPr>
          </w:p>
        </w:tc>
        <w:tc>
          <w:tcPr>
            <w:tcW w:w="3237" w:type="dxa"/>
            <w:gridSpan w:val="2"/>
            <w:vAlign w:val="center"/>
          </w:tcPr>
          <w:p w14:paraId="14647217">
            <w:pPr>
              <w:ind w:firstLine="200"/>
              <w:jc w:val="center"/>
              <w:rPr>
                <w:rFonts w:hint="eastAsia" w:ascii="宋体" w:hAnsi="宋体" w:eastAsia="宋体" w:cs="宋体"/>
                <w:color w:val="auto"/>
                <w:sz w:val="24"/>
                <w:szCs w:val="24"/>
                <w:highlight w:val="none"/>
              </w:rPr>
            </w:pPr>
          </w:p>
        </w:tc>
      </w:tr>
      <w:tr w14:paraId="7B385F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5285" w:type="dxa"/>
            <w:gridSpan w:val="3"/>
            <w:vAlign w:val="center"/>
          </w:tcPr>
          <w:p w14:paraId="445538F7">
            <w:pPr>
              <w:ind w:firstLine="20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总价</w:t>
            </w:r>
          </w:p>
        </w:tc>
        <w:tc>
          <w:tcPr>
            <w:tcW w:w="3237" w:type="dxa"/>
            <w:gridSpan w:val="2"/>
            <w:vAlign w:val="center"/>
          </w:tcPr>
          <w:p w14:paraId="155BB530">
            <w:pPr>
              <w:ind w:firstLine="200"/>
              <w:jc w:val="center"/>
              <w:rPr>
                <w:rFonts w:hint="eastAsia" w:ascii="宋体" w:hAnsi="宋体" w:eastAsia="宋体" w:cs="宋体"/>
                <w:color w:val="auto"/>
                <w:sz w:val="24"/>
                <w:szCs w:val="24"/>
                <w:highlight w:val="none"/>
              </w:rPr>
            </w:pPr>
          </w:p>
        </w:tc>
      </w:tr>
    </w:tbl>
    <w:p w14:paraId="17E2FC9E">
      <w:pPr>
        <w:spacing w:line="360" w:lineRule="auto"/>
        <w:ind w:firstLine="437"/>
        <w:outlineLvl w:val="2"/>
        <w:rPr>
          <w:rFonts w:hint="eastAsia" w:ascii="宋体" w:hAnsi="宋体" w:eastAsia="宋体" w:cs="宋体"/>
          <w:b/>
          <w:bCs/>
          <w:color w:val="auto"/>
          <w:sz w:val="24"/>
          <w:szCs w:val="24"/>
          <w:highlight w:val="none"/>
          <w:lang w:val="zh-CN"/>
        </w:rPr>
      </w:pPr>
      <w:bookmarkStart w:id="433" w:name="_Toc5498"/>
      <w:bookmarkStart w:id="434" w:name="_Toc10340"/>
      <w:bookmarkStart w:id="435" w:name="_Toc22618"/>
      <w:bookmarkStart w:id="436" w:name="_Toc1814"/>
      <w:r>
        <w:rPr>
          <w:rFonts w:hint="eastAsia" w:ascii="宋体" w:hAnsi="宋体" w:eastAsia="宋体" w:cs="宋体"/>
          <w:b/>
          <w:bCs/>
          <w:color w:val="auto"/>
          <w:sz w:val="24"/>
          <w:szCs w:val="24"/>
          <w:highlight w:val="none"/>
          <w:lang w:val="zh-CN"/>
        </w:rPr>
        <w:t>1.4 付款方式和发票开具方式</w:t>
      </w:r>
      <w:bookmarkEnd w:id="433"/>
      <w:bookmarkEnd w:id="434"/>
      <w:bookmarkEnd w:id="435"/>
      <w:bookmarkEnd w:id="436"/>
    </w:p>
    <w:p w14:paraId="0D15CC02">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1.4.1付款方式：</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2591FB6B">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1.4.2发票开具方式：</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02035217">
      <w:pPr>
        <w:spacing w:line="360" w:lineRule="auto"/>
        <w:ind w:firstLine="437"/>
        <w:outlineLvl w:val="2"/>
        <w:rPr>
          <w:rFonts w:hint="eastAsia" w:ascii="宋体" w:hAnsi="宋体" w:eastAsia="宋体" w:cs="宋体"/>
          <w:b/>
          <w:bCs/>
          <w:color w:val="auto"/>
          <w:sz w:val="24"/>
          <w:szCs w:val="24"/>
          <w:highlight w:val="none"/>
          <w:lang w:val="zh-CN"/>
        </w:rPr>
      </w:pPr>
      <w:bookmarkStart w:id="437" w:name="_Toc32071"/>
      <w:bookmarkStart w:id="438" w:name="_Toc2846"/>
      <w:bookmarkStart w:id="439" w:name="_Toc14771"/>
      <w:bookmarkStart w:id="440" w:name="_Toc19304"/>
      <w:r>
        <w:rPr>
          <w:rFonts w:hint="eastAsia" w:ascii="宋体" w:hAnsi="宋体" w:eastAsia="宋体" w:cs="宋体"/>
          <w:b/>
          <w:bCs/>
          <w:color w:val="auto"/>
          <w:sz w:val="24"/>
          <w:szCs w:val="24"/>
          <w:highlight w:val="none"/>
          <w:lang w:val="zh-CN"/>
        </w:rPr>
        <w:t>1.5 服务期限、地点和方式</w:t>
      </w:r>
      <w:bookmarkEnd w:id="437"/>
      <w:bookmarkEnd w:id="438"/>
      <w:bookmarkEnd w:id="439"/>
      <w:bookmarkEnd w:id="440"/>
    </w:p>
    <w:p w14:paraId="5A2C5E65">
      <w:pPr>
        <w:spacing w:line="360" w:lineRule="auto"/>
        <w:ind w:firstLine="435"/>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1.5.1服务期限：</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73FF6520">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1.5.2服务地点：</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7CE4FC75">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1.5.3服务方式：</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3B2ED679">
      <w:pPr>
        <w:spacing w:line="360" w:lineRule="auto"/>
        <w:ind w:firstLine="437"/>
        <w:outlineLvl w:val="2"/>
        <w:rPr>
          <w:rFonts w:hint="eastAsia" w:ascii="宋体" w:hAnsi="宋体" w:eastAsia="宋体" w:cs="宋体"/>
          <w:b/>
          <w:bCs/>
          <w:color w:val="auto"/>
          <w:sz w:val="24"/>
          <w:szCs w:val="24"/>
          <w:highlight w:val="none"/>
          <w:lang w:val="zh-CN"/>
        </w:rPr>
      </w:pPr>
      <w:bookmarkStart w:id="441" w:name="_Toc22220"/>
      <w:bookmarkStart w:id="442" w:name="_Toc19554"/>
      <w:bookmarkStart w:id="443" w:name="_Toc21423"/>
      <w:bookmarkStart w:id="444" w:name="_Toc27250"/>
      <w:r>
        <w:rPr>
          <w:rFonts w:hint="eastAsia" w:ascii="宋体" w:hAnsi="宋体" w:eastAsia="宋体" w:cs="宋体"/>
          <w:b/>
          <w:bCs/>
          <w:color w:val="auto"/>
          <w:sz w:val="24"/>
          <w:szCs w:val="24"/>
          <w:highlight w:val="none"/>
          <w:lang w:val="zh-CN"/>
        </w:rPr>
        <w:t>1.6 违约责任</w:t>
      </w:r>
      <w:bookmarkEnd w:id="441"/>
      <w:bookmarkEnd w:id="442"/>
      <w:bookmarkEnd w:id="443"/>
      <w:bookmarkEnd w:id="444"/>
    </w:p>
    <w:p w14:paraId="5DD1292A">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1.6.1除不可抗力外，如果乙方没有按照本合同约定的期限、地点和方式履行，那么甲方可要求乙方支付违约金，违约金按每迟延履行一日的应提供而未提供服务价格的</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%计算，最高限额为本合同总价的</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%；迟延履行的违约金计算数额达到前述最高限额之日起，甲方有权在要求乙方支付违约金的同时，书面通知乙方解除本合同；</w:t>
      </w:r>
    </w:p>
    <w:p w14:paraId="7B8B7DEE">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1.6.2除不可抗力外，如果甲方没有按照本合同约定的付款方式付款，那么乙方可要求甲方支付违约金，违约金按每迟延付款一日的应付而未付款的</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%计算，最高限额为本合同总价的</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%；迟延付款的违约金计算数额达到前述最高限额之日起，乙方有权在要求甲方支付违约金的同时，书面通知甲方解除本合同；</w:t>
      </w:r>
    </w:p>
    <w:p w14:paraId="1A4EF162">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1.6.3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49112113">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1.6.4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39201045">
      <w:pPr>
        <w:keepNext w:val="0"/>
        <w:keepLines w:val="0"/>
        <w:pageBreakBefore w:val="0"/>
        <w:widowControl w:val="0"/>
        <w:kinsoku/>
        <w:wordWrap/>
        <w:overflowPunct/>
        <w:topLinePunct w:val="0"/>
        <w:autoSpaceDE/>
        <w:autoSpaceDN/>
        <w:bidi w:val="0"/>
        <w:adjustRightInd/>
        <w:snapToGrid/>
        <w:spacing w:line="360" w:lineRule="auto"/>
        <w:ind w:firstLine="437"/>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1.6.5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14:paraId="2F44C03A">
      <w:pPr>
        <w:keepNext w:val="0"/>
        <w:keepLines w:val="0"/>
        <w:pageBreakBefore w:val="0"/>
        <w:widowControl w:val="0"/>
        <w:kinsoku/>
        <w:wordWrap/>
        <w:overflowPunct/>
        <w:topLinePunct w:val="0"/>
        <w:autoSpaceDE/>
        <w:autoSpaceDN/>
        <w:bidi w:val="0"/>
        <w:adjustRightInd/>
        <w:snapToGrid/>
        <w:spacing w:line="360" w:lineRule="auto"/>
        <w:ind w:firstLine="437"/>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1.6.6如果出现政府采购监督管理部门在处理投诉事项期间，书面通知甲方暂停采购活动的情形，或者询问或质疑事项可能影响中标结果的，导致甲方中止履行合同的情形，均不视为甲方违约。</w:t>
      </w:r>
    </w:p>
    <w:p w14:paraId="6DDBD423">
      <w:pPr>
        <w:keepNext w:val="0"/>
        <w:keepLines w:val="0"/>
        <w:pageBreakBefore w:val="0"/>
        <w:widowControl w:val="0"/>
        <w:kinsoku/>
        <w:wordWrap/>
        <w:overflowPunct/>
        <w:topLinePunct w:val="0"/>
        <w:autoSpaceDE/>
        <w:autoSpaceDN/>
        <w:bidi w:val="0"/>
        <w:adjustRightInd/>
        <w:snapToGrid/>
        <w:spacing w:line="360" w:lineRule="auto"/>
        <w:ind w:firstLine="437"/>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1.6.7因甲方未按合同约定支付价款、未按合同约定受领标的物、擅自解除合同</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逾期退还履约保证金导致乙方遭受的直接损失，乙方可向甲方申请赔偿，赔偿金额由双方协商一致；针对因政策变化等原因不能签订合同或解除合同时，造成乙方合法利益受损的情形，可以给予乙方合理补偿，补偿金额不得超过乙方的直接损失。</w:t>
      </w:r>
    </w:p>
    <w:p w14:paraId="1D4B476D">
      <w:pPr>
        <w:spacing w:line="360" w:lineRule="auto"/>
        <w:ind w:firstLine="437"/>
        <w:outlineLvl w:val="2"/>
        <w:rPr>
          <w:rFonts w:hint="eastAsia" w:ascii="宋体" w:hAnsi="宋体" w:eastAsia="宋体" w:cs="宋体"/>
          <w:b/>
          <w:bCs/>
          <w:color w:val="auto"/>
          <w:sz w:val="24"/>
          <w:szCs w:val="24"/>
          <w:highlight w:val="none"/>
          <w:lang w:val="zh-CN"/>
        </w:rPr>
      </w:pPr>
      <w:bookmarkStart w:id="445" w:name="_Toc28375"/>
      <w:bookmarkStart w:id="446" w:name="_Toc16021"/>
      <w:bookmarkStart w:id="447" w:name="_Toc15583"/>
      <w:bookmarkStart w:id="448" w:name="_Toc32610"/>
      <w:r>
        <w:rPr>
          <w:rFonts w:hint="eastAsia" w:ascii="宋体" w:hAnsi="宋体" w:eastAsia="宋体" w:cs="宋体"/>
          <w:b/>
          <w:bCs/>
          <w:color w:val="auto"/>
          <w:sz w:val="24"/>
          <w:szCs w:val="24"/>
          <w:highlight w:val="none"/>
          <w:lang w:val="zh-CN"/>
        </w:rPr>
        <w:t>1.7 合同争议的解决</w:t>
      </w:r>
      <w:bookmarkEnd w:id="445"/>
      <w:bookmarkEnd w:id="446"/>
      <w:bookmarkEnd w:id="447"/>
      <w:bookmarkEnd w:id="448"/>
    </w:p>
    <w:p w14:paraId="7C025FBF">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本合同履行过程中发生的任何争议，双方当事人均可通过和解或者调解解决；不愿和解、调解或者和解、调解不成的，可以选择下列第</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种方式解决：</w:t>
      </w:r>
    </w:p>
    <w:p w14:paraId="7856D441">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1.7.1将争议提交</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仲裁委员会依申请仲裁时其现行有效的仲裁规则裁决；</w:t>
      </w:r>
    </w:p>
    <w:p w14:paraId="525321B9">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1.7.2向</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人民法院起诉。</w:t>
      </w:r>
    </w:p>
    <w:p w14:paraId="21D8E3B4">
      <w:pPr>
        <w:spacing w:line="360" w:lineRule="auto"/>
        <w:ind w:firstLine="437"/>
        <w:outlineLvl w:val="2"/>
        <w:rPr>
          <w:rFonts w:hint="eastAsia" w:ascii="宋体" w:hAnsi="宋体" w:eastAsia="宋体" w:cs="宋体"/>
          <w:b/>
          <w:bCs/>
          <w:color w:val="auto"/>
          <w:sz w:val="24"/>
          <w:szCs w:val="24"/>
          <w:highlight w:val="none"/>
          <w:lang w:val="zh-CN"/>
        </w:rPr>
      </w:pPr>
      <w:bookmarkStart w:id="449" w:name="_Toc11173"/>
      <w:bookmarkStart w:id="450" w:name="_Toc28273"/>
      <w:bookmarkStart w:id="451" w:name="_Toc15322"/>
      <w:bookmarkStart w:id="452" w:name="_Toc7245"/>
      <w:r>
        <w:rPr>
          <w:rFonts w:hint="eastAsia" w:ascii="宋体" w:hAnsi="宋体" w:eastAsia="宋体" w:cs="宋体"/>
          <w:b/>
          <w:bCs/>
          <w:color w:val="auto"/>
          <w:sz w:val="24"/>
          <w:szCs w:val="24"/>
          <w:highlight w:val="none"/>
          <w:lang w:val="zh-CN"/>
        </w:rPr>
        <w:t>1.8 合同生效</w:t>
      </w:r>
      <w:bookmarkEnd w:id="449"/>
      <w:bookmarkEnd w:id="450"/>
      <w:bookmarkEnd w:id="451"/>
      <w:bookmarkEnd w:id="452"/>
    </w:p>
    <w:p w14:paraId="5961B88C">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本合同自双方当事人盖章时生效。</w:t>
      </w:r>
    </w:p>
    <w:p w14:paraId="2F65E252">
      <w:pPr>
        <w:autoSpaceDE w:val="0"/>
        <w:autoSpaceDN w:val="0"/>
        <w:adjustRightInd w:val="0"/>
        <w:spacing w:line="560" w:lineRule="exact"/>
        <w:rPr>
          <w:rFonts w:hint="eastAsia" w:ascii="宋体" w:hAnsi="宋体" w:eastAsia="宋体" w:cs="宋体"/>
          <w:color w:val="auto"/>
          <w:sz w:val="24"/>
          <w:szCs w:val="24"/>
          <w:highlight w:val="none"/>
          <w:lang w:val="zh-CN"/>
        </w:rPr>
      </w:pPr>
    </w:p>
    <w:p w14:paraId="6DB0DE5E">
      <w:pPr>
        <w:keepNext w:val="0"/>
        <w:keepLines w:val="0"/>
        <w:pageBreakBefore w:val="0"/>
        <w:kinsoku/>
        <w:wordWrap/>
        <w:overflowPunct/>
        <w:topLinePunct w:val="0"/>
        <w:autoSpaceDE w:val="0"/>
        <w:autoSpaceDN w:val="0"/>
        <w:bidi w:val="0"/>
        <w:adjustRightInd w:val="0"/>
        <w:snapToGrid/>
        <w:spacing w:line="500" w:lineRule="exact"/>
        <w:textAlignment w:val="auto"/>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甲    方：</w:t>
      </w:r>
      <w:r>
        <w:rPr>
          <w:rFonts w:hint="eastAsia" w:ascii="宋体" w:hAnsi="宋体" w:eastAsia="宋体" w:cs="宋体"/>
          <w:bCs/>
          <w:color w:val="auto"/>
          <w:sz w:val="24"/>
          <w:szCs w:val="24"/>
          <w:highlight w:val="none"/>
          <w:u w:val="single"/>
          <w:lang w:val="zh-CN"/>
        </w:rPr>
        <w:t xml:space="preserve">    （单位盖章）     </w:t>
      </w:r>
      <w:r>
        <w:rPr>
          <w:rFonts w:hint="eastAsia" w:ascii="宋体" w:hAnsi="宋体" w:eastAsia="宋体" w:cs="宋体"/>
          <w:bCs/>
          <w:color w:val="auto"/>
          <w:sz w:val="24"/>
          <w:szCs w:val="24"/>
          <w:highlight w:val="none"/>
          <w:lang w:val="zh-CN"/>
        </w:rPr>
        <w:t xml:space="preserve">          乙方：</w:t>
      </w:r>
      <w:r>
        <w:rPr>
          <w:rFonts w:hint="eastAsia" w:ascii="宋体" w:hAnsi="宋体" w:eastAsia="宋体" w:cs="宋体"/>
          <w:bCs/>
          <w:color w:val="auto"/>
          <w:sz w:val="24"/>
          <w:szCs w:val="24"/>
          <w:highlight w:val="none"/>
          <w:u w:val="single"/>
          <w:lang w:val="zh-CN"/>
        </w:rPr>
        <w:t xml:space="preserve">    （单位盖章）     </w:t>
      </w:r>
    </w:p>
    <w:p w14:paraId="1B900B99">
      <w:pPr>
        <w:keepNext w:val="0"/>
        <w:keepLines w:val="0"/>
        <w:pageBreakBefore w:val="0"/>
        <w:kinsoku/>
        <w:wordWrap/>
        <w:overflowPunct/>
        <w:topLinePunct w:val="0"/>
        <w:autoSpaceDE w:val="0"/>
        <w:autoSpaceDN w:val="0"/>
        <w:bidi w:val="0"/>
        <w:adjustRightInd w:val="0"/>
        <w:snapToGrid/>
        <w:spacing w:line="500" w:lineRule="exact"/>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法定代表人                               法定代表人</w:t>
      </w:r>
    </w:p>
    <w:p w14:paraId="009FFBBE">
      <w:pPr>
        <w:keepNext w:val="0"/>
        <w:keepLines w:val="0"/>
        <w:pageBreakBefore w:val="0"/>
        <w:kinsoku/>
        <w:wordWrap/>
        <w:overflowPunct/>
        <w:topLinePunct w:val="0"/>
        <w:autoSpaceDE w:val="0"/>
        <w:autoSpaceDN w:val="0"/>
        <w:bidi w:val="0"/>
        <w:adjustRightInd w:val="0"/>
        <w:snapToGrid/>
        <w:spacing w:line="500" w:lineRule="exact"/>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或授权代表（签字）：                      或授权代表（签字）：</w:t>
      </w:r>
    </w:p>
    <w:p w14:paraId="5226F044">
      <w:pPr>
        <w:keepNext w:val="0"/>
        <w:keepLines w:val="0"/>
        <w:pageBreakBefore w:val="0"/>
        <w:widowControl/>
        <w:kinsoku/>
        <w:wordWrap/>
        <w:overflowPunct/>
        <w:topLinePunct w:val="0"/>
        <w:bidi w:val="0"/>
        <w:snapToGrid/>
        <w:spacing w:line="500" w:lineRule="exact"/>
        <w:jc w:val="left"/>
        <w:textAlignment w:val="auto"/>
        <w:rPr>
          <w:rFonts w:hint="eastAsia" w:ascii="宋体" w:hAnsi="宋体" w:eastAsia="宋体" w:cs="宋体"/>
          <w:bCs/>
          <w:color w:val="auto"/>
          <w:sz w:val="24"/>
          <w:szCs w:val="24"/>
          <w:highlight w:val="none"/>
        </w:rPr>
      </w:pPr>
      <w:bookmarkStart w:id="453" w:name="_Toc331685783"/>
      <w:r>
        <w:rPr>
          <w:rFonts w:hint="eastAsia" w:ascii="宋体" w:hAnsi="宋体" w:eastAsia="宋体" w:cs="宋体"/>
          <w:bCs/>
          <w:color w:val="auto"/>
          <w:sz w:val="24"/>
          <w:szCs w:val="24"/>
          <w:highlight w:val="none"/>
        </w:rPr>
        <w:t>时间：</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年</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月</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日               时间：</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年</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月</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日</w:t>
      </w:r>
    </w:p>
    <w:p w14:paraId="0FB8187C">
      <w:pPr>
        <w:keepNext w:val="0"/>
        <w:keepLines w:val="0"/>
        <w:pageBreakBefore w:val="0"/>
        <w:kinsoku/>
        <w:wordWrap/>
        <w:overflowPunct/>
        <w:topLinePunct w:val="0"/>
        <w:bidi w:val="0"/>
        <w:snapToGrid/>
        <w:spacing w:line="5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bookmarkStart w:id="454" w:name="_Hlk110099149"/>
      <w:r>
        <w:rPr>
          <w:rFonts w:hint="eastAsia" w:ascii="宋体" w:hAnsi="宋体" w:eastAsia="宋体" w:cs="宋体"/>
          <w:color w:val="auto"/>
          <w:sz w:val="24"/>
          <w:szCs w:val="24"/>
          <w:highlight w:val="none"/>
        </w:rPr>
        <w:t>乙方账户信息</w:t>
      </w:r>
    </w:p>
    <w:p w14:paraId="58A2B11B">
      <w:pPr>
        <w:keepNext w:val="0"/>
        <w:keepLines w:val="0"/>
        <w:pageBreakBefore w:val="0"/>
        <w:kinsoku/>
        <w:wordWrap/>
        <w:overflowPunct/>
        <w:topLinePunct w:val="0"/>
        <w:bidi w:val="0"/>
        <w:snapToGrid/>
        <w:spacing w:line="5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户名：</w:t>
      </w:r>
      <w:r>
        <w:rPr>
          <w:rFonts w:hint="eastAsia" w:ascii="宋体" w:hAnsi="宋体" w:eastAsia="宋体" w:cs="宋体"/>
          <w:color w:val="auto"/>
          <w:sz w:val="24"/>
          <w:szCs w:val="24"/>
          <w:highlight w:val="none"/>
          <w:u w:val="single"/>
        </w:rPr>
        <w:t xml:space="preserve">            </w:t>
      </w:r>
    </w:p>
    <w:p w14:paraId="0D697104">
      <w:pPr>
        <w:keepNext w:val="0"/>
        <w:keepLines w:val="0"/>
        <w:pageBreakBefore w:val="0"/>
        <w:kinsoku/>
        <w:wordWrap/>
        <w:overflowPunct/>
        <w:topLinePunct w:val="0"/>
        <w:bidi w:val="0"/>
        <w:snapToGrid/>
        <w:spacing w:line="5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账号：</w:t>
      </w:r>
      <w:r>
        <w:rPr>
          <w:rFonts w:hint="eastAsia" w:ascii="宋体" w:hAnsi="宋体" w:eastAsia="宋体" w:cs="宋体"/>
          <w:color w:val="auto"/>
          <w:sz w:val="24"/>
          <w:szCs w:val="24"/>
          <w:highlight w:val="none"/>
          <w:u w:val="single"/>
        </w:rPr>
        <w:t xml:space="preserve">            </w:t>
      </w:r>
    </w:p>
    <w:p w14:paraId="7309CDF0">
      <w:pPr>
        <w:keepNext w:val="0"/>
        <w:keepLines w:val="0"/>
        <w:pageBreakBefore w:val="0"/>
        <w:kinsoku/>
        <w:wordWrap/>
        <w:overflowPunct/>
        <w:topLinePunct w:val="0"/>
        <w:bidi w:val="0"/>
        <w:snapToGrid/>
        <w:spacing w:line="5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开户银行：</w:t>
      </w:r>
      <w:r>
        <w:rPr>
          <w:rFonts w:hint="eastAsia" w:ascii="宋体" w:hAnsi="宋体" w:eastAsia="宋体" w:cs="宋体"/>
          <w:color w:val="auto"/>
          <w:sz w:val="24"/>
          <w:szCs w:val="24"/>
          <w:highlight w:val="none"/>
          <w:u w:val="single"/>
        </w:rPr>
        <w:t xml:space="preserve">        </w:t>
      </w:r>
    </w:p>
    <w:bookmarkEnd w:id="454"/>
    <w:p w14:paraId="4D631BBC">
      <w:pPr>
        <w:widowControl/>
        <w:jc w:val="left"/>
        <w:rPr>
          <w:rFonts w:cs="Times New Roman" w:asciiTheme="minorEastAsia" w:hAnsiTheme="minorEastAsia" w:eastAsiaTheme="minorEastAsia"/>
          <w:b/>
          <w:color w:val="auto"/>
          <w:sz w:val="24"/>
          <w:szCs w:val="24"/>
          <w:highlight w:val="none"/>
        </w:rPr>
      </w:pPr>
      <w:r>
        <w:rPr>
          <w:rFonts w:cs="Times New Roman" w:asciiTheme="minorEastAsia" w:hAnsiTheme="minorEastAsia" w:eastAsiaTheme="minorEastAsia"/>
          <w:b/>
          <w:color w:val="auto"/>
          <w:sz w:val="24"/>
          <w:szCs w:val="24"/>
          <w:highlight w:val="none"/>
        </w:rPr>
        <w:br w:type="page"/>
      </w:r>
    </w:p>
    <w:p w14:paraId="37D2F896">
      <w:pPr>
        <w:spacing w:line="360" w:lineRule="auto"/>
        <w:jc w:val="center"/>
        <w:outlineLvl w:val="1"/>
        <w:rPr>
          <w:rFonts w:hint="eastAsia" w:ascii="宋体" w:hAnsi="宋体" w:eastAsia="宋体" w:cs="宋体"/>
          <w:b/>
          <w:color w:val="auto"/>
          <w:sz w:val="36"/>
          <w:szCs w:val="36"/>
          <w:highlight w:val="none"/>
        </w:rPr>
      </w:pPr>
      <w:bookmarkStart w:id="455" w:name="_Toc28030"/>
      <w:bookmarkStart w:id="456" w:name="_Toc25481"/>
      <w:bookmarkStart w:id="457" w:name="_Toc12682"/>
      <w:bookmarkStart w:id="458" w:name="_Toc415"/>
      <w:r>
        <w:rPr>
          <w:rFonts w:hint="eastAsia" w:ascii="宋体" w:hAnsi="宋体" w:eastAsia="宋体" w:cs="宋体"/>
          <w:b/>
          <w:color w:val="auto"/>
          <w:sz w:val="36"/>
          <w:szCs w:val="36"/>
          <w:highlight w:val="none"/>
        </w:rPr>
        <w:t>第二部分 合同一般条款</w:t>
      </w:r>
      <w:bookmarkEnd w:id="453"/>
      <w:bookmarkEnd w:id="455"/>
      <w:bookmarkEnd w:id="456"/>
      <w:bookmarkEnd w:id="457"/>
      <w:bookmarkEnd w:id="458"/>
    </w:p>
    <w:p w14:paraId="232A2B3D">
      <w:pPr>
        <w:spacing w:line="360" w:lineRule="auto"/>
        <w:ind w:firstLine="437"/>
        <w:outlineLvl w:val="2"/>
        <w:rPr>
          <w:rFonts w:hint="eastAsia" w:ascii="宋体" w:hAnsi="宋体" w:eastAsia="宋体" w:cs="宋体"/>
          <w:b/>
          <w:bCs/>
          <w:i w:val="0"/>
          <w:iCs w:val="0"/>
          <w:color w:val="auto"/>
          <w:sz w:val="24"/>
          <w:szCs w:val="24"/>
          <w:highlight w:val="none"/>
          <w:lang w:val="zh-CN"/>
        </w:rPr>
      </w:pPr>
      <w:bookmarkStart w:id="459" w:name="_Ref467378499"/>
      <w:bookmarkStart w:id="460" w:name="_Ref467379225"/>
      <w:bookmarkStart w:id="461" w:name="_Ref467378404"/>
      <w:bookmarkStart w:id="462" w:name="_Ref467379101"/>
      <w:bookmarkStart w:id="463" w:name="_Toc259093669"/>
      <w:bookmarkStart w:id="464" w:name="_Toc487900349"/>
      <w:bookmarkStart w:id="465" w:name="_Ref467379109"/>
      <w:bookmarkStart w:id="466" w:name="_Ref467379094"/>
      <w:bookmarkStart w:id="467" w:name="_Toc14232"/>
      <w:bookmarkStart w:id="468" w:name="_Toc279701240"/>
      <w:bookmarkStart w:id="469" w:name="_Toc28763"/>
      <w:bookmarkStart w:id="470" w:name="_Ref467379195"/>
      <w:bookmarkStart w:id="471" w:name="_Toc16917"/>
      <w:bookmarkStart w:id="472" w:name="_Ref467378463"/>
      <w:bookmarkStart w:id="473" w:name="_Ref467379205"/>
      <w:bookmarkStart w:id="474" w:name="_Toc19614"/>
      <w:bookmarkStart w:id="475" w:name="_Ref467379214"/>
      <w:r>
        <w:rPr>
          <w:rFonts w:hint="eastAsia" w:ascii="宋体" w:hAnsi="宋体" w:eastAsia="宋体" w:cs="宋体"/>
          <w:b/>
          <w:bCs/>
          <w:i w:val="0"/>
          <w:iCs w:val="0"/>
          <w:color w:val="auto"/>
          <w:sz w:val="24"/>
          <w:szCs w:val="24"/>
          <w:highlight w:val="none"/>
          <w:lang w:val="zh-CN"/>
        </w:rPr>
        <w:t>2.1 定义</w:t>
      </w:r>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p>
    <w:p w14:paraId="3DABC3C2">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本合同中的下列词语应按以下内容进行解释：</w:t>
      </w:r>
    </w:p>
    <w:p w14:paraId="029314FD">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2.1.1“合同”系指采购人和中标人签订的载明双方当事人所达成的协议，并包括所有的附件、附录和构成合同的其他文件。</w:t>
      </w:r>
    </w:p>
    <w:p w14:paraId="2F4EDFDB">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2.1.2“合同价”系指根据合同约定，中标人在完全履行合同义务后，采购人应支付给中标人的价格。</w:t>
      </w:r>
    </w:p>
    <w:p w14:paraId="5824C107">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2.1.3“服务”系指中标人根据合同约定应向采购人履行的除货物和工程以外的其他政府采购对象，包括采购人自身需要的服务和向社会公众提供的公共服务。</w:t>
      </w:r>
    </w:p>
    <w:p w14:paraId="1802AAD8">
      <w:pPr>
        <w:spacing w:line="360" w:lineRule="auto"/>
        <w:ind w:firstLine="435"/>
        <w:rPr>
          <w:rFonts w:hint="eastAsia" w:ascii="宋体" w:hAnsi="宋体" w:eastAsia="宋体" w:cs="宋体"/>
          <w:i w:val="0"/>
          <w:iCs w:val="0"/>
          <w:color w:val="auto"/>
          <w:sz w:val="24"/>
          <w:szCs w:val="24"/>
          <w:highlight w:val="none"/>
        </w:rPr>
      </w:pPr>
      <w:bookmarkStart w:id="476" w:name="_Ref467378840"/>
      <w:r>
        <w:rPr>
          <w:rFonts w:hint="eastAsia" w:ascii="宋体" w:hAnsi="宋体" w:eastAsia="宋体" w:cs="宋体"/>
          <w:i w:val="0"/>
          <w:iCs w:val="0"/>
          <w:color w:val="auto"/>
          <w:sz w:val="24"/>
          <w:szCs w:val="24"/>
          <w:highlight w:val="none"/>
        </w:rPr>
        <w:t>2.1.4“甲方”系指与中标人签署合同的采购人</w:t>
      </w:r>
      <w:bookmarkEnd w:id="476"/>
      <w:r>
        <w:rPr>
          <w:rFonts w:hint="eastAsia" w:ascii="宋体" w:hAnsi="宋体" w:eastAsia="宋体" w:cs="宋体"/>
          <w:i w:val="0"/>
          <w:iCs w:val="0"/>
          <w:color w:val="auto"/>
          <w:sz w:val="24"/>
          <w:szCs w:val="24"/>
          <w:highlight w:val="none"/>
        </w:rPr>
        <w:t>；采购人委托采购代理机构代表其与乙方签订合同的，采购人的授权委托书作为合同附件。</w:t>
      </w:r>
    </w:p>
    <w:p w14:paraId="1106E655">
      <w:pPr>
        <w:spacing w:line="360" w:lineRule="auto"/>
        <w:ind w:firstLine="435"/>
        <w:rPr>
          <w:rFonts w:hint="eastAsia" w:ascii="宋体" w:hAnsi="宋体" w:eastAsia="宋体" w:cs="宋体"/>
          <w:i w:val="0"/>
          <w:iCs w:val="0"/>
          <w:color w:val="auto"/>
          <w:sz w:val="24"/>
          <w:szCs w:val="24"/>
          <w:highlight w:val="none"/>
        </w:rPr>
      </w:pPr>
      <w:bookmarkStart w:id="477" w:name="_Ref467379400"/>
      <w:r>
        <w:rPr>
          <w:rFonts w:hint="eastAsia" w:ascii="宋体" w:hAnsi="宋体" w:eastAsia="宋体" w:cs="宋体"/>
          <w:i w:val="0"/>
          <w:iCs w:val="0"/>
          <w:color w:val="auto"/>
          <w:sz w:val="24"/>
          <w:szCs w:val="24"/>
          <w:highlight w:val="none"/>
        </w:rPr>
        <w:t>2.1.5“乙方”系指根据合同约定提供服务的中标人</w:t>
      </w:r>
      <w:bookmarkEnd w:id="477"/>
      <w:r>
        <w:rPr>
          <w:rFonts w:hint="eastAsia" w:ascii="宋体" w:hAnsi="宋体" w:eastAsia="宋体" w:cs="宋体"/>
          <w:i w:val="0"/>
          <w:iCs w:val="0"/>
          <w:color w:val="auto"/>
          <w:sz w:val="24"/>
          <w:szCs w:val="24"/>
          <w:highlight w:val="none"/>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368FF11B">
      <w:pPr>
        <w:spacing w:line="360" w:lineRule="auto"/>
        <w:ind w:firstLine="435"/>
        <w:rPr>
          <w:rFonts w:hint="eastAsia" w:ascii="宋体" w:hAnsi="宋体" w:eastAsia="宋体" w:cs="宋体"/>
          <w:i w:val="0"/>
          <w:iCs w:val="0"/>
          <w:color w:val="auto"/>
          <w:sz w:val="24"/>
          <w:szCs w:val="24"/>
          <w:highlight w:val="none"/>
        </w:rPr>
      </w:pPr>
      <w:bookmarkStart w:id="478" w:name="_Ref467379436"/>
      <w:r>
        <w:rPr>
          <w:rFonts w:hint="eastAsia" w:ascii="宋体" w:hAnsi="宋体" w:eastAsia="宋体" w:cs="宋体"/>
          <w:i w:val="0"/>
          <w:iCs w:val="0"/>
          <w:color w:val="auto"/>
          <w:sz w:val="24"/>
          <w:szCs w:val="24"/>
          <w:highlight w:val="none"/>
        </w:rPr>
        <w:t>2.1.6“现场”系指合同约定提供服务的地点。</w:t>
      </w:r>
      <w:bookmarkEnd w:id="478"/>
    </w:p>
    <w:p w14:paraId="6E2582CC">
      <w:pPr>
        <w:spacing w:line="360" w:lineRule="auto"/>
        <w:ind w:firstLine="437"/>
        <w:outlineLvl w:val="2"/>
        <w:rPr>
          <w:rFonts w:hint="eastAsia" w:ascii="宋体" w:hAnsi="宋体" w:eastAsia="宋体" w:cs="宋体"/>
          <w:b/>
          <w:bCs/>
          <w:i w:val="0"/>
          <w:iCs w:val="0"/>
          <w:color w:val="auto"/>
          <w:sz w:val="24"/>
          <w:szCs w:val="24"/>
          <w:highlight w:val="none"/>
          <w:lang w:val="zh-CN"/>
        </w:rPr>
      </w:pPr>
      <w:bookmarkStart w:id="479" w:name="_Toc16312"/>
      <w:bookmarkStart w:id="480" w:name="_Toc487900350"/>
      <w:bookmarkStart w:id="481" w:name="_Toc32504"/>
      <w:bookmarkStart w:id="482" w:name="_Toc279701241"/>
      <w:bookmarkStart w:id="483" w:name="_Toc27635"/>
      <w:bookmarkStart w:id="484" w:name="_Toc13336"/>
      <w:bookmarkStart w:id="485" w:name="_Toc259093670"/>
      <w:r>
        <w:rPr>
          <w:rFonts w:hint="eastAsia" w:ascii="宋体" w:hAnsi="宋体" w:eastAsia="宋体" w:cs="宋体"/>
          <w:b/>
          <w:bCs/>
          <w:i w:val="0"/>
          <w:iCs w:val="0"/>
          <w:color w:val="auto"/>
          <w:sz w:val="24"/>
          <w:szCs w:val="24"/>
          <w:highlight w:val="none"/>
          <w:lang w:val="zh-CN"/>
        </w:rPr>
        <w:t>2.2 技术规范</w:t>
      </w:r>
      <w:bookmarkEnd w:id="479"/>
      <w:bookmarkEnd w:id="480"/>
      <w:bookmarkEnd w:id="481"/>
      <w:bookmarkEnd w:id="482"/>
      <w:bookmarkEnd w:id="483"/>
      <w:bookmarkEnd w:id="484"/>
      <w:bookmarkEnd w:id="485"/>
    </w:p>
    <w:p w14:paraId="69A21D85">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货物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14:paraId="59340A77">
      <w:pPr>
        <w:spacing w:line="360" w:lineRule="auto"/>
        <w:ind w:firstLine="437"/>
        <w:outlineLvl w:val="2"/>
        <w:rPr>
          <w:rFonts w:hint="eastAsia" w:ascii="宋体" w:hAnsi="宋体" w:eastAsia="宋体" w:cs="宋体"/>
          <w:b/>
          <w:bCs/>
          <w:i w:val="0"/>
          <w:iCs w:val="0"/>
          <w:color w:val="auto"/>
          <w:sz w:val="24"/>
          <w:szCs w:val="24"/>
          <w:highlight w:val="none"/>
          <w:lang w:val="zh-CN"/>
        </w:rPr>
      </w:pPr>
      <w:bookmarkStart w:id="486" w:name="_Toc32641"/>
      <w:bookmarkStart w:id="487" w:name="_Toc487900351"/>
      <w:bookmarkStart w:id="488" w:name="_Toc279701242"/>
      <w:bookmarkStart w:id="489" w:name="_Toc9829"/>
      <w:bookmarkStart w:id="490" w:name="_Toc27853"/>
      <w:bookmarkStart w:id="491" w:name="_Toc31634"/>
      <w:bookmarkStart w:id="492" w:name="_Toc259093671"/>
      <w:r>
        <w:rPr>
          <w:rFonts w:hint="eastAsia" w:ascii="宋体" w:hAnsi="宋体" w:eastAsia="宋体" w:cs="宋体"/>
          <w:b/>
          <w:bCs/>
          <w:i w:val="0"/>
          <w:iCs w:val="0"/>
          <w:color w:val="auto"/>
          <w:sz w:val="24"/>
          <w:szCs w:val="24"/>
          <w:highlight w:val="none"/>
          <w:lang w:val="zh-CN"/>
        </w:rPr>
        <w:t>2.3 知识产权</w:t>
      </w:r>
      <w:bookmarkEnd w:id="486"/>
      <w:bookmarkEnd w:id="487"/>
      <w:bookmarkEnd w:id="488"/>
      <w:bookmarkEnd w:id="489"/>
      <w:bookmarkEnd w:id="490"/>
      <w:bookmarkEnd w:id="491"/>
      <w:bookmarkEnd w:id="492"/>
    </w:p>
    <w:p w14:paraId="0051651D">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2.3.1乙方应保证其提供的服务不受任何第三方提出的侵犯其著作权、商标权、专利权等知识产权方面的起诉；如果任何第三方提出侵权指控，那么乙方须与该第三方交涉并承担由此发生的一切责任、费用和赔偿；</w:t>
      </w:r>
    </w:p>
    <w:p w14:paraId="1B5AB00A">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2.3.2具有知识产权的计算机软件等货物的知识产权归属，详见</w:t>
      </w:r>
      <w:r>
        <w:rPr>
          <w:rFonts w:hint="eastAsia" w:ascii="宋体" w:hAnsi="宋体" w:eastAsia="宋体" w:cs="宋体"/>
          <w:b/>
          <w:i w:val="0"/>
          <w:iCs w:val="0"/>
          <w:color w:val="auto"/>
          <w:sz w:val="24"/>
          <w:szCs w:val="24"/>
          <w:highlight w:val="none"/>
          <w:u w:val="single"/>
        </w:rPr>
        <w:t>合同专用条款</w:t>
      </w:r>
      <w:r>
        <w:rPr>
          <w:rFonts w:hint="eastAsia" w:ascii="宋体" w:hAnsi="宋体" w:eastAsia="宋体" w:cs="宋体"/>
          <w:i w:val="0"/>
          <w:iCs w:val="0"/>
          <w:color w:val="auto"/>
          <w:sz w:val="24"/>
          <w:szCs w:val="24"/>
          <w:highlight w:val="none"/>
        </w:rPr>
        <w:t>。</w:t>
      </w:r>
    </w:p>
    <w:p w14:paraId="7FDDB45A">
      <w:pPr>
        <w:spacing w:line="360" w:lineRule="auto"/>
        <w:ind w:firstLine="437"/>
        <w:outlineLvl w:val="2"/>
        <w:rPr>
          <w:rFonts w:hint="eastAsia" w:ascii="宋体" w:hAnsi="宋体" w:eastAsia="宋体" w:cs="宋体"/>
          <w:b/>
          <w:bCs/>
          <w:i w:val="0"/>
          <w:iCs w:val="0"/>
          <w:color w:val="auto"/>
          <w:sz w:val="24"/>
          <w:szCs w:val="24"/>
          <w:highlight w:val="none"/>
          <w:lang w:val="zh-CN"/>
        </w:rPr>
      </w:pPr>
      <w:bookmarkStart w:id="493" w:name="_Ref467378591"/>
      <w:bookmarkStart w:id="494" w:name="_Ref467379542"/>
      <w:bookmarkStart w:id="495" w:name="_Ref467379527"/>
      <w:bookmarkStart w:id="496" w:name="_Ref467379536"/>
      <w:bookmarkStart w:id="497" w:name="_Toc259093674"/>
      <w:bookmarkStart w:id="498" w:name="_Toc279701245"/>
      <w:bookmarkStart w:id="499" w:name="_Toc487900354"/>
      <w:bookmarkStart w:id="500" w:name="_Ref467378541"/>
      <w:bookmarkStart w:id="501" w:name="_Toc21843"/>
      <w:bookmarkStart w:id="502" w:name="_Toc30272"/>
      <w:bookmarkStart w:id="503" w:name="_Toc26182"/>
      <w:bookmarkStart w:id="504" w:name="_Toc19074"/>
      <w:r>
        <w:rPr>
          <w:rFonts w:hint="eastAsia" w:ascii="宋体" w:hAnsi="宋体" w:eastAsia="宋体" w:cs="宋体"/>
          <w:b/>
          <w:bCs/>
          <w:i w:val="0"/>
          <w:iCs w:val="0"/>
          <w:color w:val="auto"/>
          <w:sz w:val="24"/>
          <w:szCs w:val="24"/>
          <w:highlight w:val="none"/>
          <w:lang w:val="zh-CN"/>
        </w:rPr>
        <w:t>2.</w:t>
      </w:r>
      <w:bookmarkEnd w:id="493"/>
      <w:bookmarkEnd w:id="494"/>
      <w:bookmarkEnd w:id="495"/>
      <w:bookmarkEnd w:id="496"/>
      <w:bookmarkEnd w:id="497"/>
      <w:bookmarkEnd w:id="498"/>
      <w:bookmarkEnd w:id="499"/>
      <w:bookmarkEnd w:id="500"/>
      <w:r>
        <w:rPr>
          <w:rFonts w:hint="eastAsia" w:ascii="宋体" w:hAnsi="宋体" w:eastAsia="宋体" w:cs="宋体"/>
          <w:b/>
          <w:bCs/>
          <w:i w:val="0"/>
          <w:iCs w:val="0"/>
          <w:color w:val="auto"/>
          <w:sz w:val="24"/>
          <w:szCs w:val="24"/>
          <w:highlight w:val="none"/>
          <w:lang w:val="zh-CN"/>
        </w:rPr>
        <w:t>4 履约检查和问题反馈</w:t>
      </w:r>
      <w:bookmarkEnd w:id="501"/>
      <w:bookmarkEnd w:id="502"/>
      <w:bookmarkEnd w:id="503"/>
      <w:bookmarkEnd w:id="504"/>
    </w:p>
    <w:p w14:paraId="1F572855">
      <w:pPr>
        <w:spacing w:line="360" w:lineRule="auto"/>
        <w:ind w:firstLine="435"/>
        <w:rPr>
          <w:rFonts w:hint="eastAsia" w:ascii="宋体" w:hAnsi="宋体" w:eastAsia="宋体" w:cs="宋体"/>
          <w:i w:val="0"/>
          <w:iCs w:val="0"/>
          <w:color w:val="auto"/>
          <w:sz w:val="24"/>
          <w:szCs w:val="24"/>
          <w:highlight w:val="none"/>
        </w:rPr>
      </w:pPr>
      <w:bookmarkStart w:id="505" w:name="_Toc186431854"/>
      <w:bookmarkStart w:id="506" w:name="_Toc487900357"/>
      <w:bookmarkStart w:id="507" w:name="_Toc259093676"/>
      <w:bookmarkStart w:id="508" w:name="_Toc279701247"/>
      <w:bookmarkStart w:id="509" w:name="_Ref467379807"/>
      <w:bookmarkStart w:id="510" w:name="_Ref467379793"/>
      <w:r>
        <w:rPr>
          <w:rFonts w:hint="eastAsia" w:ascii="宋体" w:hAnsi="宋体" w:eastAsia="宋体" w:cs="宋体"/>
          <w:i w:val="0"/>
          <w:iCs w:val="0"/>
          <w:color w:val="auto"/>
          <w:sz w:val="24"/>
          <w:szCs w:val="24"/>
          <w:highlight w:val="none"/>
        </w:rPr>
        <w:t>2.4.1甲方有权在其认为必要时，对乙方是否能够按照合同约定提供服务进行履约检查，以确保乙方所提供的服务能够依约满足甲方项目需求，但不得因履约检查妨碍乙方的正常工作，乙方应予积极配合；</w:t>
      </w:r>
    </w:p>
    <w:p w14:paraId="46A90DE8">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2.4.2合同履行期间，甲方有权将履行过程中出现的问题反馈给乙方，双方当事人应以书面形式约定需要完善和改进的内容</w:t>
      </w:r>
      <w:bookmarkEnd w:id="505"/>
      <w:bookmarkStart w:id="511" w:name="_Toc186431855"/>
      <w:r>
        <w:rPr>
          <w:rFonts w:hint="eastAsia" w:ascii="宋体" w:hAnsi="宋体" w:eastAsia="宋体" w:cs="宋体"/>
          <w:i w:val="0"/>
          <w:iCs w:val="0"/>
          <w:color w:val="auto"/>
          <w:sz w:val="24"/>
          <w:szCs w:val="24"/>
          <w:highlight w:val="none"/>
        </w:rPr>
        <w:t>。</w:t>
      </w:r>
    </w:p>
    <w:bookmarkEnd w:id="511"/>
    <w:p w14:paraId="37DDF5E5">
      <w:pPr>
        <w:spacing w:line="360" w:lineRule="auto"/>
        <w:ind w:firstLine="437"/>
        <w:outlineLvl w:val="2"/>
        <w:rPr>
          <w:rFonts w:hint="eastAsia" w:ascii="宋体" w:hAnsi="宋体" w:eastAsia="宋体" w:cs="宋体"/>
          <w:b/>
          <w:bCs/>
          <w:i w:val="0"/>
          <w:iCs w:val="0"/>
          <w:color w:val="auto"/>
          <w:sz w:val="24"/>
          <w:szCs w:val="24"/>
          <w:highlight w:val="none"/>
          <w:lang w:val="zh-CN"/>
        </w:rPr>
      </w:pPr>
      <w:bookmarkStart w:id="512" w:name="_Toc28451"/>
      <w:bookmarkStart w:id="513" w:name="_Toc31559"/>
      <w:bookmarkStart w:id="514" w:name="_Toc19219"/>
      <w:bookmarkStart w:id="515" w:name="_Toc7836"/>
      <w:r>
        <w:rPr>
          <w:rFonts w:hint="eastAsia" w:ascii="宋体" w:hAnsi="宋体" w:eastAsia="宋体" w:cs="宋体"/>
          <w:b/>
          <w:bCs/>
          <w:i w:val="0"/>
          <w:iCs w:val="0"/>
          <w:color w:val="auto"/>
          <w:sz w:val="24"/>
          <w:szCs w:val="24"/>
          <w:highlight w:val="none"/>
          <w:lang w:val="zh-CN"/>
        </w:rPr>
        <w:t>2.5 结算方式和付款条件</w:t>
      </w:r>
      <w:bookmarkEnd w:id="506"/>
      <w:bookmarkEnd w:id="507"/>
      <w:bookmarkEnd w:id="508"/>
      <w:bookmarkEnd w:id="509"/>
      <w:bookmarkEnd w:id="510"/>
      <w:bookmarkEnd w:id="512"/>
      <w:bookmarkEnd w:id="513"/>
      <w:bookmarkEnd w:id="514"/>
      <w:bookmarkEnd w:id="515"/>
    </w:p>
    <w:p w14:paraId="350F9F19">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详见</w:t>
      </w:r>
      <w:r>
        <w:rPr>
          <w:rFonts w:hint="eastAsia" w:ascii="宋体" w:hAnsi="宋体" w:eastAsia="宋体" w:cs="宋体"/>
          <w:b/>
          <w:i w:val="0"/>
          <w:iCs w:val="0"/>
          <w:color w:val="auto"/>
          <w:sz w:val="24"/>
          <w:szCs w:val="24"/>
          <w:highlight w:val="none"/>
          <w:u w:val="single"/>
        </w:rPr>
        <w:t>合同专用条款</w:t>
      </w:r>
      <w:r>
        <w:rPr>
          <w:rFonts w:hint="eastAsia" w:ascii="宋体" w:hAnsi="宋体" w:eastAsia="宋体" w:cs="宋体"/>
          <w:i w:val="0"/>
          <w:iCs w:val="0"/>
          <w:color w:val="auto"/>
          <w:sz w:val="24"/>
          <w:szCs w:val="24"/>
          <w:highlight w:val="none"/>
        </w:rPr>
        <w:t>。</w:t>
      </w:r>
    </w:p>
    <w:p w14:paraId="0E66E798">
      <w:pPr>
        <w:spacing w:line="360" w:lineRule="auto"/>
        <w:ind w:firstLine="437"/>
        <w:outlineLvl w:val="2"/>
        <w:rPr>
          <w:rFonts w:hint="eastAsia" w:ascii="宋体" w:hAnsi="宋体" w:eastAsia="宋体" w:cs="宋体"/>
          <w:b/>
          <w:bCs/>
          <w:i w:val="0"/>
          <w:iCs w:val="0"/>
          <w:color w:val="auto"/>
          <w:sz w:val="24"/>
          <w:szCs w:val="24"/>
          <w:highlight w:val="none"/>
          <w:lang w:val="zh-CN"/>
        </w:rPr>
      </w:pPr>
      <w:bookmarkStart w:id="516" w:name="_Toc279701248"/>
      <w:bookmarkStart w:id="517" w:name="_Toc259093677"/>
      <w:bookmarkStart w:id="518" w:name="_Ref467379852"/>
      <w:bookmarkStart w:id="519" w:name="_Ref467379863"/>
      <w:bookmarkStart w:id="520" w:name="_Toc487900358"/>
      <w:bookmarkStart w:id="521" w:name="_Ref467379923"/>
      <w:bookmarkStart w:id="522" w:name="_Toc16110"/>
      <w:bookmarkStart w:id="523" w:name="_Toc7777"/>
      <w:bookmarkStart w:id="524" w:name="_Toc3225"/>
      <w:bookmarkStart w:id="525" w:name="_Toc774"/>
      <w:r>
        <w:rPr>
          <w:rFonts w:hint="eastAsia" w:ascii="宋体" w:hAnsi="宋体" w:eastAsia="宋体" w:cs="宋体"/>
          <w:b/>
          <w:bCs/>
          <w:i w:val="0"/>
          <w:iCs w:val="0"/>
          <w:color w:val="auto"/>
          <w:sz w:val="24"/>
          <w:szCs w:val="24"/>
          <w:highlight w:val="none"/>
          <w:lang w:val="zh-CN"/>
        </w:rPr>
        <w:t>2.6 技术资料</w:t>
      </w:r>
      <w:bookmarkEnd w:id="516"/>
      <w:bookmarkEnd w:id="517"/>
      <w:bookmarkEnd w:id="518"/>
      <w:bookmarkEnd w:id="519"/>
      <w:bookmarkEnd w:id="520"/>
      <w:bookmarkEnd w:id="521"/>
      <w:r>
        <w:rPr>
          <w:rFonts w:hint="eastAsia" w:ascii="宋体" w:hAnsi="宋体" w:eastAsia="宋体" w:cs="宋体"/>
          <w:b/>
          <w:bCs/>
          <w:i w:val="0"/>
          <w:iCs w:val="0"/>
          <w:color w:val="auto"/>
          <w:sz w:val="24"/>
          <w:szCs w:val="24"/>
          <w:highlight w:val="none"/>
          <w:lang w:val="zh-CN"/>
        </w:rPr>
        <w:t>和保密义务</w:t>
      </w:r>
      <w:bookmarkEnd w:id="522"/>
      <w:bookmarkEnd w:id="523"/>
      <w:bookmarkEnd w:id="524"/>
      <w:bookmarkEnd w:id="525"/>
    </w:p>
    <w:p w14:paraId="043E0FD0">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2.6.1乙方有权依据合同约定和项目需要，向甲方了解有关情况，调阅有关资料等，甲方应予积极配合；</w:t>
      </w:r>
    </w:p>
    <w:p w14:paraId="12D7ADE8">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2.6.2乙方有义务妥善保管和保护由甲方提供的前款信息和资料等；</w:t>
      </w:r>
    </w:p>
    <w:p w14:paraId="1BFAE2B4">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2.6.3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14:paraId="3D716C7F">
      <w:pPr>
        <w:spacing w:line="360" w:lineRule="auto"/>
        <w:ind w:firstLine="437"/>
        <w:outlineLvl w:val="2"/>
        <w:rPr>
          <w:rFonts w:hint="eastAsia" w:ascii="宋体" w:hAnsi="宋体" w:eastAsia="宋体" w:cs="宋体"/>
          <w:b/>
          <w:bCs/>
          <w:i w:val="0"/>
          <w:iCs w:val="0"/>
          <w:color w:val="auto"/>
          <w:sz w:val="24"/>
          <w:szCs w:val="24"/>
          <w:highlight w:val="none"/>
          <w:lang w:val="zh-CN"/>
        </w:rPr>
      </w:pPr>
      <w:bookmarkStart w:id="526" w:name="_Toc7860"/>
      <w:bookmarkStart w:id="527" w:name="_Toc5284"/>
      <w:r>
        <w:rPr>
          <w:rFonts w:hint="eastAsia" w:ascii="宋体" w:hAnsi="宋体" w:eastAsia="宋体" w:cs="宋体"/>
          <w:b/>
          <w:bCs/>
          <w:i w:val="0"/>
          <w:iCs w:val="0"/>
          <w:color w:val="auto"/>
          <w:sz w:val="24"/>
          <w:szCs w:val="24"/>
          <w:highlight w:val="none"/>
          <w:lang w:val="zh-CN"/>
        </w:rPr>
        <w:t>2.7 质量保证</w:t>
      </w:r>
      <w:bookmarkEnd w:id="526"/>
      <w:bookmarkEnd w:id="527"/>
    </w:p>
    <w:p w14:paraId="06F68E3D">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2.7.1乙方应建立和完善履行合同的内部质量保证体系，并提供相关内部规章制度给甲方，以便甲方进行监督检查；</w:t>
      </w:r>
    </w:p>
    <w:p w14:paraId="37CEC890">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2.7.2乙方应保证履行合同的人员数量和素质、软件和硬件设备的配置、场地、环境和设施等满足全面履行合同的要求，并应接受甲方的监督检查。</w:t>
      </w:r>
    </w:p>
    <w:p w14:paraId="6EE54FD6">
      <w:pPr>
        <w:spacing w:line="360" w:lineRule="auto"/>
        <w:ind w:firstLine="437"/>
        <w:outlineLvl w:val="2"/>
        <w:rPr>
          <w:rFonts w:hint="eastAsia" w:ascii="宋体" w:hAnsi="宋体" w:eastAsia="宋体" w:cs="宋体"/>
          <w:b/>
          <w:i w:val="0"/>
          <w:iCs w:val="0"/>
          <w:color w:val="auto"/>
          <w:sz w:val="24"/>
          <w:szCs w:val="24"/>
          <w:highlight w:val="none"/>
        </w:rPr>
      </w:pPr>
      <w:bookmarkStart w:id="528" w:name="_Toc22267"/>
      <w:bookmarkStart w:id="529" w:name="_Toc30678"/>
      <w:r>
        <w:rPr>
          <w:rFonts w:hint="eastAsia" w:ascii="宋体" w:hAnsi="宋体" w:eastAsia="宋体" w:cs="宋体"/>
          <w:b/>
          <w:i w:val="0"/>
          <w:iCs w:val="0"/>
          <w:color w:val="auto"/>
          <w:sz w:val="24"/>
          <w:szCs w:val="24"/>
          <w:highlight w:val="none"/>
        </w:rPr>
        <w:t>2.8 延迟履行</w:t>
      </w:r>
      <w:bookmarkEnd w:id="528"/>
      <w:bookmarkEnd w:id="529"/>
    </w:p>
    <w:p w14:paraId="39241BB2">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在合同履行过程中，如果乙方遇到不能按时提供服务的情况，应及时以书面形式将不能按时提供服务的理由、预期延误时间通知甲方；甲方收到乙方通知后，认为其理由正当的，可以书面形式酌情同意乙方可以延长履行的具体时间。</w:t>
      </w:r>
    </w:p>
    <w:p w14:paraId="546551B4">
      <w:pPr>
        <w:spacing w:line="360" w:lineRule="auto"/>
        <w:ind w:firstLine="437"/>
        <w:outlineLvl w:val="2"/>
        <w:rPr>
          <w:rFonts w:hint="eastAsia" w:ascii="宋体" w:hAnsi="宋体" w:eastAsia="宋体" w:cs="宋体"/>
          <w:b/>
          <w:bCs/>
          <w:i w:val="0"/>
          <w:iCs w:val="0"/>
          <w:color w:val="auto"/>
          <w:sz w:val="24"/>
          <w:szCs w:val="24"/>
          <w:highlight w:val="none"/>
          <w:lang w:val="zh-CN"/>
        </w:rPr>
      </w:pPr>
      <w:bookmarkStart w:id="530" w:name="_Toc7502"/>
      <w:bookmarkStart w:id="531" w:name="_Toc3646"/>
      <w:bookmarkStart w:id="532" w:name="_Toc279701254"/>
      <w:bookmarkStart w:id="533" w:name="_Ref467378121"/>
      <w:bookmarkStart w:id="534" w:name="_Toc487900364"/>
      <w:bookmarkStart w:id="535" w:name="_Toc259093683"/>
      <w:r>
        <w:rPr>
          <w:rFonts w:hint="eastAsia" w:ascii="宋体" w:hAnsi="宋体" w:eastAsia="宋体" w:cs="宋体"/>
          <w:b/>
          <w:bCs/>
          <w:i w:val="0"/>
          <w:iCs w:val="0"/>
          <w:color w:val="auto"/>
          <w:sz w:val="24"/>
          <w:szCs w:val="24"/>
          <w:highlight w:val="none"/>
          <w:lang w:val="zh-CN"/>
        </w:rPr>
        <w:t>2.9 合同变更</w:t>
      </w:r>
      <w:bookmarkEnd w:id="530"/>
      <w:bookmarkEnd w:id="531"/>
    </w:p>
    <w:p w14:paraId="60F58CC5">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2.9.1双方当事人协商一致，可以签订书面补充合同的形式变更合同，但不得违背采购文件确定的事项；</w:t>
      </w:r>
    </w:p>
    <w:p w14:paraId="42F7E758">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2.9.2合同继续履行将损害国家利益和社会公共利益的，双方当事人应当以书面形式变更合同。有过错的一方应当承担赔偿责任，双方当事人都有过错的，各自承担相应的责任。</w:t>
      </w:r>
      <w:bookmarkStart w:id="536" w:name="_Toc487900369"/>
      <w:bookmarkStart w:id="537" w:name="_Toc259093688"/>
      <w:bookmarkStart w:id="538" w:name="_Toc279701259"/>
    </w:p>
    <w:p w14:paraId="742F9E7E">
      <w:pPr>
        <w:spacing w:line="360" w:lineRule="auto"/>
        <w:ind w:firstLine="437"/>
        <w:outlineLvl w:val="2"/>
        <w:rPr>
          <w:rFonts w:hint="eastAsia" w:ascii="宋体" w:hAnsi="宋体" w:eastAsia="宋体" w:cs="宋体"/>
          <w:b/>
          <w:bCs/>
          <w:i w:val="0"/>
          <w:iCs w:val="0"/>
          <w:color w:val="auto"/>
          <w:sz w:val="24"/>
          <w:szCs w:val="24"/>
          <w:highlight w:val="none"/>
          <w:lang w:val="zh-CN"/>
        </w:rPr>
      </w:pPr>
      <w:bookmarkStart w:id="539" w:name="_Toc5438"/>
      <w:bookmarkStart w:id="540" w:name="_Toc10366"/>
      <w:bookmarkStart w:id="541" w:name="_Toc15237"/>
      <w:bookmarkStart w:id="542" w:name="_Toc22955"/>
      <w:r>
        <w:rPr>
          <w:rFonts w:hint="eastAsia" w:ascii="宋体" w:hAnsi="宋体" w:eastAsia="宋体" w:cs="宋体"/>
          <w:b/>
          <w:bCs/>
          <w:i w:val="0"/>
          <w:iCs w:val="0"/>
          <w:color w:val="auto"/>
          <w:sz w:val="24"/>
          <w:szCs w:val="24"/>
          <w:highlight w:val="none"/>
          <w:lang w:val="zh-CN"/>
        </w:rPr>
        <w:t>2.10 合同转让</w:t>
      </w:r>
      <w:bookmarkEnd w:id="536"/>
      <w:bookmarkEnd w:id="537"/>
      <w:bookmarkEnd w:id="538"/>
      <w:r>
        <w:rPr>
          <w:rFonts w:hint="eastAsia" w:ascii="宋体" w:hAnsi="宋体" w:eastAsia="宋体" w:cs="宋体"/>
          <w:b/>
          <w:bCs/>
          <w:i w:val="0"/>
          <w:iCs w:val="0"/>
          <w:color w:val="auto"/>
          <w:sz w:val="24"/>
          <w:szCs w:val="24"/>
          <w:highlight w:val="none"/>
          <w:lang w:val="zh-CN"/>
        </w:rPr>
        <w:t>和分包</w:t>
      </w:r>
      <w:bookmarkEnd w:id="539"/>
      <w:bookmarkEnd w:id="540"/>
      <w:bookmarkEnd w:id="541"/>
      <w:bookmarkEnd w:id="542"/>
    </w:p>
    <w:p w14:paraId="26ADD7CF">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14:paraId="54061B35">
      <w:pPr>
        <w:spacing w:line="360" w:lineRule="auto"/>
        <w:ind w:firstLine="437"/>
        <w:outlineLvl w:val="2"/>
        <w:rPr>
          <w:rFonts w:hint="eastAsia" w:ascii="宋体" w:hAnsi="宋体" w:eastAsia="宋体" w:cs="宋体"/>
          <w:b/>
          <w:bCs/>
          <w:i w:val="0"/>
          <w:iCs w:val="0"/>
          <w:color w:val="auto"/>
          <w:sz w:val="24"/>
          <w:szCs w:val="24"/>
          <w:highlight w:val="none"/>
          <w:lang w:val="zh-CN"/>
        </w:rPr>
      </w:pPr>
      <w:bookmarkStart w:id="543" w:name="_Toc13566"/>
      <w:bookmarkStart w:id="544" w:name="_Toc16508"/>
      <w:bookmarkStart w:id="545" w:name="_Toc14066"/>
      <w:bookmarkStart w:id="546" w:name="_Toc17154"/>
      <w:r>
        <w:rPr>
          <w:rFonts w:hint="eastAsia" w:ascii="宋体" w:hAnsi="宋体" w:eastAsia="宋体" w:cs="宋体"/>
          <w:b/>
          <w:bCs/>
          <w:i w:val="0"/>
          <w:iCs w:val="0"/>
          <w:color w:val="auto"/>
          <w:sz w:val="24"/>
          <w:szCs w:val="24"/>
          <w:highlight w:val="none"/>
          <w:lang w:val="zh-CN"/>
        </w:rPr>
        <w:t>2.11 不可抗力</w:t>
      </w:r>
      <w:bookmarkEnd w:id="543"/>
      <w:bookmarkEnd w:id="544"/>
      <w:bookmarkEnd w:id="545"/>
      <w:bookmarkEnd w:id="546"/>
    </w:p>
    <w:p w14:paraId="2E7E6126">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2.11.1如果任何一方遭遇法律规定的不可抗力，致使合同履行受阻时，履行合同的期限应予延长，延长的期限应相当于不可抗力所影响的时间；</w:t>
      </w:r>
    </w:p>
    <w:p w14:paraId="584AA569">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2.11.2因不可抗力致使不能实现合同目的的，当事人可以解除合同；</w:t>
      </w:r>
    </w:p>
    <w:p w14:paraId="7EC56964">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2.11.3因不可抗力致使合同有变更必要的，双方当事人应在</w:t>
      </w:r>
      <w:r>
        <w:rPr>
          <w:rFonts w:hint="eastAsia" w:ascii="宋体" w:hAnsi="宋体" w:eastAsia="宋体" w:cs="宋体"/>
          <w:b/>
          <w:i w:val="0"/>
          <w:iCs w:val="0"/>
          <w:color w:val="auto"/>
          <w:sz w:val="24"/>
          <w:szCs w:val="24"/>
          <w:highlight w:val="none"/>
          <w:u w:val="single"/>
        </w:rPr>
        <w:t>合同专用条款</w:t>
      </w:r>
      <w:r>
        <w:rPr>
          <w:rFonts w:hint="eastAsia" w:ascii="宋体" w:hAnsi="宋体" w:eastAsia="宋体" w:cs="宋体"/>
          <w:i w:val="0"/>
          <w:iCs w:val="0"/>
          <w:color w:val="auto"/>
          <w:sz w:val="24"/>
          <w:szCs w:val="24"/>
          <w:highlight w:val="none"/>
        </w:rPr>
        <w:t>约定时间内以书面形式变更合同；</w:t>
      </w:r>
    </w:p>
    <w:p w14:paraId="64C45C6C">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2.11.4受不可抗力影响的一方在不可抗力发生后，应在</w:t>
      </w:r>
      <w:r>
        <w:rPr>
          <w:rFonts w:hint="eastAsia" w:ascii="宋体" w:hAnsi="宋体" w:eastAsia="宋体" w:cs="宋体"/>
          <w:b/>
          <w:i w:val="0"/>
          <w:iCs w:val="0"/>
          <w:color w:val="auto"/>
          <w:sz w:val="24"/>
          <w:szCs w:val="24"/>
          <w:highlight w:val="none"/>
          <w:u w:val="single"/>
        </w:rPr>
        <w:t>合同专用条款</w:t>
      </w:r>
      <w:r>
        <w:rPr>
          <w:rFonts w:hint="eastAsia" w:ascii="宋体" w:hAnsi="宋体" w:eastAsia="宋体" w:cs="宋体"/>
          <w:i w:val="0"/>
          <w:iCs w:val="0"/>
          <w:color w:val="auto"/>
          <w:sz w:val="24"/>
          <w:szCs w:val="24"/>
          <w:highlight w:val="none"/>
        </w:rPr>
        <w:t>约定时间内以书面形式通知对方当事人，并在</w:t>
      </w:r>
      <w:r>
        <w:rPr>
          <w:rFonts w:hint="eastAsia" w:ascii="宋体" w:hAnsi="宋体" w:eastAsia="宋体" w:cs="宋体"/>
          <w:b/>
          <w:i w:val="0"/>
          <w:iCs w:val="0"/>
          <w:color w:val="auto"/>
          <w:sz w:val="24"/>
          <w:szCs w:val="24"/>
          <w:highlight w:val="none"/>
          <w:u w:val="single"/>
        </w:rPr>
        <w:t>合同专用条款</w:t>
      </w:r>
      <w:r>
        <w:rPr>
          <w:rFonts w:hint="eastAsia" w:ascii="宋体" w:hAnsi="宋体" w:eastAsia="宋体" w:cs="宋体"/>
          <w:i w:val="0"/>
          <w:iCs w:val="0"/>
          <w:color w:val="auto"/>
          <w:sz w:val="24"/>
          <w:szCs w:val="24"/>
          <w:highlight w:val="none"/>
        </w:rPr>
        <w:t>约定时间内，将有关部门出具的证明文件送达对方当事人。</w:t>
      </w:r>
    </w:p>
    <w:p w14:paraId="07379467">
      <w:pPr>
        <w:spacing w:line="360" w:lineRule="auto"/>
        <w:ind w:firstLine="437"/>
        <w:outlineLvl w:val="2"/>
        <w:rPr>
          <w:rFonts w:hint="eastAsia" w:ascii="宋体" w:hAnsi="宋体" w:eastAsia="宋体" w:cs="宋体"/>
          <w:b/>
          <w:bCs/>
          <w:i w:val="0"/>
          <w:iCs w:val="0"/>
          <w:color w:val="auto"/>
          <w:sz w:val="24"/>
          <w:szCs w:val="24"/>
          <w:highlight w:val="none"/>
          <w:lang w:val="zh-CN"/>
        </w:rPr>
      </w:pPr>
      <w:bookmarkStart w:id="547" w:name="_Toc6969"/>
      <w:bookmarkStart w:id="548" w:name="_Toc259093684"/>
      <w:bookmarkStart w:id="549" w:name="_Toc19740"/>
      <w:bookmarkStart w:id="550" w:name="_Toc487900365"/>
      <w:bookmarkStart w:id="551" w:name="_Toc279701255"/>
      <w:bookmarkStart w:id="552" w:name="_Toc30676"/>
      <w:bookmarkStart w:id="553" w:name="_Toc689"/>
      <w:r>
        <w:rPr>
          <w:rFonts w:hint="eastAsia" w:ascii="宋体" w:hAnsi="宋体" w:eastAsia="宋体" w:cs="宋体"/>
          <w:b/>
          <w:bCs/>
          <w:i w:val="0"/>
          <w:iCs w:val="0"/>
          <w:color w:val="auto"/>
          <w:sz w:val="24"/>
          <w:szCs w:val="24"/>
          <w:highlight w:val="none"/>
          <w:lang w:val="zh-CN"/>
        </w:rPr>
        <w:t>2.12 税费</w:t>
      </w:r>
      <w:bookmarkEnd w:id="547"/>
      <w:bookmarkEnd w:id="548"/>
      <w:bookmarkEnd w:id="549"/>
      <w:bookmarkEnd w:id="550"/>
      <w:bookmarkEnd w:id="551"/>
      <w:bookmarkEnd w:id="552"/>
      <w:bookmarkEnd w:id="553"/>
    </w:p>
    <w:p w14:paraId="7FDC3728">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与合同有关的一切税费，均按照中华人民共和国法律的相关规定缴纳。</w:t>
      </w:r>
    </w:p>
    <w:p w14:paraId="485EEA44">
      <w:pPr>
        <w:spacing w:line="360" w:lineRule="auto"/>
        <w:ind w:firstLine="437"/>
        <w:outlineLvl w:val="2"/>
        <w:rPr>
          <w:rFonts w:hint="eastAsia" w:ascii="宋体" w:hAnsi="宋体" w:eastAsia="宋体" w:cs="宋体"/>
          <w:b/>
          <w:bCs/>
          <w:i w:val="0"/>
          <w:iCs w:val="0"/>
          <w:color w:val="auto"/>
          <w:sz w:val="24"/>
          <w:szCs w:val="24"/>
          <w:highlight w:val="none"/>
          <w:lang w:val="zh-CN"/>
        </w:rPr>
      </w:pPr>
      <w:bookmarkStart w:id="554" w:name="_Toc259093687"/>
      <w:bookmarkStart w:id="555" w:name="_Toc16959"/>
      <w:bookmarkStart w:id="556" w:name="_Toc7102"/>
      <w:bookmarkStart w:id="557" w:name="_Toc279701258"/>
      <w:bookmarkStart w:id="558" w:name="_Toc8588"/>
      <w:bookmarkStart w:id="559" w:name="_Toc487900368"/>
      <w:bookmarkStart w:id="560" w:name="_Toc8298"/>
      <w:r>
        <w:rPr>
          <w:rFonts w:hint="eastAsia" w:ascii="宋体" w:hAnsi="宋体" w:eastAsia="宋体" w:cs="宋体"/>
          <w:b/>
          <w:bCs/>
          <w:i w:val="0"/>
          <w:iCs w:val="0"/>
          <w:color w:val="auto"/>
          <w:sz w:val="24"/>
          <w:szCs w:val="24"/>
          <w:highlight w:val="none"/>
          <w:lang w:val="zh-CN"/>
        </w:rPr>
        <w:t>2.13 乙方破产</w:t>
      </w:r>
      <w:bookmarkEnd w:id="554"/>
      <w:bookmarkEnd w:id="555"/>
      <w:bookmarkEnd w:id="556"/>
      <w:bookmarkEnd w:id="557"/>
      <w:bookmarkEnd w:id="558"/>
      <w:bookmarkEnd w:id="559"/>
      <w:bookmarkEnd w:id="560"/>
    </w:p>
    <w:p w14:paraId="4706273A">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4E79A5F8">
      <w:pPr>
        <w:spacing w:line="360" w:lineRule="auto"/>
        <w:ind w:firstLine="437"/>
        <w:outlineLvl w:val="2"/>
        <w:rPr>
          <w:rFonts w:hint="eastAsia" w:ascii="宋体" w:hAnsi="宋体" w:eastAsia="宋体" w:cs="宋体"/>
          <w:b/>
          <w:i w:val="0"/>
          <w:iCs w:val="0"/>
          <w:color w:val="auto"/>
          <w:sz w:val="24"/>
          <w:szCs w:val="24"/>
          <w:highlight w:val="none"/>
        </w:rPr>
      </w:pPr>
      <w:bookmarkStart w:id="561" w:name="_Toc6134"/>
      <w:bookmarkStart w:id="562" w:name="_Toc29333"/>
      <w:bookmarkStart w:id="563" w:name="_Toc15387"/>
      <w:bookmarkStart w:id="564" w:name="_Toc1334"/>
      <w:r>
        <w:rPr>
          <w:rFonts w:hint="eastAsia" w:ascii="宋体" w:hAnsi="宋体" w:eastAsia="宋体" w:cs="宋体"/>
          <w:b/>
          <w:bCs/>
          <w:i w:val="0"/>
          <w:iCs w:val="0"/>
          <w:color w:val="auto"/>
          <w:sz w:val="24"/>
          <w:szCs w:val="24"/>
          <w:highlight w:val="none"/>
          <w:lang w:val="zh-CN"/>
        </w:rPr>
        <w:t>2.14 合同中止、终止</w:t>
      </w:r>
      <w:bookmarkEnd w:id="561"/>
      <w:bookmarkEnd w:id="562"/>
      <w:bookmarkEnd w:id="563"/>
      <w:bookmarkEnd w:id="564"/>
    </w:p>
    <w:p w14:paraId="6151CDA0">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2.14.1双方当事人不得擅自中止或者终止合同；</w:t>
      </w:r>
    </w:p>
    <w:p w14:paraId="0A33DBB1">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2.14.2合同继续履行将损害国家利益和社会公共利益的，双方当事人应当中止或者终止合同。有过错的一方应当承担赔偿责任，双方当事人都有过错的，各自承担相应的责任。</w:t>
      </w:r>
    </w:p>
    <w:p w14:paraId="51ADDB27">
      <w:pPr>
        <w:spacing w:line="360" w:lineRule="auto"/>
        <w:ind w:firstLine="437"/>
        <w:outlineLvl w:val="2"/>
        <w:rPr>
          <w:rFonts w:hint="eastAsia" w:ascii="宋体" w:hAnsi="宋体" w:eastAsia="宋体" w:cs="宋体"/>
          <w:b/>
          <w:bCs/>
          <w:i w:val="0"/>
          <w:iCs w:val="0"/>
          <w:color w:val="auto"/>
          <w:sz w:val="24"/>
          <w:szCs w:val="24"/>
          <w:highlight w:val="none"/>
          <w:lang w:val="zh-CN"/>
        </w:rPr>
      </w:pPr>
      <w:bookmarkStart w:id="565" w:name="_Toc14563"/>
      <w:bookmarkStart w:id="566" w:name="_Toc1125"/>
      <w:bookmarkStart w:id="567" w:name="_Toc19383"/>
      <w:bookmarkStart w:id="568" w:name="_Toc6596"/>
      <w:r>
        <w:rPr>
          <w:rFonts w:hint="eastAsia" w:ascii="宋体" w:hAnsi="宋体" w:eastAsia="宋体" w:cs="宋体"/>
          <w:b/>
          <w:bCs/>
          <w:i w:val="0"/>
          <w:iCs w:val="0"/>
          <w:color w:val="auto"/>
          <w:sz w:val="24"/>
          <w:szCs w:val="24"/>
          <w:highlight w:val="none"/>
          <w:lang w:val="zh-CN"/>
        </w:rPr>
        <w:t>2.15 检验和验收</w:t>
      </w:r>
      <w:bookmarkEnd w:id="565"/>
      <w:bookmarkEnd w:id="566"/>
      <w:bookmarkEnd w:id="567"/>
      <w:bookmarkEnd w:id="568"/>
    </w:p>
    <w:p w14:paraId="4B523E11">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2.15.1乙方按照</w:t>
      </w:r>
      <w:r>
        <w:rPr>
          <w:rFonts w:hint="eastAsia" w:ascii="宋体" w:hAnsi="宋体" w:eastAsia="宋体" w:cs="宋体"/>
          <w:b/>
          <w:i w:val="0"/>
          <w:iCs w:val="0"/>
          <w:color w:val="auto"/>
          <w:sz w:val="24"/>
          <w:szCs w:val="24"/>
          <w:highlight w:val="none"/>
          <w:u w:val="single"/>
        </w:rPr>
        <w:t>合同专用条款</w:t>
      </w:r>
      <w:r>
        <w:rPr>
          <w:rFonts w:hint="eastAsia" w:ascii="宋体" w:hAnsi="宋体" w:eastAsia="宋体" w:cs="宋体"/>
          <w:i w:val="0"/>
          <w:iCs w:val="0"/>
          <w:color w:val="auto"/>
          <w:sz w:val="24"/>
          <w:szCs w:val="24"/>
          <w:highlight w:val="none"/>
        </w:rPr>
        <w:t>的约定，定期提交服务报告，甲方按照</w:t>
      </w:r>
      <w:r>
        <w:rPr>
          <w:rFonts w:hint="eastAsia" w:ascii="宋体" w:hAnsi="宋体" w:eastAsia="宋体" w:cs="宋体"/>
          <w:b/>
          <w:i w:val="0"/>
          <w:iCs w:val="0"/>
          <w:color w:val="auto"/>
          <w:sz w:val="24"/>
          <w:szCs w:val="24"/>
          <w:highlight w:val="none"/>
          <w:u w:val="single"/>
        </w:rPr>
        <w:t>合同专用条款</w:t>
      </w:r>
      <w:r>
        <w:rPr>
          <w:rFonts w:hint="eastAsia" w:ascii="宋体" w:hAnsi="宋体" w:eastAsia="宋体" w:cs="宋体"/>
          <w:i w:val="0"/>
          <w:iCs w:val="0"/>
          <w:color w:val="auto"/>
          <w:sz w:val="24"/>
          <w:szCs w:val="24"/>
          <w:highlight w:val="none"/>
        </w:rPr>
        <w:t>的约定进行定期验收；</w:t>
      </w:r>
    </w:p>
    <w:p w14:paraId="2691C969">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2.15.2合同期满或者履行完毕后，甲方有权组织（包括依法邀请国家认可的质量检测机构参加）对乙方履约的验收，即：按照合同约定的标准，组织对乙方履约情况的验收，并出具验收书；向社会公众提供的公共服务项目，验收时应当邀请服务对象参与并出具意见，验收结果应当向社会公告；</w:t>
      </w:r>
    </w:p>
    <w:p w14:paraId="35630CD7">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2.15.3检验和验收标准、程序等具体内容以及前述验收书的效力详见</w:t>
      </w:r>
      <w:r>
        <w:rPr>
          <w:rFonts w:hint="eastAsia" w:ascii="宋体" w:hAnsi="宋体" w:eastAsia="宋体" w:cs="宋体"/>
          <w:b/>
          <w:i w:val="0"/>
          <w:iCs w:val="0"/>
          <w:color w:val="auto"/>
          <w:sz w:val="24"/>
          <w:szCs w:val="24"/>
          <w:highlight w:val="none"/>
          <w:u w:val="single"/>
        </w:rPr>
        <w:t>合同专用条款</w:t>
      </w:r>
      <w:r>
        <w:rPr>
          <w:rFonts w:hint="eastAsia" w:ascii="宋体" w:hAnsi="宋体" w:eastAsia="宋体" w:cs="宋体"/>
          <w:i w:val="0"/>
          <w:iCs w:val="0"/>
          <w:color w:val="auto"/>
          <w:sz w:val="24"/>
          <w:szCs w:val="24"/>
          <w:highlight w:val="none"/>
        </w:rPr>
        <w:t>。</w:t>
      </w:r>
    </w:p>
    <w:bookmarkEnd w:id="532"/>
    <w:bookmarkEnd w:id="533"/>
    <w:bookmarkEnd w:id="534"/>
    <w:bookmarkEnd w:id="535"/>
    <w:p w14:paraId="73AF77C8">
      <w:pPr>
        <w:spacing w:line="360" w:lineRule="auto"/>
        <w:ind w:firstLine="437"/>
        <w:outlineLvl w:val="2"/>
        <w:rPr>
          <w:rFonts w:hint="eastAsia" w:ascii="宋体" w:hAnsi="宋体" w:eastAsia="宋体" w:cs="宋体"/>
          <w:b/>
          <w:bCs/>
          <w:i w:val="0"/>
          <w:iCs w:val="0"/>
          <w:color w:val="auto"/>
          <w:sz w:val="24"/>
          <w:szCs w:val="24"/>
          <w:highlight w:val="none"/>
        </w:rPr>
      </w:pPr>
      <w:bookmarkStart w:id="569" w:name="_Toc12773"/>
      <w:bookmarkStart w:id="570" w:name="_Toc487900373"/>
      <w:bookmarkStart w:id="571" w:name="_Toc259093692"/>
      <w:bookmarkStart w:id="572" w:name="_Toc10330"/>
      <w:bookmarkStart w:id="573" w:name="_Toc18567"/>
      <w:bookmarkStart w:id="574" w:name="_Toc9826"/>
      <w:bookmarkStart w:id="575" w:name="_Toc279701263"/>
      <w:r>
        <w:rPr>
          <w:rFonts w:hint="eastAsia" w:ascii="宋体" w:hAnsi="宋体" w:eastAsia="宋体" w:cs="宋体"/>
          <w:b/>
          <w:bCs/>
          <w:i w:val="0"/>
          <w:iCs w:val="0"/>
          <w:color w:val="auto"/>
          <w:sz w:val="24"/>
          <w:szCs w:val="24"/>
          <w:highlight w:val="none"/>
        </w:rPr>
        <w:t xml:space="preserve">2.16 </w:t>
      </w:r>
      <w:r>
        <w:rPr>
          <w:rFonts w:hint="eastAsia" w:ascii="宋体" w:hAnsi="宋体" w:eastAsia="宋体" w:cs="宋体"/>
          <w:b/>
          <w:bCs/>
          <w:i w:val="0"/>
          <w:iCs w:val="0"/>
          <w:color w:val="auto"/>
          <w:sz w:val="24"/>
          <w:szCs w:val="24"/>
          <w:highlight w:val="none"/>
          <w:lang w:val="zh-CN"/>
        </w:rPr>
        <w:t>合同使用的文字和适用的法律</w:t>
      </w:r>
      <w:bookmarkEnd w:id="569"/>
      <w:bookmarkEnd w:id="570"/>
      <w:bookmarkEnd w:id="571"/>
      <w:bookmarkEnd w:id="572"/>
      <w:bookmarkEnd w:id="573"/>
      <w:bookmarkEnd w:id="574"/>
      <w:bookmarkEnd w:id="575"/>
    </w:p>
    <w:p w14:paraId="584303E2">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2.16.1合同使用汉语书就、变更和解释；</w:t>
      </w:r>
    </w:p>
    <w:p w14:paraId="6120D4C0">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2.16.2合同适用中华人民共和国法律。</w:t>
      </w:r>
    </w:p>
    <w:p w14:paraId="6DD35A5C">
      <w:pPr>
        <w:spacing w:line="360" w:lineRule="auto"/>
        <w:ind w:firstLine="437"/>
        <w:outlineLvl w:val="2"/>
        <w:rPr>
          <w:rFonts w:hint="eastAsia" w:ascii="宋体" w:hAnsi="宋体" w:eastAsia="宋体" w:cs="宋体"/>
          <w:b/>
          <w:i w:val="0"/>
          <w:iCs w:val="0"/>
          <w:color w:val="auto"/>
          <w:sz w:val="24"/>
          <w:szCs w:val="24"/>
          <w:highlight w:val="none"/>
        </w:rPr>
      </w:pPr>
      <w:bookmarkStart w:id="576" w:name="_Toc259093693"/>
      <w:bookmarkStart w:id="577" w:name="_Toc12004"/>
      <w:bookmarkStart w:id="578" w:name="_Toc279701264"/>
      <w:bookmarkStart w:id="579" w:name="_Toc3148"/>
      <w:bookmarkStart w:id="580" w:name="_Toc16673"/>
      <w:bookmarkStart w:id="581" w:name="_Toc17354"/>
      <w:bookmarkStart w:id="582" w:name="_Toc487900374"/>
      <w:r>
        <w:rPr>
          <w:rFonts w:hint="eastAsia" w:ascii="宋体" w:hAnsi="宋体" w:eastAsia="宋体" w:cs="宋体"/>
          <w:b/>
          <w:bCs/>
          <w:i w:val="0"/>
          <w:iCs w:val="0"/>
          <w:color w:val="auto"/>
          <w:sz w:val="24"/>
          <w:szCs w:val="24"/>
          <w:highlight w:val="none"/>
          <w:lang w:val="zh-CN"/>
        </w:rPr>
        <w:t>2.17 履约保证金</w:t>
      </w:r>
      <w:bookmarkEnd w:id="576"/>
      <w:bookmarkEnd w:id="577"/>
      <w:bookmarkEnd w:id="578"/>
      <w:bookmarkEnd w:id="579"/>
      <w:bookmarkEnd w:id="580"/>
      <w:bookmarkEnd w:id="581"/>
    </w:p>
    <w:p w14:paraId="1C42A5BF">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2.17.1采购文件要求乙方提交履约保证金的，乙方应按</w:t>
      </w:r>
      <w:r>
        <w:rPr>
          <w:rFonts w:hint="eastAsia" w:ascii="宋体" w:hAnsi="宋体" w:eastAsia="宋体" w:cs="宋体"/>
          <w:b/>
          <w:i w:val="0"/>
          <w:iCs w:val="0"/>
          <w:color w:val="auto"/>
          <w:sz w:val="24"/>
          <w:szCs w:val="24"/>
          <w:highlight w:val="none"/>
          <w:u w:val="single"/>
        </w:rPr>
        <w:t>合同专用条款</w:t>
      </w:r>
      <w:r>
        <w:rPr>
          <w:rFonts w:hint="eastAsia" w:ascii="宋体" w:hAnsi="宋体" w:eastAsia="宋体" w:cs="宋体"/>
          <w:i w:val="0"/>
          <w:iCs w:val="0"/>
          <w:color w:val="auto"/>
          <w:sz w:val="24"/>
          <w:szCs w:val="24"/>
          <w:highlight w:val="none"/>
        </w:rPr>
        <w:t>约定的方式，以支票、汇票、本票或者金融机构、担保机构出具的保函等非现金形式提交；</w:t>
      </w:r>
    </w:p>
    <w:p w14:paraId="4D9AC60E">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2.17.2履约保证金在</w:t>
      </w:r>
      <w:r>
        <w:rPr>
          <w:rFonts w:hint="eastAsia" w:ascii="宋体" w:hAnsi="宋体" w:eastAsia="宋体" w:cs="宋体"/>
          <w:b/>
          <w:i w:val="0"/>
          <w:iCs w:val="0"/>
          <w:color w:val="auto"/>
          <w:sz w:val="24"/>
          <w:szCs w:val="24"/>
          <w:highlight w:val="none"/>
          <w:u w:val="single"/>
        </w:rPr>
        <w:t>合同专用条款</w:t>
      </w:r>
      <w:r>
        <w:rPr>
          <w:rFonts w:hint="eastAsia" w:ascii="宋体" w:hAnsi="宋体" w:eastAsia="宋体" w:cs="宋体"/>
          <w:i w:val="0"/>
          <w:iCs w:val="0"/>
          <w:color w:val="auto"/>
          <w:sz w:val="24"/>
          <w:szCs w:val="24"/>
          <w:highlight w:val="none"/>
        </w:rPr>
        <w:t>约定期间内不予退还或者应完全有效，前述约定期间届满之日起</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个工作日内，甲方应将履约保证金退还乙方</w:t>
      </w:r>
      <w:r>
        <w:rPr>
          <w:rFonts w:hint="eastAsia" w:ascii="宋体" w:hAnsi="宋体" w:eastAsia="宋体" w:cs="宋体"/>
          <w:i w:val="0"/>
          <w:iCs w:val="0"/>
          <w:color w:val="auto"/>
          <w:sz w:val="24"/>
          <w:szCs w:val="24"/>
          <w:highlight w:val="none"/>
          <w:lang w:eastAsia="zh-CN"/>
        </w:rPr>
        <w:t>，</w:t>
      </w:r>
      <w:r>
        <w:rPr>
          <w:rFonts w:hint="eastAsia" w:ascii="宋体" w:hAnsi="宋体" w:eastAsia="宋体" w:cs="宋体"/>
          <w:i w:val="0"/>
          <w:iCs w:val="0"/>
          <w:color w:val="auto"/>
          <w:sz w:val="24"/>
          <w:szCs w:val="24"/>
          <w:highlight w:val="none"/>
          <w:lang w:val="en-US" w:eastAsia="zh-CN"/>
        </w:rPr>
        <w:t>甲方</w:t>
      </w:r>
      <w:r>
        <w:rPr>
          <w:rFonts w:hint="eastAsia" w:ascii="宋体" w:hAnsi="宋体" w:eastAsia="宋体" w:cs="宋体"/>
          <w:i w:val="0"/>
          <w:iCs w:val="0"/>
          <w:color w:val="auto"/>
          <w:sz w:val="24"/>
          <w:szCs w:val="24"/>
          <w:highlight w:val="none"/>
        </w:rPr>
        <w:t>逾期退还履约保证金</w:t>
      </w:r>
      <w:r>
        <w:rPr>
          <w:rFonts w:hint="eastAsia" w:ascii="宋体" w:hAnsi="宋体" w:eastAsia="宋体" w:cs="宋体"/>
          <w:i w:val="0"/>
          <w:iCs w:val="0"/>
          <w:color w:val="auto"/>
          <w:sz w:val="24"/>
          <w:szCs w:val="24"/>
          <w:highlight w:val="none"/>
          <w:lang w:val="en-US" w:eastAsia="zh-CN"/>
        </w:rPr>
        <w:t>应承担违约责任。</w:t>
      </w:r>
    </w:p>
    <w:p w14:paraId="5DC1A76F">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2.17.3如果乙方不履行合同，履约保证金不予退还；如果乙方未能按合同约定全面履行义务，那么甲方有权从履约保证金中取得补偿或赔偿，同时不影响甲方要求乙方承担合同约定的超过履约保证金的违约责任的权利。</w:t>
      </w:r>
    </w:p>
    <w:bookmarkEnd w:id="582"/>
    <w:p w14:paraId="1186696B">
      <w:pPr>
        <w:spacing w:line="360" w:lineRule="auto"/>
        <w:ind w:firstLine="437"/>
        <w:outlineLvl w:val="2"/>
        <w:rPr>
          <w:rFonts w:hint="eastAsia" w:ascii="宋体" w:hAnsi="宋体" w:eastAsia="宋体" w:cs="宋体"/>
          <w:b/>
          <w:i w:val="0"/>
          <w:iCs w:val="0"/>
          <w:color w:val="auto"/>
          <w:sz w:val="24"/>
          <w:szCs w:val="24"/>
          <w:highlight w:val="none"/>
        </w:rPr>
      </w:pPr>
      <w:bookmarkStart w:id="583" w:name="_Toc31625"/>
      <w:bookmarkStart w:id="584" w:name="_Toc6885"/>
      <w:bookmarkStart w:id="585" w:name="_Toc14001"/>
      <w:bookmarkStart w:id="586" w:name="_Toc19890"/>
      <w:r>
        <w:rPr>
          <w:rFonts w:hint="eastAsia" w:ascii="宋体" w:hAnsi="宋体" w:eastAsia="宋体" w:cs="宋体"/>
          <w:b/>
          <w:bCs/>
          <w:i w:val="0"/>
          <w:iCs w:val="0"/>
          <w:color w:val="auto"/>
          <w:sz w:val="24"/>
          <w:szCs w:val="24"/>
          <w:highlight w:val="none"/>
          <w:lang w:val="zh-CN"/>
        </w:rPr>
        <w:t>2.18 合同份数</w:t>
      </w:r>
      <w:bookmarkEnd w:id="583"/>
      <w:bookmarkEnd w:id="584"/>
      <w:bookmarkEnd w:id="585"/>
      <w:bookmarkEnd w:id="586"/>
    </w:p>
    <w:p w14:paraId="1E34590B">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合同份数按</w:t>
      </w:r>
      <w:r>
        <w:rPr>
          <w:rFonts w:hint="eastAsia" w:ascii="宋体" w:hAnsi="宋体" w:eastAsia="宋体" w:cs="宋体"/>
          <w:b/>
          <w:i w:val="0"/>
          <w:iCs w:val="0"/>
          <w:color w:val="auto"/>
          <w:sz w:val="24"/>
          <w:szCs w:val="24"/>
          <w:highlight w:val="none"/>
          <w:u w:val="single"/>
        </w:rPr>
        <w:t>合同专用条款</w:t>
      </w:r>
      <w:r>
        <w:rPr>
          <w:rFonts w:hint="eastAsia" w:ascii="宋体" w:hAnsi="宋体" w:eastAsia="宋体" w:cs="宋体"/>
          <w:i w:val="0"/>
          <w:iCs w:val="0"/>
          <w:color w:val="auto"/>
          <w:sz w:val="24"/>
          <w:szCs w:val="24"/>
          <w:highlight w:val="none"/>
        </w:rPr>
        <w:t>规定，每份均具有同等法律效力。</w:t>
      </w:r>
    </w:p>
    <w:p w14:paraId="53F3690C">
      <w:pPr>
        <w:spacing w:line="360" w:lineRule="auto"/>
        <w:jc w:val="center"/>
        <w:outlineLvl w:val="1"/>
        <w:rPr>
          <w:rFonts w:hint="eastAsia" w:ascii="宋体" w:hAnsi="宋体" w:eastAsia="宋体" w:cs="宋体"/>
          <w:b/>
          <w:color w:val="auto"/>
          <w:sz w:val="36"/>
          <w:szCs w:val="36"/>
          <w:highlight w:val="none"/>
        </w:rPr>
      </w:pPr>
      <w:r>
        <w:rPr>
          <w:rFonts w:cs="Times New Roman" w:asciiTheme="minorEastAsia" w:hAnsiTheme="minorEastAsia" w:eastAsiaTheme="minorEastAsia"/>
          <w:color w:val="auto"/>
          <w:sz w:val="24"/>
          <w:szCs w:val="24"/>
          <w:highlight w:val="none"/>
        </w:rPr>
        <w:br w:type="page"/>
      </w:r>
      <w:bookmarkStart w:id="587" w:name="_Toc7510"/>
      <w:bookmarkStart w:id="588" w:name="_Toc21802"/>
      <w:bookmarkStart w:id="589" w:name="_Toc7126"/>
      <w:bookmarkStart w:id="590" w:name="_Toc3736"/>
      <w:r>
        <w:rPr>
          <w:rFonts w:hint="eastAsia" w:ascii="宋体" w:hAnsi="宋体" w:eastAsia="宋体" w:cs="宋体"/>
          <w:b/>
          <w:color w:val="auto"/>
          <w:sz w:val="36"/>
          <w:szCs w:val="36"/>
          <w:highlight w:val="none"/>
        </w:rPr>
        <w:t>第三部分 合同专用条款</w:t>
      </w:r>
      <w:bookmarkEnd w:id="587"/>
      <w:bookmarkEnd w:id="588"/>
      <w:bookmarkEnd w:id="589"/>
      <w:bookmarkEnd w:id="590"/>
    </w:p>
    <w:p w14:paraId="3D7C59F3">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Style w:val="29"/>
        <w:tblW w:w="8362"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794"/>
        <w:gridCol w:w="7568"/>
      </w:tblGrid>
      <w:tr w14:paraId="024E018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jc w:val="center"/>
        </w:trPr>
        <w:tc>
          <w:tcPr>
            <w:tcW w:w="794" w:type="dxa"/>
            <w:tcBorders>
              <w:left w:val="single" w:color="auto" w:sz="4" w:space="0"/>
            </w:tcBorders>
            <w:vAlign w:val="center"/>
          </w:tcPr>
          <w:p w14:paraId="30CAE03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条款号</w:t>
            </w:r>
          </w:p>
        </w:tc>
        <w:tc>
          <w:tcPr>
            <w:tcW w:w="7568" w:type="dxa"/>
            <w:vAlign w:val="center"/>
          </w:tcPr>
          <w:p w14:paraId="5E297E2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约定内容</w:t>
            </w:r>
          </w:p>
        </w:tc>
      </w:tr>
      <w:tr w14:paraId="47A1DC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jc w:val="center"/>
        </w:trPr>
        <w:tc>
          <w:tcPr>
            <w:tcW w:w="794" w:type="dxa"/>
            <w:tcBorders>
              <w:left w:val="single" w:color="auto" w:sz="4" w:space="0"/>
            </w:tcBorders>
            <w:vAlign w:val="center"/>
          </w:tcPr>
          <w:p w14:paraId="3B4B21CE">
            <w:pPr>
              <w:spacing w:line="560" w:lineRule="exact"/>
              <w:rPr>
                <w:rFonts w:hint="eastAsia" w:ascii="宋体" w:hAnsi="宋体" w:eastAsia="宋体" w:cs="宋体"/>
                <w:color w:val="auto"/>
                <w:sz w:val="24"/>
                <w:szCs w:val="24"/>
                <w:highlight w:val="none"/>
              </w:rPr>
            </w:pPr>
          </w:p>
        </w:tc>
        <w:tc>
          <w:tcPr>
            <w:tcW w:w="7568" w:type="dxa"/>
            <w:vAlign w:val="center"/>
          </w:tcPr>
          <w:p w14:paraId="40655C46">
            <w:pPr>
              <w:spacing w:line="560" w:lineRule="exact"/>
              <w:rPr>
                <w:rFonts w:hint="eastAsia" w:ascii="宋体" w:hAnsi="宋体" w:eastAsia="宋体" w:cs="宋体"/>
                <w:color w:val="auto"/>
                <w:sz w:val="24"/>
                <w:szCs w:val="24"/>
                <w:highlight w:val="none"/>
              </w:rPr>
            </w:pPr>
          </w:p>
        </w:tc>
      </w:tr>
      <w:tr w14:paraId="0B040DA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794" w:type="dxa"/>
            <w:tcBorders>
              <w:left w:val="single" w:color="auto" w:sz="4" w:space="0"/>
            </w:tcBorders>
            <w:vAlign w:val="center"/>
          </w:tcPr>
          <w:p w14:paraId="0F3CD612">
            <w:pPr>
              <w:spacing w:line="560" w:lineRule="exact"/>
              <w:rPr>
                <w:rFonts w:hint="eastAsia" w:ascii="宋体" w:hAnsi="宋体" w:eastAsia="宋体" w:cs="宋体"/>
                <w:color w:val="auto"/>
                <w:sz w:val="24"/>
                <w:szCs w:val="24"/>
                <w:highlight w:val="none"/>
              </w:rPr>
            </w:pPr>
          </w:p>
        </w:tc>
        <w:tc>
          <w:tcPr>
            <w:tcW w:w="7568" w:type="dxa"/>
            <w:vAlign w:val="center"/>
          </w:tcPr>
          <w:p w14:paraId="32E7ECB0">
            <w:pPr>
              <w:spacing w:line="560" w:lineRule="exact"/>
              <w:rPr>
                <w:rFonts w:hint="eastAsia" w:ascii="宋体" w:hAnsi="宋体" w:eastAsia="宋体" w:cs="宋体"/>
                <w:color w:val="auto"/>
                <w:sz w:val="24"/>
                <w:szCs w:val="24"/>
                <w:highlight w:val="none"/>
              </w:rPr>
            </w:pPr>
          </w:p>
        </w:tc>
      </w:tr>
      <w:tr w14:paraId="1FC913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794" w:type="dxa"/>
            <w:tcBorders>
              <w:left w:val="single" w:color="auto" w:sz="4" w:space="0"/>
            </w:tcBorders>
            <w:vAlign w:val="center"/>
          </w:tcPr>
          <w:p w14:paraId="79AF35CA">
            <w:pPr>
              <w:spacing w:line="560" w:lineRule="exact"/>
              <w:rPr>
                <w:rFonts w:hint="eastAsia" w:ascii="宋体" w:hAnsi="宋体" w:eastAsia="宋体" w:cs="宋体"/>
                <w:color w:val="auto"/>
                <w:sz w:val="24"/>
                <w:szCs w:val="24"/>
                <w:highlight w:val="none"/>
              </w:rPr>
            </w:pPr>
          </w:p>
        </w:tc>
        <w:tc>
          <w:tcPr>
            <w:tcW w:w="7568" w:type="dxa"/>
            <w:vAlign w:val="center"/>
          </w:tcPr>
          <w:p w14:paraId="611385EA">
            <w:pPr>
              <w:spacing w:line="560" w:lineRule="exact"/>
              <w:rPr>
                <w:rFonts w:hint="eastAsia" w:ascii="宋体" w:hAnsi="宋体" w:eastAsia="宋体" w:cs="宋体"/>
                <w:color w:val="auto"/>
                <w:sz w:val="24"/>
                <w:szCs w:val="24"/>
                <w:highlight w:val="none"/>
              </w:rPr>
            </w:pPr>
          </w:p>
        </w:tc>
      </w:tr>
      <w:tr w14:paraId="4AA115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794" w:type="dxa"/>
            <w:tcBorders>
              <w:left w:val="single" w:color="auto" w:sz="4" w:space="0"/>
            </w:tcBorders>
            <w:vAlign w:val="center"/>
          </w:tcPr>
          <w:p w14:paraId="08C18170">
            <w:pPr>
              <w:spacing w:line="560" w:lineRule="exact"/>
              <w:rPr>
                <w:rFonts w:hint="eastAsia" w:ascii="宋体" w:hAnsi="宋体" w:eastAsia="宋体" w:cs="宋体"/>
                <w:color w:val="auto"/>
                <w:sz w:val="24"/>
                <w:szCs w:val="24"/>
                <w:highlight w:val="none"/>
              </w:rPr>
            </w:pPr>
          </w:p>
        </w:tc>
        <w:tc>
          <w:tcPr>
            <w:tcW w:w="7568" w:type="dxa"/>
            <w:vAlign w:val="center"/>
          </w:tcPr>
          <w:p w14:paraId="728B2346">
            <w:pPr>
              <w:spacing w:line="560" w:lineRule="exact"/>
              <w:rPr>
                <w:rFonts w:hint="eastAsia" w:ascii="宋体" w:hAnsi="宋体" w:eastAsia="宋体" w:cs="宋体"/>
                <w:color w:val="auto"/>
                <w:sz w:val="24"/>
                <w:szCs w:val="24"/>
                <w:highlight w:val="none"/>
              </w:rPr>
            </w:pPr>
          </w:p>
        </w:tc>
      </w:tr>
      <w:tr w14:paraId="2F6F83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left w:val="single" w:color="auto" w:sz="4" w:space="0"/>
            </w:tcBorders>
            <w:vAlign w:val="center"/>
          </w:tcPr>
          <w:p w14:paraId="64A51C9F">
            <w:pPr>
              <w:spacing w:line="560" w:lineRule="exact"/>
              <w:rPr>
                <w:rFonts w:hint="eastAsia" w:ascii="宋体" w:hAnsi="宋体" w:eastAsia="宋体" w:cs="宋体"/>
                <w:color w:val="auto"/>
                <w:sz w:val="24"/>
                <w:szCs w:val="24"/>
                <w:highlight w:val="none"/>
              </w:rPr>
            </w:pPr>
          </w:p>
        </w:tc>
        <w:tc>
          <w:tcPr>
            <w:tcW w:w="7568" w:type="dxa"/>
            <w:vAlign w:val="center"/>
          </w:tcPr>
          <w:p w14:paraId="41CA5680">
            <w:pPr>
              <w:spacing w:line="560" w:lineRule="exact"/>
              <w:rPr>
                <w:rFonts w:hint="eastAsia" w:ascii="宋体" w:hAnsi="宋体" w:eastAsia="宋体" w:cs="宋体"/>
                <w:color w:val="auto"/>
                <w:sz w:val="24"/>
                <w:szCs w:val="24"/>
                <w:highlight w:val="none"/>
                <w:u w:val="single"/>
              </w:rPr>
            </w:pPr>
          </w:p>
        </w:tc>
      </w:tr>
      <w:tr w14:paraId="3E013D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left w:val="single" w:color="auto" w:sz="4" w:space="0"/>
            </w:tcBorders>
            <w:vAlign w:val="center"/>
          </w:tcPr>
          <w:p w14:paraId="09316856">
            <w:pPr>
              <w:spacing w:line="560" w:lineRule="exact"/>
              <w:rPr>
                <w:rFonts w:hint="eastAsia" w:ascii="宋体" w:hAnsi="宋体" w:eastAsia="宋体" w:cs="宋体"/>
                <w:color w:val="auto"/>
                <w:sz w:val="24"/>
                <w:szCs w:val="24"/>
                <w:highlight w:val="none"/>
              </w:rPr>
            </w:pPr>
          </w:p>
        </w:tc>
        <w:tc>
          <w:tcPr>
            <w:tcW w:w="7568" w:type="dxa"/>
            <w:vAlign w:val="center"/>
          </w:tcPr>
          <w:p w14:paraId="5CD2BDDA">
            <w:pPr>
              <w:spacing w:line="560" w:lineRule="exact"/>
              <w:rPr>
                <w:rFonts w:hint="eastAsia" w:ascii="宋体" w:hAnsi="宋体" w:eastAsia="宋体" w:cs="宋体"/>
                <w:color w:val="auto"/>
                <w:sz w:val="24"/>
                <w:szCs w:val="24"/>
                <w:highlight w:val="none"/>
              </w:rPr>
            </w:pPr>
          </w:p>
        </w:tc>
      </w:tr>
      <w:tr w14:paraId="3FED07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794" w:type="dxa"/>
            <w:tcBorders>
              <w:left w:val="single" w:color="auto" w:sz="4" w:space="0"/>
            </w:tcBorders>
            <w:vAlign w:val="center"/>
          </w:tcPr>
          <w:p w14:paraId="345B688D">
            <w:pPr>
              <w:spacing w:line="560" w:lineRule="exact"/>
              <w:rPr>
                <w:rFonts w:hint="eastAsia" w:ascii="宋体" w:hAnsi="宋体" w:eastAsia="宋体" w:cs="宋体"/>
                <w:color w:val="auto"/>
                <w:sz w:val="24"/>
                <w:szCs w:val="24"/>
                <w:highlight w:val="none"/>
              </w:rPr>
            </w:pPr>
          </w:p>
        </w:tc>
        <w:tc>
          <w:tcPr>
            <w:tcW w:w="7568" w:type="dxa"/>
            <w:vAlign w:val="center"/>
          </w:tcPr>
          <w:p w14:paraId="7E92421C">
            <w:pPr>
              <w:spacing w:line="560" w:lineRule="exact"/>
              <w:rPr>
                <w:rFonts w:hint="eastAsia" w:ascii="宋体" w:hAnsi="宋体" w:eastAsia="宋体" w:cs="宋体"/>
                <w:color w:val="auto"/>
                <w:sz w:val="24"/>
                <w:szCs w:val="24"/>
                <w:highlight w:val="none"/>
                <w:u w:val="single"/>
              </w:rPr>
            </w:pPr>
          </w:p>
        </w:tc>
      </w:tr>
      <w:tr w14:paraId="7AA8F8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left w:val="single" w:color="auto" w:sz="4" w:space="0"/>
            </w:tcBorders>
            <w:vAlign w:val="center"/>
          </w:tcPr>
          <w:p w14:paraId="43B5D46E">
            <w:pPr>
              <w:spacing w:line="560" w:lineRule="exact"/>
              <w:rPr>
                <w:rFonts w:hint="eastAsia" w:ascii="宋体" w:hAnsi="宋体" w:eastAsia="宋体" w:cs="宋体"/>
                <w:color w:val="auto"/>
                <w:sz w:val="24"/>
                <w:szCs w:val="24"/>
                <w:highlight w:val="none"/>
              </w:rPr>
            </w:pPr>
          </w:p>
        </w:tc>
        <w:tc>
          <w:tcPr>
            <w:tcW w:w="7568" w:type="dxa"/>
            <w:vAlign w:val="center"/>
          </w:tcPr>
          <w:p w14:paraId="4A52371D">
            <w:pPr>
              <w:spacing w:line="560" w:lineRule="exact"/>
              <w:rPr>
                <w:rFonts w:hint="eastAsia" w:ascii="宋体" w:hAnsi="宋体" w:eastAsia="宋体" w:cs="宋体"/>
                <w:color w:val="auto"/>
                <w:sz w:val="24"/>
                <w:szCs w:val="24"/>
                <w:highlight w:val="none"/>
              </w:rPr>
            </w:pPr>
          </w:p>
        </w:tc>
      </w:tr>
      <w:tr w14:paraId="220B96B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left w:val="single" w:color="auto" w:sz="4" w:space="0"/>
            </w:tcBorders>
            <w:vAlign w:val="center"/>
          </w:tcPr>
          <w:p w14:paraId="6CD534FB">
            <w:pPr>
              <w:spacing w:line="560" w:lineRule="exact"/>
              <w:rPr>
                <w:rFonts w:hint="eastAsia" w:ascii="宋体" w:hAnsi="宋体" w:eastAsia="宋体" w:cs="宋体"/>
                <w:color w:val="auto"/>
                <w:sz w:val="24"/>
                <w:szCs w:val="24"/>
                <w:highlight w:val="none"/>
              </w:rPr>
            </w:pPr>
          </w:p>
        </w:tc>
        <w:tc>
          <w:tcPr>
            <w:tcW w:w="7568" w:type="dxa"/>
            <w:vAlign w:val="center"/>
          </w:tcPr>
          <w:p w14:paraId="6035952A">
            <w:pPr>
              <w:spacing w:line="560" w:lineRule="exact"/>
              <w:rPr>
                <w:rFonts w:hint="eastAsia" w:ascii="宋体" w:hAnsi="宋体" w:eastAsia="宋体" w:cs="宋体"/>
                <w:color w:val="auto"/>
                <w:sz w:val="24"/>
                <w:szCs w:val="24"/>
                <w:highlight w:val="none"/>
              </w:rPr>
            </w:pPr>
          </w:p>
        </w:tc>
      </w:tr>
      <w:tr w14:paraId="00AFCF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left w:val="single" w:color="auto" w:sz="4" w:space="0"/>
            </w:tcBorders>
            <w:vAlign w:val="center"/>
          </w:tcPr>
          <w:p w14:paraId="45C13F9E">
            <w:pPr>
              <w:spacing w:line="560" w:lineRule="exact"/>
              <w:rPr>
                <w:rFonts w:hint="eastAsia" w:ascii="宋体" w:hAnsi="宋体" w:eastAsia="宋体" w:cs="宋体"/>
                <w:color w:val="auto"/>
                <w:sz w:val="24"/>
                <w:szCs w:val="24"/>
                <w:highlight w:val="none"/>
              </w:rPr>
            </w:pPr>
          </w:p>
        </w:tc>
        <w:tc>
          <w:tcPr>
            <w:tcW w:w="7568" w:type="dxa"/>
            <w:vAlign w:val="center"/>
          </w:tcPr>
          <w:p w14:paraId="3AE9AB17">
            <w:pPr>
              <w:spacing w:line="560" w:lineRule="exact"/>
              <w:rPr>
                <w:rFonts w:hint="eastAsia" w:ascii="宋体" w:hAnsi="宋体" w:eastAsia="宋体" w:cs="宋体"/>
                <w:color w:val="auto"/>
                <w:sz w:val="24"/>
                <w:szCs w:val="24"/>
                <w:highlight w:val="none"/>
              </w:rPr>
            </w:pPr>
          </w:p>
        </w:tc>
      </w:tr>
      <w:tr w14:paraId="3EE9C85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top w:val="single" w:color="auto" w:sz="6" w:space="0"/>
              <w:left w:val="single" w:color="auto" w:sz="4" w:space="0"/>
              <w:bottom w:val="single" w:color="auto" w:sz="6" w:space="0"/>
              <w:right w:val="single" w:color="auto" w:sz="6" w:space="0"/>
            </w:tcBorders>
            <w:vAlign w:val="center"/>
          </w:tcPr>
          <w:p w14:paraId="62A2E4F5">
            <w:pPr>
              <w:spacing w:line="560" w:lineRule="exact"/>
              <w:rPr>
                <w:rFonts w:hint="eastAsia" w:ascii="宋体" w:hAnsi="宋体" w:eastAsia="宋体" w:cs="宋体"/>
                <w:color w:val="auto"/>
                <w:sz w:val="24"/>
                <w:szCs w:val="24"/>
                <w:highlight w:val="none"/>
              </w:rPr>
            </w:pPr>
          </w:p>
        </w:tc>
        <w:tc>
          <w:tcPr>
            <w:tcW w:w="7568" w:type="dxa"/>
            <w:tcBorders>
              <w:top w:val="single" w:color="auto" w:sz="6" w:space="0"/>
              <w:left w:val="single" w:color="auto" w:sz="6" w:space="0"/>
              <w:bottom w:val="single" w:color="auto" w:sz="6" w:space="0"/>
              <w:right w:val="single" w:color="auto" w:sz="6" w:space="0"/>
            </w:tcBorders>
            <w:vAlign w:val="center"/>
          </w:tcPr>
          <w:p w14:paraId="0966F80C">
            <w:pPr>
              <w:spacing w:line="560" w:lineRule="exact"/>
              <w:rPr>
                <w:rFonts w:hint="eastAsia" w:ascii="宋体" w:hAnsi="宋体" w:eastAsia="宋体" w:cs="宋体"/>
                <w:color w:val="auto"/>
                <w:sz w:val="24"/>
                <w:szCs w:val="24"/>
                <w:highlight w:val="none"/>
              </w:rPr>
            </w:pPr>
          </w:p>
        </w:tc>
      </w:tr>
      <w:tr w14:paraId="504B17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top w:val="single" w:color="auto" w:sz="6" w:space="0"/>
              <w:left w:val="single" w:color="auto" w:sz="4" w:space="0"/>
              <w:bottom w:val="single" w:color="auto" w:sz="6" w:space="0"/>
              <w:right w:val="single" w:color="auto" w:sz="6" w:space="0"/>
            </w:tcBorders>
            <w:vAlign w:val="center"/>
          </w:tcPr>
          <w:p w14:paraId="0E06642C">
            <w:pPr>
              <w:spacing w:line="560" w:lineRule="exact"/>
              <w:rPr>
                <w:rFonts w:hint="eastAsia" w:ascii="宋体" w:hAnsi="宋体" w:eastAsia="宋体" w:cs="宋体"/>
                <w:color w:val="auto"/>
                <w:sz w:val="24"/>
                <w:szCs w:val="24"/>
                <w:highlight w:val="none"/>
              </w:rPr>
            </w:pPr>
          </w:p>
        </w:tc>
        <w:tc>
          <w:tcPr>
            <w:tcW w:w="7568" w:type="dxa"/>
            <w:tcBorders>
              <w:top w:val="single" w:color="auto" w:sz="6" w:space="0"/>
              <w:left w:val="single" w:color="auto" w:sz="6" w:space="0"/>
              <w:bottom w:val="single" w:color="auto" w:sz="6" w:space="0"/>
              <w:right w:val="single" w:color="auto" w:sz="6" w:space="0"/>
            </w:tcBorders>
            <w:vAlign w:val="center"/>
          </w:tcPr>
          <w:p w14:paraId="48D2113A">
            <w:pPr>
              <w:spacing w:line="560" w:lineRule="exact"/>
              <w:rPr>
                <w:rFonts w:hint="eastAsia" w:ascii="宋体" w:hAnsi="宋体" w:eastAsia="宋体" w:cs="宋体"/>
                <w:color w:val="auto"/>
                <w:sz w:val="24"/>
                <w:szCs w:val="24"/>
                <w:highlight w:val="none"/>
              </w:rPr>
            </w:pPr>
          </w:p>
        </w:tc>
      </w:tr>
    </w:tbl>
    <w:p w14:paraId="1FAB85DE">
      <w:pPr>
        <w:spacing w:line="360" w:lineRule="auto"/>
        <w:rPr>
          <w:rFonts w:asciiTheme="minorEastAsia" w:hAnsiTheme="minorEastAsia" w:eastAsiaTheme="minorEastAsia"/>
          <w:color w:val="auto"/>
          <w:sz w:val="24"/>
          <w:highlight w:val="none"/>
        </w:rPr>
      </w:pPr>
    </w:p>
    <w:p w14:paraId="02ABD43E">
      <w:pPr>
        <w:widowControl/>
        <w:jc w:val="left"/>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br w:type="page"/>
      </w:r>
    </w:p>
    <w:bookmarkEnd w:id="406"/>
    <w:p w14:paraId="557A8F2F">
      <w:pPr>
        <w:pStyle w:val="2"/>
        <w:keepNext/>
        <w:keepLines/>
        <w:pageBreakBefore w:val="0"/>
        <w:widowControl w:val="0"/>
        <w:numPr>
          <w:ilvl w:val="0"/>
          <w:numId w:val="0"/>
        </w:numPr>
        <w:kinsoku/>
        <w:wordWrap/>
        <w:overflowPunct/>
        <w:topLinePunct w:val="0"/>
        <w:autoSpaceDE/>
        <w:autoSpaceDN/>
        <w:bidi w:val="0"/>
        <w:adjustRightInd/>
        <w:snapToGrid/>
        <w:spacing w:before="100" w:after="90" w:line="360" w:lineRule="auto"/>
        <w:ind w:left="420" w:leftChars="0" w:hanging="420" w:firstLineChars="0"/>
        <w:textAlignment w:val="auto"/>
        <w:rPr>
          <w:rFonts w:hint="eastAsia" w:ascii="宋体" w:hAnsi="宋体" w:eastAsia="黑体" w:cstheme="minorBidi"/>
          <w:b/>
          <w:bCs/>
          <w:color w:val="auto"/>
          <w:kern w:val="44"/>
          <w:sz w:val="44"/>
          <w:szCs w:val="44"/>
          <w:highlight w:val="none"/>
          <w:lang w:val="en-US" w:eastAsia="zh-CN" w:bidi="ar-SA"/>
        </w:rPr>
      </w:pPr>
      <w:bookmarkStart w:id="591" w:name="_Toc155185919"/>
    </w:p>
    <w:p w14:paraId="72D513E7">
      <w:pPr>
        <w:pStyle w:val="2"/>
        <w:keepNext/>
        <w:keepLines/>
        <w:pageBreakBefore w:val="0"/>
        <w:widowControl w:val="0"/>
        <w:numPr>
          <w:ilvl w:val="0"/>
          <w:numId w:val="0"/>
        </w:numPr>
        <w:kinsoku/>
        <w:wordWrap/>
        <w:overflowPunct/>
        <w:topLinePunct w:val="0"/>
        <w:autoSpaceDE/>
        <w:autoSpaceDN/>
        <w:bidi w:val="0"/>
        <w:adjustRightInd/>
        <w:snapToGrid/>
        <w:spacing w:before="100" w:after="90" w:line="360" w:lineRule="auto"/>
        <w:ind w:left="420" w:leftChars="0" w:hanging="420" w:firstLineChars="0"/>
        <w:textAlignment w:val="auto"/>
        <w:rPr>
          <w:rFonts w:hint="eastAsia" w:ascii="宋体" w:hAnsi="宋体" w:eastAsia="黑体" w:cstheme="minorBidi"/>
          <w:b/>
          <w:bCs/>
          <w:color w:val="auto"/>
          <w:kern w:val="44"/>
          <w:sz w:val="44"/>
          <w:szCs w:val="44"/>
          <w:highlight w:val="none"/>
          <w:lang w:val="en-US" w:eastAsia="zh-CN" w:bidi="ar-SA"/>
        </w:rPr>
      </w:pPr>
    </w:p>
    <w:p w14:paraId="5CAF3138">
      <w:pPr>
        <w:pStyle w:val="2"/>
        <w:keepNext/>
        <w:keepLines/>
        <w:pageBreakBefore w:val="0"/>
        <w:widowControl w:val="0"/>
        <w:numPr>
          <w:ilvl w:val="0"/>
          <w:numId w:val="0"/>
        </w:numPr>
        <w:kinsoku/>
        <w:wordWrap/>
        <w:overflowPunct/>
        <w:topLinePunct w:val="0"/>
        <w:autoSpaceDE/>
        <w:autoSpaceDN/>
        <w:bidi w:val="0"/>
        <w:adjustRightInd/>
        <w:snapToGrid/>
        <w:spacing w:before="220" w:after="220" w:line="480" w:lineRule="auto"/>
        <w:ind w:left="420" w:leftChars="0" w:hanging="420" w:firstLineChars="0"/>
        <w:textAlignment w:val="auto"/>
        <w:rPr>
          <w:rFonts w:hint="eastAsia" w:ascii="宋体" w:hAnsi="宋体" w:eastAsia="宋体" w:cs="宋体"/>
          <w:b/>
          <w:bCs/>
          <w:color w:val="auto"/>
          <w:kern w:val="44"/>
          <w:sz w:val="36"/>
          <w:szCs w:val="36"/>
          <w:highlight w:val="none"/>
          <w:lang w:val="en-US" w:eastAsia="zh-CN" w:bidi="ar-SA"/>
        </w:rPr>
      </w:pPr>
      <w:bookmarkStart w:id="592" w:name="_Toc20007"/>
      <w:bookmarkStart w:id="593" w:name="_Toc15871"/>
      <w:r>
        <w:rPr>
          <w:rFonts w:hint="eastAsia" w:ascii="宋体" w:hAnsi="宋体" w:eastAsia="宋体" w:cs="宋体"/>
          <w:b/>
          <w:bCs/>
          <w:color w:val="auto"/>
          <w:kern w:val="44"/>
          <w:sz w:val="36"/>
          <w:szCs w:val="36"/>
          <w:highlight w:val="none"/>
          <w:lang w:val="en-US" w:eastAsia="zh-CN" w:bidi="ar-SA"/>
        </w:rPr>
        <w:t>第七章 投标文件格式</w:t>
      </w:r>
      <w:bookmarkEnd w:id="591"/>
      <w:bookmarkEnd w:id="592"/>
      <w:bookmarkEnd w:id="593"/>
    </w:p>
    <w:p w14:paraId="20B1063D">
      <w:pPr>
        <w:ind w:left="240" w:leftChars="100" w:firstLine="480" w:firstLineChars="200"/>
        <w:rPr>
          <w:rFonts w:cs="仿宋_GB2312"/>
          <w:color w:val="auto"/>
          <w:szCs w:val="24"/>
          <w:highlight w:val="none"/>
        </w:rPr>
      </w:pPr>
    </w:p>
    <w:p w14:paraId="29D44C55">
      <w:pPr>
        <w:pStyle w:val="60"/>
        <w:keepNext w:val="0"/>
        <w:keepLines w:val="0"/>
        <w:pageBreakBefore w:val="0"/>
        <w:widowControl/>
        <w:shd w:val="clear" w:color="auto" w:fill="auto"/>
        <w:kinsoku/>
        <w:wordWrap/>
        <w:overflowPunct/>
        <w:topLinePunct w:val="0"/>
        <w:autoSpaceDE/>
        <w:autoSpaceDN/>
        <w:bidi w:val="0"/>
        <w:adjustRightInd/>
        <w:snapToGrid/>
        <w:spacing w:afterAutospacing="0" w:line="360" w:lineRule="exact"/>
        <w:textAlignment w:val="auto"/>
        <w:rPr>
          <w:rFonts w:hint="eastAsia" w:ascii="宋体" w:hAnsi="宋体" w:eastAsia="宋体" w:cs="宋体"/>
          <w:b/>
          <w:bCs/>
          <w:color w:val="auto"/>
          <w:highlight w:val="none"/>
          <w:lang w:val="en-US" w:eastAsia="zh-CN"/>
        </w:rPr>
      </w:pPr>
    </w:p>
    <w:p w14:paraId="244DD0F1">
      <w:pPr>
        <w:pStyle w:val="60"/>
        <w:keepNext w:val="0"/>
        <w:keepLines w:val="0"/>
        <w:pageBreakBefore w:val="0"/>
        <w:widowControl/>
        <w:shd w:val="clear" w:color="auto" w:fill="auto"/>
        <w:kinsoku/>
        <w:wordWrap/>
        <w:overflowPunct/>
        <w:topLinePunct w:val="0"/>
        <w:autoSpaceDE/>
        <w:autoSpaceDN/>
        <w:bidi w:val="0"/>
        <w:adjustRightInd/>
        <w:snapToGrid/>
        <w:spacing w:afterAutospacing="0" w:line="360" w:lineRule="exact"/>
        <w:textAlignment w:val="auto"/>
        <w:rPr>
          <w:rFonts w:hint="eastAsia" w:ascii="宋体" w:hAnsi="宋体" w:eastAsia="宋体" w:cs="宋体"/>
          <w:b/>
          <w:bCs/>
          <w:color w:val="auto"/>
          <w:highlight w:val="none"/>
          <w:lang w:val="en-US" w:eastAsia="zh-CN"/>
        </w:rPr>
      </w:pPr>
    </w:p>
    <w:p w14:paraId="09EDECB5">
      <w:pPr>
        <w:pStyle w:val="60"/>
        <w:keepNext w:val="0"/>
        <w:keepLines w:val="0"/>
        <w:pageBreakBefore w:val="0"/>
        <w:widowControl/>
        <w:shd w:val="clear" w:color="auto" w:fill="auto"/>
        <w:kinsoku/>
        <w:wordWrap/>
        <w:overflowPunct/>
        <w:topLinePunct w:val="0"/>
        <w:autoSpaceDE/>
        <w:autoSpaceDN/>
        <w:bidi w:val="0"/>
        <w:adjustRightInd/>
        <w:snapToGrid/>
        <w:spacing w:afterAutospacing="0" w:line="360" w:lineRule="exact"/>
        <w:textAlignment w:val="auto"/>
        <w:rPr>
          <w:rFonts w:hint="eastAsia" w:ascii="宋体" w:hAnsi="宋体" w:eastAsia="宋体" w:cs="宋体"/>
          <w:b/>
          <w:bCs/>
          <w:color w:val="auto"/>
          <w:highlight w:val="none"/>
          <w:lang w:val="en-US" w:eastAsia="zh-CN"/>
        </w:rPr>
      </w:pPr>
    </w:p>
    <w:p w14:paraId="75F9B001">
      <w:pPr>
        <w:pStyle w:val="60"/>
        <w:keepNext w:val="0"/>
        <w:keepLines w:val="0"/>
        <w:pageBreakBefore w:val="0"/>
        <w:widowControl/>
        <w:shd w:val="clear" w:color="auto" w:fill="auto"/>
        <w:kinsoku/>
        <w:wordWrap/>
        <w:overflowPunct/>
        <w:topLinePunct w:val="0"/>
        <w:autoSpaceDE/>
        <w:autoSpaceDN/>
        <w:bidi w:val="0"/>
        <w:adjustRightInd/>
        <w:snapToGrid/>
        <w:spacing w:afterAutospacing="0" w:line="360" w:lineRule="exact"/>
        <w:textAlignment w:val="auto"/>
        <w:rPr>
          <w:rFonts w:hint="eastAsia" w:ascii="宋体" w:hAnsi="宋体" w:eastAsia="宋体" w:cs="宋体"/>
          <w:b/>
          <w:bCs/>
          <w:color w:val="auto"/>
          <w:highlight w:val="none"/>
          <w:lang w:val="en-US" w:eastAsia="zh-CN"/>
        </w:rPr>
      </w:pPr>
    </w:p>
    <w:p w14:paraId="12E1D158">
      <w:pPr>
        <w:pStyle w:val="60"/>
        <w:keepNext w:val="0"/>
        <w:keepLines w:val="0"/>
        <w:pageBreakBefore w:val="0"/>
        <w:widowControl/>
        <w:shd w:val="clear" w:color="auto" w:fill="auto"/>
        <w:kinsoku/>
        <w:wordWrap/>
        <w:overflowPunct/>
        <w:topLinePunct w:val="0"/>
        <w:autoSpaceDE/>
        <w:autoSpaceDN/>
        <w:bidi w:val="0"/>
        <w:adjustRightInd/>
        <w:snapToGrid/>
        <w:spacing w:afterAutospacing="0" w:line="360" w:lineRule="exact"/>
        <w:textAlignment w:val="auto"/>
        <w:rPr>
          <w:rFonts w:hint="eastAsia" w:ascii="宋体" w:hAnsi="宋体" w:eastAsia="宋体" w:cs="宋体"/>
          <w:b/>
          <w:bCs/>
          <w:color w:val="auto"/>
          <w:highlight w:val="none"/>
          <w:lang w:val="en-US" w:eastAsia="zh-CN"/>
        </w:rPr>
      </w:pPr>
    </w:p>
    <w:p w14:paraId="4E6822E5">
      <w:pPr>
        <w:pStyle w:val="60"/>
        <w:keepNext w:val="0"/>
        <w:keepLines w:val="0"/>
        <w:pageBreakBefore w:val="0"/>
        <w:widowControl/>
        <w:shd w:val="clear" w:color="auto" w:fill="auto"/>
        <w:kinsoku/>
        <w:wordWrap/>
        <w:overflowPunct/>
        <w:topLinePunct w:val="0"/>
        <w:autoSpaceDE/>
        <w:autoSpaceDN/>
        <w:bidi w:val="0"/>
        <w:adjustRightInd/>
        <w:snapToGrid/>
        <w:spacing w:afterAutospacing="0" w:line="360" w:lineRule="exact"/>
        <w:textAlignment w:val="auto"/>
        <w:rPr>
          <w:rFonts w:hint="eastAsia" w:ascii="宋体" w:hAnsi="宋体" w:eastAsia="宋体" w:cs="宋体"/>
          <w:b/>
          <w:bCs/>
          <w:color w:val="auto"/>
          <w:highlight w:val="none"/>
          <w:lang w:val="en-US" w:eastAsia="zh-CN"/>
        </w:rPr>
      </w:pPr>
    </w:p>
    <w:p w14:paraId="62CA045B">
      <w:pPr>
        <w:pStyle w:val="60"/>
        <w:keepNext w:val="0"/>
        <w:keepLines w:val="0"/>
        <w:pageBreakBefore w:val="0"/>
        <w:widowControl/>
        <w:shd w:val="clear" w:color="auto" w:fill="auto"/>
        <w:kinsoku/>
        <w:wordWrap/>
        <w:overflowPunct/>
        <w:topLinePunct w:val="0"/>
        <w:autoSpaceDE/>
        <w:autoSpaceDN/>
        <w:bidi w:val="0"/>
        <w:adjustRightInd/>
        <w:snapToGrid/>
        <w:spacing w:afterAutospacing="0" w:line="360" w:lineRule="exact"/>
        <w:textAlignment w:val="auto"/>
        <w:rPr>
          <w:rFonts w:hint="eastAsia" w:ascii="宋体" w:hAnsi="宋体" w:eastAsia="宋体" w:cs="宋体"/>
          <w:b/>
          <w:bCs/>
          <w:color w:val="auto"/>
          <w:highlight w:val="none"/>
          <w:lang w:val="en-US" w:eastAsia="zh-CN"/>
        </w:rPr>
      </w:pPr>
    </w:p>
    <w:p w14:paraId="3893E9FD">
      <w:pPr>
        <w:pStyle w:val="60"/>
        <w:keepNext w:val="0"/>
        <w:keepLines w:val="0"/>
        <w:pageBreakBefore w:val="0"/>
        <w:widowControl/>
        <w:shd w:val="clear" w:color="auto" w:fill="auto"/>
        <w:kinsoku/>
        <w:wordWrap/>
        <w:overflowPunct/>
        <w:topLinePunct w:val="0"/>
        <w:autoSpaceDE/>
        <w:autoSpaceDN/>
        <w:bidi w:val="0"/>
        <w:adjustRightInd/>
        <w:snapToGrid/>
        <w:spacing w:afterAutospacing="0" w:line="360" w:lineRule="exact"/>
        <w:textAlignment w:val="auto"/>
        <w:rPr>
          <w:rFonts w:hint="eastAsia" w:ascii="宋体" w:hAnsi="宋体" w:eastAsia="宋体" w:cs="宋体"/>
          <w:b/>
          <w:bCs/>
          <w:color w:val="auto"/>
          <w:highlight w:val="none"/>
          <w:lang w:val="en-US" w:eastAsia="zh-CN"/>
        </w:rPr>
      </w:pPr>
    </w:p>
    <w:p w14:paraId="495452EF">
      <w:pPr>
        <w:pStyle w:val="60"/>
        <w:keepNext w:val="0"/>
        <w:keepLines w:val="0"/>
        <w:pageBreakBefore w:val="0"/>
        <w:widowControl/>
        <w:shd w:val="clear" w:color="auto" w:fill="auto"/>
        <w:kinsoku/>
        <w:wordWrap/>
        <w:overflowPunct/>
        <w:topLinePunct w:val="0"/>
        <w:autoSpaceDE/>
        <w:autoSpaceDN/>
        <w:bidi w:val="0"/>
        <w:adjustRightInd/>
        <w:snapToGrid/>
        <w:spacing w:afterAutospacing="0" w:line="360" w:lineRule="exact"/>
        <w:textAlignment w:val="auto"/>
        <w:rPr>
          <w:rFonts w:hint="eastAsia" w:ascii="宋体" w:hAnsi="宋体" w:eastAsia="宋体" w:cs="宋体"/>
          <w:b/>
          <w:bCs/>
          <w:color w:val="auto"/>
          <w:highlight w:val="none"/>
          <w:lang w:val="en-US" w:eastAsia="zh-CN"/>
        </w:rPr>
      </w:pPr>
    </w:p>
    <w:p w14:paraId="0AA66CC1">
      <w:pPr>
        <w:pStyle w:val="60"/>
        <w:keepNext w:val="0"/>
        <w:keepLines w:val="0"/>
        <w:pageBreakBefore w:val="0"/>
        <w:widowControl/>
        <w:shd w:val="clear" w:color="auto" w:fill="auto"/>
        <w:kinsoku/>
        <w:wordWrap/>
        <w:overflowPunct/>
        <w:topLinePunct w:val="0"/>
        <w:autoSpaceDE/>
        <w:autoSpaceDN/>
        <w:bidi w:val="0"/>
        <w:adjustRightInd/>
        <w:snapToGrid/>
        <w:spacing w:afterAutospacing="0" w:line="360" w:lineRule="exact"/>
        <w:textAlignment w:val="auto"/>
        <w:rPr>
          <w:rFonts w:hint="eastAsia" w:ascii="宋体" w:hAnsi="宋体" w:eastAsia="宋体" w:cs="宋体"/>
          <w:b/>
          <w:bCs/>
          <w:color w:val="auto"/>
          <w:highlight w:val="none"/>
          <w:lang w:val="en-US" w:eastAsia="zh-CN"/>
        </w:rPr>
      </w:pPr>
    </w:p>
    <w:p w14:paraId="369FA17D">
      <w:pPr>
        <w:pStyle w:val="60"/>
        <w:keepNext w:val="0"/>
        <w:keepLines w:val="0"/>
        <w:pageBreakBefore w:val="0"/>
        <w:widowControl/>
        <w:shd w:val="clear" w:color="auto" w:fill="auto"/>
        <w:kinsoku/>
        <w:wordWrap/>
        <w:overflowPunct/>
        <w:topLinePunct w:val="0"/>
        <w:autoSpaceDE/>
        <w:autoSpaceDN/>
        <w:bidi w:val="0"/>
        <w:adjustRightInd/>
        <w:snapToGrid/>
        <w:spacing w:afterAutospacing="0" w:line="360" w:lineRule="exact"/>
        <w:textAlignment w:val="auto"/>
        <w:rPr>
          <w:rFonts w:hint="eastAsia" w:ascii="宋体" w:hAnsi="宋体" w:eastAsia="宋体" w:cs="宋体"/>
          <w:b/>
          <w:bCs/>
          <w:color w:val="auto"/>
          <w:highlight w:val="none"/>
          <w:lang w:val="en-US" w:eastAsia="zh-CN"/>
        </w:rPr>
      </w:pPr>
    </w:p>
    <w:p w14:paraId="572E3CAE">
      <w:pPr>
        <w:pStyle w:val="60"/>
        <w:keepNext w:val="0"/>
        <w:keepLines w:val="0"/>
        <w:pageBreakBefore w:val="0"/>
        <w:widowControl/>
        <w:shd w:val="clear" w:color="auto" w:fill="auto"/>
        <w:kinsoku/>
        <w:wordWrap/>
        <w:overflowPunct/>
        <w:topLinePunct w:val="0"/>
        <w:autoSpaceDE/>
        <w:autoSpaceDN/>
        <w:bidi w:val="0"/>
        <w:adjustRightInd/>
        <w:snapToGrid/>
        <w:spacing w:afterAutospacing="0" w:line="360" w:lineRule="exact"/>
        <w:textAlignment w:val="auto"/>
        <w:rPr>
          <w:rFonts w:hint="eastAsia" w:ascii="宋体" w:hAnsi="宋体" w:eastAsia="宋体" w:cs="宋体"/>
          <w:b/>
          <w:bCs/>
          <w:color w:val="auto"/>
          <w:highlight w:val="none"/>
          <w:lang w:val="en-US" w:eastAsia="zh-CN"/>
        </w:rPr>
      </w:pPr>
    </w:p>
    <w:p w14:paraId="5565C3EB">
      <w:pPr>
        <w:pStyle w:val="60"/>
        <w:keepNext w:val="0"/>
        <w:keepLines w:val="0"/>
        <w:pageBreakBefore w:val="0"/>
        <w:widowControl/>
        <w:shd w:val="clear" w:color="auto" w:fill="auto"/>
        <w:kinsoku/>
        <w:wordWrap/>
        <w:overflowPunct/>
        <w:topLinePunct w:val="0"/>
        <w:autoSpaceDE/>
        <w:autoSpaceDN/>
        <w:bidi w:val="0"/>
        <w:adjustRightInd/>
        <w:snapToGrid/>
        <w:spacing w:afterAutospacing="0" w:line="360" w:lineRule="exact"/>
        <w:textAlignment w:val="auto"/>
        <w:rPr>
          <w:rFonts w:hint="eastAsia" w:ascii="宋体" w:hAnsi="宋体" w:eastAsia="宋体" w:cs="宋体"/>
          <w:b/>
          <w:bCs/>
          <w:color w:val="auto"/>
          <w:highlight w:val="none"/>
          <w:lang w:val="en-US" w:eastAsia="zh-CN"/>
        </w:rPr>
      </w:pPr>
    </w:p>
    <w:p w14:paraId="07DA079A">
      <w:pPr>
        <w:pStyle w:val="60"/>
        <w:keepNext w:val="0"/>
        <w:keepLines w:val="0"/>
        <w:pageBreakBefore w:val="0"/>
        <w:widowControl/>
        <w:shd w:val="clear" w:color="auto" w:fill="auto"/>
        <w:kinsoku/>
        <w:wordWrap/>
        <w:overflowPunct/>
        <w:topLinePunct w:val="0"/>
        <w:autoSpaceDE/>
        <w:autoSpaceDN/>
        <w:bidi w:val="0"/>
        <w:adjustRightInd/>
        <w:snapToGrid/>
        <w:spacing w:afterAutospacing="0" w:line="360" w:lineRule="exact"/>
        <w:textAlignment w:val="auto"/>
        <w:rPr>
          <w:rFonts w:hint="eastAsia" w:ascii="宋体" w:hAnsi="宋体" w:eastAsia="宋体" w:cs="宋体"/>
          <w:b/>
          <w:bCs/>
          <w:color w:val="auto"/>
          <w:highlight w:val="none"/>
          <w:lang w:val="en-US" w:eastAsia="zh-CN"/>
        </w:rPr>
      </w:pPr>
    </w:p>
    <w:p w14:paraId="6E15166A">
      <w:pPr>
        <w:pStyle w:val="60"/>
        <w:keepNext w:val="0"/>
        <w:keepLines w:val="0"/>
        <w:pageBreakBefore w:val="0"/>
        <w:widowControl/>
        <w:shd w:val="clear" w:color="auto" w:fill="auto"/>
        <w:kinsoku/>
        <w:wordWrap/>
        <w:overflowPunct/>
        <w:topLinePunct w:val="0"/>
        <w:autoSpaceDE/>
        <w:autoSpaceDN/>
        <w:bidi w:val="0"/>
        <w:adjustRightInd/>
        <w:snapToGrid/>
        <w:spacing w:afterAutospacing="0" w:line="360" w:lineRule="exact"/>
        <w:textAlignment w:val="auto"/>
        <w:rPr>
          <w:rFonts w:hint="eastAsia" w:ascii="宋体" w:hAnsi="宋体" w:eastAsia="宋体" w:cs="宋体"/>
          <w:b/>
          <w:bCs/>
          <w:color w:val="auto"/>
          <w:highlight w:val="none"/>
          <w:lang w:val="en-US" w:eastAsia="zh-CN"/>
        </w:rPr>
      </w:pPr>
    </w:p>
    <w:p w14:paraId="63A9983C">
      <w:pPr>
        <w:pStyle w:val="60"/>
        <w:keepNext w:val="0"/>
        <w:keepLines w:val="0"/>
        <w:pageBreakBefore w:val="0"/>
        <w:widowControl/>
        <w:shd w:val="clear" w:color="auto" w:fill="auto"/>
        <w:kinsoku/>
        <w:wordWrap/>
        <w:overflowPunct/>
        <w:topLinePunct w:val="0"/>
        <w:autoSpaceDE/>
        <w:autoSpaceDN/>
        <w:bidi w:val="0"/>
        <w:adjustRightInd/>
        <w:snapToGrid/>
        <w:spacing w:afterAutospacing="0" w:line="360" w:lineRule="exact"/>
        <w:textAlignment w:val="auto"/>
        <w:rPr>
          <w:rFonts w:hint="eastAsia" w:ascii="宋体" w:hAnsi="宋体" w:eastAsia="宋体" w:cs="宋体"/>
          <w:b/>
          <w:bCs/>
          <w:color w:val="auto"/>
          <w:highlight w:val="none"/>
          <w:lang w:val="en-US" w:eastAsia="zh-CN"/>
        </w:rPr>
      </w:pPr>
    </w:p>
    <w:p w14:paraId="748F8DEC">
      <w:pPr>
        <w:pStyle w:val="60"/>
        <w:keepNext w:val="0"/>
        <w:keepLines w:val="0"/>
        <w:pageBreakBefore w:val="0"/>
        <w:widowControl/>
        <w:shd w:val="clear" w:color="auto" w:fill="auto"/>
        <w:kinsoku/>
        <w:wordWrap/>
        <w:overflowPunct/>
        <w:topLinePunct w:val="0"/>
        <w:autoSpaceDE/>
        <w:autoSpaceDN/>
        <w:bidi w:val="0"/>
        <w:adjustRightInd/>
        <w:snapToGrid/>
        <w:spacing w:afterAutospacing="0" w:line="360" w:lineRule="exact"/>
        <w:textAlignment w:val="auto"/>
        <w:rPr>
          <w:rFonts w:hint="eastAsia" w:ascii="宋体" w:hAnsi="宋体" w:eastAsia="宋体" w:cs="宋体"/>
          <w:b/>
          <w:bCs/>
          <w:color w:val="auto"/>
          <w:highlight w:val="none"/>
          <w:lang w:val="en-US" w:eastAsia="zh-CN"/>
        </w:rPr>
      </w:pPr>
    </w:p>
    <w:p w14:paraId="6F52A8AF">
      <w:pPr>
        <w:pStyle w:val="60"/>
        <w:keepNext w:val="0"/>
        <w:keepLines w:val="0"/>
        <w:pageBreakBefore w:val="0"/>
        <w:widowControl/>
        <w:shd w:val="clear" w:color="auto" w:fill="auto"/>
        <w:kinsoku/>
        <w:wordWrap/>
        <w:overflowPunct/>
        <w:topLinePunct w:val="0"/>
        <w:autoSpaceDE/>
        <w:autoSpaceDN/>
        <w:bidi w:val="0"/>
        <w:adjustRightInd/>
        <w:snapToGrid/>
        <w:spacing w:afterAutospacing="0" w:line="360" w:lineRule="exact"/>
        <w:textAlignment w:val="auto"/>
        <w:rPr>
          <w:rFonts w:hint="eastAsia" w:ascii="宋体" w:hAnsi="宋体" w:eastAsia="宋体" w:cs="宋体"/>
          <w:b/>
          <w:bCs/>
          <w:color w:val="auto"/>
          <w:highlight w:val="none"/>
          <w:lang w:val="en-US" w:eastAsia="zh-CN"/>
        </w:rPr>
      </w:pPr>
    </w:p>
    <w:p w14:paraId="42FC05CF">
      <w:pPr>
        <w:pStyle w:val="60"/>
        <w:keepNext w:val="0"/>
        <w:keepLines w:val="0"/>
        <w:pageBreakBefore w:val="0"/>
        <w:widowControl/>
        <w:shd w:val="clear" w:color="auto" w:fill="auto"/>
        <w:kinsoku/>
        <w:wordWrap/>
        <w:overflowPunct/>
        <w:topLinePunct w:val="0"/>
        <w:autoSpaceDE/>
        <w:autoSpaceDN/>
        <w:bidi w:val="0"/>
        <w:adjustRightInd/>
        <w:snapToGrid/>
        <w:spacing w:afterAutospacing="0" w:line="360" w:lineRule="exact"/>
        <w:textAlignment w:val="auto"/>
        <w:rPr>
          <w:rFonts w:hint="eastAsia" w:ascii="宋体" w:hAnsi="宋体" w:eastAsia="宋体" w:cs="宋体"/>
          <w:b/>
          <w:bCs/>
          <w:color w:val="auto"/>
          <w:highlight w:val="none"/>
          <w:lang w:val="en-US" w:eastAsia="zh-CN"/>
        </w:rPr>
      </w:pPr>
    </w:p>
    <w:p w14:paraId="761F2B5A">
      <w:pPr>
        <w:pStyle w:val="60"/>
        <w:keepNext w:val="0"/>
        <w:keepLines w:val="0"/>
        <w:pageBreakBefore w:val="0"/>
        <w:widowControl/>
        <w:shd w:val="clear" w:color="auto" w:fill="auto"/>
        <w:kinsoku/>
        <w:wordWrap/>
        <w:overflowPunct/>
        <w:topLinePunct w:val="0"/>
        <w:autoSpaceDE/>
        <w:autoSpaceDN/>
        <w:bidi w:val="0"/>
        <w:adjustRightInd/>
        <w:snapToGrid/>
        <w:spacing w:afterAutospacing="0" w:line="360" w:lineRule="exact"/>
        <w:textAlignment w:val="auto"/>
        <w:rPr>
          <w:rFonts w:hint="eastAsia" w:ascii="宋体" w:hAnsi="宋体" w:eastAsia="宋体" w:cs="宋体"/>
          <w:b/>
          <w:bCs/>
          <w:color w:val="auto"/>
          <w:highlight w:val="none"/>
          <w:lang w:val="en-US" w:eastAsia="zh-CN"/>
        </w:rPr>
      </w:pPr>
    </w:p>
    <w:p w14:paraId="599474F0">
      <w:pPr>
        <w:pStyle w:val="60"/>
        <w:keepNext w:val="0"/>
        <w:keepLines w:val="0"/>
        <w:pageBreakBefore w:val="0"/>
        <w:widowControl/>
        <w:shd w:val="clear" w:color="auto" w:fill="auto"/>
        <w:kinsoku/>
        <w:wordWrap/>
        <w:overflowPunct/>
        <w:topLinePunct w:val="0"/>
        <w:autoSpaceDE/>
        <w:autoSpaceDN/>
        <w:bidi w:val="0"/>
        <w:adjustRightInd/>
        <w:snapToGrid/>
        <w:spacing w:afterAutospacing="0" w:line="360" w:lineRule="exact"/>
        <w:textAlignment w:val="auto"/>
        <w:rPr>
          <w:rFonts w:hint="eastAsia" w:ascii="宋体" w:hAnsi="宋体" w:eastAsia="宋体" w:cs="宋体"/>
          <w:b/>
          <w:bCs/>
          <w:color w:val="auto"/>
          <w:highlight w:val="none"/>
          <w:lang w:val="en-US" w:eastAsia="zh-CN"/>
        </w:rPr>
      </w:pPr>
    </w:p>
    <w:p w14:paraId="5390F1A2">
      <w:pPr>
        <w:pStyle w:val="60"/>
        <w:keepNext w:val="0"/>
        <w:keepLines w:val="0"/>
        <w:pageBreakBefore w:val="0"/>
        <w:widowControl/>
        <w:shd w:val="clear" w:color="auto" w:fill="auto"/>
        <w:kinsoku/>
        <w:wordWrap/>
        <w:overflowPunct/>
        <w:topLinePunct w:val="0"/>
        <w:autoSpaceDE/>
        <w:autoSpaceDN/>
        <w:bidi w:val="0"/>
        <w:adjustRightInd/>
        <w:snapToGrid/>
        <w:spacing w:afterAutospacing="0" w:line="360" w:lineRule="exact"/>
        <w:textAlignment w:val="auto"/>
        <w:rPr>
          <w:rFonts w:hint="eastAsia" w:ascii="宋体" w:hAnsi="宋体" w:eastAsia="宋体" w:cs="宋体"/>
          <w:b/>
          <w:bCs/>
          <w:color w:val="auto"/>
          <w:highlight w:val="none"/>
          <w:lang w:val="en-US" w:eastAsia="zh-CN"/>
        </w:rPr>
      </w:pPr>
    </w:p>
    <w:p w14:paraId="4A93A46C">
      <w:pPr>
        <w:pStyle w:val="60"/>
        <w:keepNext w:val="0"/>
        <w:keepLines w:val="0"/>
        <w:pageBreakBefore w:val="0"/>
        <w:widowControl/>
        <w:shd w:val="clear" w:color="auto" w:fill="auto"/>
        <w:kinsoku/>
        <w:wordWrap/>
        <w:overflowPunct/>
        <w:topLinePunct w:val="0"/>
        <w:autoSpaceDE/>
        <w:autoSpaceDN/>
        <w:bidi w:val="0"/>
        <w:adjustRightInd/>
        <w:snapToGrid/>
        <w:spacing w:afterAutospacing="0" w:line="360" w:lineRule="exact"/>
        <w:textAlignment w:val="auto"/>
        <w:rPr>
          <w:rFonts w:hint="eastAsia" w:ascii="宋体" w:hAnsi="宋体" w:eastAsia="宋体" w:cs="宋体"/>
          <w:b/>
          <w:bCs/>
          <w:color w:val="auto"/>
          <w:highlight w:val="none"/>
          <w:lang w:val="en-US" w:eastAsia="zh-CN"/>
        </w:rPr>
      </w:pPr>
    </w:p>
    <w:p w14:paraId="3C290983">
      <w:pPr>
        <w:pStyle w:val="60"/>
        <w:keepNext w:val="0"/>
        <w:keepLines w:val="0"/>
        <w:pageBreakBefore w:val="0"/>
        <w:widowControl/>
        <w:shd w:val="clear" w:color="auto" w:fill="auto"/>
        <w:kinsoku/>
        <w:wordWrap/>
        <w:overflowPunct/>
        <w:topLinePunct w:val="0"/>
        <w:autoSpaceDE/>
        <w:autoSpaceDN/>
        <w:bidi w:val="0"/>
        <w:adjustRightInd/>
        <w:snapToGrid/>
        <w:spacing w:afterAutospacing="0" w:line="360" w:lineRule="exact"/>
        <w:textAlignment w:val="auto"/>
        <w:rPr>
          <w:rFonts w:hint="eastAsia" w:ascii="宋体" w:hAnsi="宋体" w:eastAsia="宋体" w:cs="宋体"/>
          <w:b/>
          <w:bCs/>
          <w:color w:val="auto"/>
          <w:highlight w:val="none"/>
          <w:lang w:val="en-US" w:eastAsia="zh-CN"/>
        </w:rPr>
      </w:pPr>
    </w:p>
    <w:p w14:paraId="155D68F1">
      <w:pPr>
        <w:pStyle w:val="60"/>
        <w:keepNext w:val="0"/>
        <w:keepLines w:val="0"/>
        <w:pageBreakBefore w:val="0"/>
        <w:widowControl/>
        <w:shd w:val="clear" w:color="auto" w:fill="auto"/>
        <w:kinsoku/>
        <w:wordWrap/>
        <w:overflowPunct/>
        <w:topLinePunct w:val="0"/>
        <w:autoSpaceDE/>
        <w:autoSpaceDN/>
        <w:bidi w:val="0"/>
        <w:adjustRightInd/>
        <w:snapToGrid/>
        <w:spacing w:afterAutospacing="0" w:line="360" w:lineRule="exact"/>
        <w:textAlignment w:val="auto"/>
        <w:rPr>
          <w:rFonts w:hint="eastAsia" w:ascii="宋体" w:hAnsi="宋体" w:eastAsia="宋体" w:cs="宋体"/>
          <w:b/>
          <w:bCs/>
          <w:color w:val="auto"/>
          <w:highlight w:val="none"/>
          <w:lang w:val="en-US" w:eastAsia="zh-CN"/>
        </w:rPr>
      </w:pPr>
    </w:p>
    <w:p w14:paraId="1025489F">
      <w:pPr>
        <w:pStyle w:val="60"/>
        <w:keepNext w:val="0"/>
        <w:keepLines w:val="0"/>
        <w:pageBreakBefore w:val="0"/>
        <w:widowControl/>
        <w:shd w:val="clear" w:color="auto" w:fill="auto"/>
        <w:kinsoku/>
        <w:wordWrap/>
        <w:overflowPunct/>
        <w:topLinePunct w:val="0"/>
        <w:autoSpaceDE/>
        <w:autoSpaceDN/>
        <w:bidi w:val="0"/>
        <w:adjustRightInd/>
        <w:snapToGrid/>
        <w:spacing w:afterAutospacing="0" w:line="360" w:lineRule="exact"/>
        <w:textAlignment w:val="auto"/>
        <w:rPr>
          <w:rFonts w:hint="eastAsia" w:ascii="宋体" w:hAnsi="宋体" w:eastAsia="宋体" w:cs="宋体"/>
          <w:b/>
          <w:bCs/>
          <w:color w:val="auto"/>
          <w:highlight w:val="none"/>
          <w:lang w:val="en-US" w:eastAsia="zh-CN"/>
        </w:rPr>
      </w:pPr>
    </w:p>
    <w:p w14:paraId="308F138C">
      <w:pPr>
        <w:pStyle w:val="60"/>
        <w:keepNext w:val="0"/>
        <w:keepLines w:val="0"/>
        <w:pageBreakBefore w:val="0"/>
        <w:widowControl/>
        <w:shd w:val="clear" w:color="auto" w:fill="auto"/>
        <w:kinsoku/>
        <w:wordWrap/>
        <w:overflowPunct/>
        <w:topLinePunct w:val="0"/>
        <w:autoSpaceDE/>
        <w:autoSpaceDN/>
        <w:bidi w:val="0"/>
        <w:adjustRightInd/>
        <w:snapToGrid/>
        <w:spacing w:afterAutospacing="0" w:line="360" w:lineRule="exact"/>
        <w:textAlignment w:val="auto"/>
        <w:rPr>
          <w:rFonts w:hint="eastAsia" w:ascii="宋体" w:hAnsi="宋体" w:eastAsia="宋体" w:cs="宋体"/>
          <w:b/>
          <w:bCs/>
          <w:color w:val="auto"/>
          <w:highlight w:val="none"/>
          <w:lang w:val="en-US" w:eastAsia="zh-CN"/>
        </w:rPr>
      </w:pPr>
    </w:p>
    <w:p w14:paraId="2CDCE37B">
      <w:pPr>
        <w:ind w:firstLine="480" w:firstLineChars="200"/>
        <w:rPr>
          <w:rFonts w:hint="eastAsia" w:cs="仿宋_GB2312"/>
          <w:color w:val="auto"/>
          <w:szCs w:val="24"/>
          <w:highlight w:val="none"/>
          <w:lang w:val="zh-CN"/>
        </w:rPr>
      </w:pPr>
    </w:p>
    <w:p w14:paraId="3D40132F">
      <w:pPr>
        <w:ind w:firstLine="480" w:firstLineChars="200"/>
        <w:rPr>
          <w:rFonts w:hint="eastAsia" w:cs="仿宋_GB2312"/>
          <w:color w:val="auto"/>
          <w:szCs w:val="24"/>
          <w:highlight w:val="none"/>
          <w:lang w:val="zh-CN"/>
        </w:rPr>
      </w:pPr>
    </w:p>
    <w:p w14:paraId="375DA883">
      <w:pPr>
        <w:ind w:firstLine="480" w:firstLineChars="200"/>
        <w:rPr>
          <w:rFonts w:cs="仿宋_GB2312"/>
          <w:color w:val="auto"/>
          <w:szCs w:val="24"/>
          <w:highlight w:val="none"/>
          <w:lang w:val="zh-CN"/>
        </w:rPr>
      </w:pPr>
      <w:r>
        <w:rPr>
          <w:rFonts w:hint="eastAsia" w:cs="仿宋_GB2312"/>
          <w:color w:val="auto"/>
          <w:szCs w:val="24"/>
          <w:highlight w:val="none"/>
          <w:lang w:val="zh-CN"/>
        </w:rPr>
        <w:t>封面：</w:t>
      </w:r>
    </w:p>
    <w:p w14:paraId="6466A4DC">
      <w:pPr>
        <w:autoSpaceDE w:val="0"/>
        <w:autoSpaceDN w:val="0"/>
        <w:adjustRightInd w:val="0"/>
        <w:rPr>
          <w:color w:val="auto"/>
          <w:sz w:val="21"/>
          <w:szCs w:val="24"/>
          <w:highlight w:val="none"/>
        </w:rPr>
      </w:pPr>
    </w:p>
    <w:p w14:paraId="445E5BF7">
      <w:pPr>
        <w:autoSpaceDE w:val="0"/>
        <w:autoSpaceDN w:val="0"/>
        <w:adjustRightInd w:val="0"/>
        <w:rPr>
          <w:color w:val="auto"/>
          <w:sz w:val="21"/>
          <w:szCs w:val="24"/>
          <w:highlight w:val="none"/>
        </w:rPr>
      </w:pPr>
    </w:p>
    <w:p w14:paraId="4BD0E164">
      <w:pPr>
        <w:autoSpaceDE w:val="0"/>
        <w:autoSpaceDN w:val="0"/>
        <w:adjustRightInd w:val="0"/>
        <w:jc w:val="center"/>
        <w:rPr>
          <w:color w:val="auto"/>
          <w:sz w:val="21"/>
          <w:szCs w:val="24"/>
          <w:highlight w:val="none"/>
        </w:rPr>
      </w:pPr>
    </w:p>
    <w:p w14:paraId="2280C3BA">
      <w:pPr>
        <w:pStyle w:val="2"/>
        <w:bidi w:val="0"/>
        <w:spacing w:line="360" w:lineRule="auto"/>
        <w:rPr>
          <w:rFonts w:hint="eastAsia"/>
          <w:color w:val="auto"/>
          <w:sz w:val="56"/>
          <w:szCs w:val="56"/>
          <w:highlight w:val="none"/>
        </w:rPr>
      </w:pPr>
      <w:bookmarkStart w:id="594" w:name="_Toc20344"/>
      <w:r>
        <w:rPr>
          <w:rFonts w:hint="eastAsia"/>
          <w:color w:val="auto"/>
          <w:sz w:val="56"/>
          <w:szCs w:val="56"/>
          <w:highlight w:val="none"/>
        </w:rPr>
        <w:t>投 标 文 件</w:t>
      </w:r>
      <w:bookmarkEnd w:id="594"/>
    </w:p>
    <w:p w14:paraId="0FA5F802">
      <w:pPr>
        <w:pStyle w:val="2"/>
        <w:bidi w:val="0"/>
        <w:spacing w:line="360" w:lineRule="auto"/>
        <w:rPr>
          <w:rFonts w:hint="eastAsia"/>
          <w:color w:val="auto"/>
          <w:sz w:val="56"/>
          <w:szCs w:val="56"/>
          <w:highlight w:val="none"/>
        </w:rPr>
      </w:pPr>
      <w:bookmarkStart w:id="595" w:name="_Toc17637"/>
      <w:r>
        <w:rPr>
          <w:rFonts w:hint="eastAsia"/>
          <w:color w:val="auto"/>
          <w:sz w:val="56"/>
          <w:szCs w:val="56"/>
          <w:highlight w:val="none"/>
        </w:rPr>
        <w:t>资格证明文件</w:t>
      </w:r>
      <w:bookmarkEnd w:id="595"/>
    </w:p>
    <w:p w14:paraId="537F8D86">
      <w:pPr>
        <w:autoSpaceDE w:val="0"/>
        <w:autoSpaceDN w:val="0"/>
        <w:adjustRightInd w:val="0"/>
        <w:jc w:val="center"/>
        <w:rPr>
          <w:rFonts w:hint="eastAsia" w:eastAsia="宋体"/>
          <w:color w:val="auto"/>
          <w:sz w:val="36"/>
          <w:szCs w:val="36"/>
          <w:highlight w:val="none"/>
          <w:lang w:eastAsia="zh-CN"/>
        </w:rPr>
      </w:pPr>
      <w:r>
        <w:rPr>
          <w:rFonts w:hint="eastAsia"/>
          <w:color w:val="auto"/>
          <w:sz w:val="36"/>
          <w:szCs w:val="36"/>
          <w:highlight w:val="none"/>
          <w:lang w:val="en-US" w:eastAsia="zh-CN"/>
        </w:rPr>
        <w:t>（第XX标段</w:t>
      </w:r>
      <w:r>
        <w:rPr>
          <w:rFonts w:hint="eastAsia"/>
          <w:color w:val="auto"/>
          <w:sz w:val="36"/>
          <w:szCs w:val="36"/>
          <w:highlight w:val="none"/>
          <w:lang w:eastAsia="zh-CN"/>
        </w:rPr>
        <w:t>）</w:t>
      </w:r>
    </w:p>
    <w:p w14:paraId="026E8C70">
      <w:pPr>
        <w:autoSpaceDE w:val="0"/>
        <w:autoSpaceDN w:val="0"/>
        <w:adjustRightInd w:val="0"/>
        <w:rPr>
          <w:color w:val="auto"/>
          <w:sz w:val="21"/>
          <w:szCs w:val="21"/>
          <w:highlight w:val="none"/>
        </w:rPr>
      </w:pPr>
    </w:p>
    <w:p w14:paraId="2874C375">
      <w:pPr>
        <w:pStyle w:val="3"/>
        <w:rPr>
          <w:color w:val="auto"/>
          <w:highlight w:val="none"/>
        </w:rPr>
      </w:pPr>
    </w:p>
    <w:p w14:paraId="2085130F">
      <w:pPr>
        <w:autoSpaceDE w:val="0"/>
        <w:autoSpaceDN w:val="0"/>
        <w:adjustRightInd w:val="0"/>
        <w:rPr>
          <w:color w:val="auto"/>
          <w:sz w:val="21"/>
          <w:szCs w:val="21"/>
          <w:highlight w:val="none"/>
        </w:rPr>
      </w:pPr>
    </w:p>
    <w:p w14:paraId="39700BDA">
      <w:pPr>
        <w:autoSpaceDE w:val="0"/>
        <w:autoSpaceDN w:val="0"/>
        <w:adjustRightInd w:val="0"/>
        <w:rPr>
          <w:color w:val="auto"/>
          <w:sz w:val="21"/>
          <w:szCs w:val="21"/>
          <w:highlight w:val="none"/>
        </w:rPr>
      </w:pPr>
    </w:p>
    <w:p w14:paraId="6334E3E2">
      <w:pPr>
        <w:ind w:left="420" w:leftChars="175"/>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t>项目编号</w:t>
      </w:r>
      <w:r>
        <w:rPr>
          <w:rFonts w:hint="eastAsia" w:ascii="宋体" w:hAnsi="宋体" w:eastAsia="宋体" w:cs="宋体"/>
          <w:color w:val="auto"/>
          <w:sz w:val="36"/>
          <w:szCs w:val="36"/>
          <w:highlight w:val="none"/>
          <w:lang w:val="en-US" w:eastAsia="zh-CN"/>
        </w:rPr>
        <w:t>/包号</w:t>
      </w:r>
      <w:r>
        <w:rPr>
          <w:rFonts w:hint="eastAsia" w:ascii="宋体" w:hAnsi="宋体" w:eastAsia="宋体" w:cs="宋体"/>
          <w:color w:val="auto"/>
          <w:sz w:val="36"/>
          <w:szCs w:val="36"/>
          <w:highlight w:val="none"/>
        </w:rPr>
        <w:t>：</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p>
    <w:p w14:paraId="5A643116">
      <w:pPr>
        <w:ind w:left="420" w:leftChars="175"/>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t>项目名称：</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p>
    <w:p w14:paraId="2710CA78">
      <w:pPr>
        <w:ind w:left="420" w:leftChars="175"/>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t>投</w:t>
      </w:r>
      <w:r>
        <w:rPr>
          <w:rFonts w:hint="eastAsia" w:ascii="宋体" w:hAnsi="宋体" w:eastAsia="宋体" w:cs="宋体"/>
          <w:color w:val="auto"/>
          <w:sz w:val="36"/>
          <w:szCs w:val="36"/>
          <w:highlight w:val="none"/>
          <w:lang w:val="en-US" w:eastAsia="zh-CN"/>
        </w:rPr>
        <w:t xml:space="preserve"> </w:t>
      </w:r>
      <w:r>
        <w:rPr>
          <w:rFonts w:hint="eastAsia" w:ascii="宋体" w:hAnsi="宋体" w:eastAsia="宋体" w:cs="宋体"/>
          <w:color w:val="auto"/>
          <w:sz w:val="36"/>
          <w:szCs w:val="36"/>
          <w:highlight w:val="none"/>
        </w:rPr>
        <w:t>标</w:t>
      </w:r>
      <w:r>
        <w:rPr>
          <w:rFonts w:hint="eastAsia" w:ascii="宋体" w:hAnsi="宋体" w:eastAsia="宋体" w:cs="宋体"/>
          <w:color w:val="auto"/>
          <w:sz w:val="36"/>
          <w:szCs w:val="36"/>
          <w:highlight w:val="none"/>
          <w:lang w:val="en-US" w:eastAsia="zh-CN"/>
        </w:rPr>
        <w:t xml:space="preserve"> </w:t>
      </w:r>
      <w:r>
        <w:rPr>
          <w:rFonts w:hint="eastAsia" w:ascii="宋体" w:hAnsi="宋体" w:eastAsia="宋体" w:cs="宋体"/>
          <w:color w:val="auto"/>
          <w:sz w:val="36"/>
          <w:szCs w:val="36"/>
          <w:highlight w:val="none"/>
        </w:rPr>
        <w:t>人：</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p>
    <w:p w14:paraId="7A39596D">
      <w:pPr>
        <w:ind w:left="840" w:firstLine="420"/>
        <w:rPr>
          <w:b/>
          <w:bCs/>
          <w:color w:val="auto"/>
          <w:sz w:val="28"/>
          <w:szCs w:val="28"/>
          <w:highlight w:val="none"/>
        </w:rPr>
      </w:pPr>
    </w:p>
    <w:p w14:paraId="528FBB22">
      <w:pPr>
        <w:ind w:left="840" w:firstLine="420"/>
        <w:rPr>
          <w:b/>
          <w:bCs/>
          <w:color w:val="auto"/>
          <w:sz w:val="28"/>
          <w:szCs w:val="28"/>
          <w:highlight w:val="none"/>
        </w:rPr>
      </w:pPr>
    </w:p>
    <w:p w14:paraId="0613F091">
      <w:pPr>
        <w:ind w:left="840" w:firstLine="420"/>
        <w:rPr>
          <w:b/>
          <w:bCs/>
          <w:color w:val="auto"/>
          <w:sz w:val="28"/>
          <w:szCs w:val="28"/>
          <w:highlight w:val="none"/>
        </w:rPr>
      </w:pPr>
    </w:p>
    <w:p w14:paraId="2330D405">
      <w:pPr>
        <w:jc w:val="center"/>
        <w:rPr>
          <w:rFonts w:ascii="黑体" w:hAnsi="黑体" w:eastAsia="黑体"/>
          <w:color w:val="auto"/>
          <w:sz w:val="32"/>
          <w:szCs w:val="32"/>
          <w:highlight w:val="none"/>
        </w:rPr>
      </w:pPr>
      <w:r>
        <w:rPr>
          <w:rFonts w:hint="eastAsia" w:ascii="宋体" w:hAnsi="宋体" w:eastAsia="宋体" w:cs="宋体"/>
          <w:color w:val="auto"/>
          <w:sz w:val="32"/>
          <w:szCs w:val="32"/>
          <w:highlight w:val="none"/>
        </w:rPr>
        <w:t>年   月    日</w:t>
      </w:r>
    </w:p>
    <w:p w14:paraId="6447D651">
      <w:pPr>
        <w:rPr>
          <w:color w:val="auto"/>
          <w:highlight w:val="none"/>
          <w:lang w:val="zh-CN"/>
        </w:rPr>
      </w:pPr>
      <w:r>
        <w:rPr>
          <w:color w:val="auto"/>
          <w:highlight w:val="none"/>
          <w:lang w:val="zh-CN"/>
        </w:rPr>
        <w:br w:type="page"/>
      </w:r>
    </w:p>
    <w:p w14:paraId="6DBE2CDA">
      <w:pPr>
        <w:rPr>
          <w:color w:val="auto"/>
          <w:highlight w:val="none"/>
          <w:lang w:val="zh-CN"/>
        </w:rPr>
      </w:pPr>
    </w:p>
    <w:p w14:paraId="215FC2E3">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textAlignment w:val="auto"/>
        <w:rPr>
          <w:rFonts w:hint="eastAsia" w:eastAsia="宋体" w:asciiTheme="majorHAnsi" w:hAnsiTheme="majorHAnsi" w:cstheme="majorBidi"/>
          <w:b/>
          <w:bCs/>
          <w:color w:val="auto"/>
          <w:kern w:val="2"/>
          <w:sz w:val="28"/>
          <w:szCs w:val="28"/>
          <w:highlight w:val="none"/>
          <w:lang w:val="en-US" w:eastAsia="zh-CN" w:bidi="ar-SA"/>
        </w:rPr>
      </w:pPr>
      <w:bookmarkStart w:id="596" w:name="_Toc6767"/>
      <w:bookmarkStart w:id="597" w:name="_Toc325"/>
      <w:bookmarkStart w:id="598" w:name="_Toc155185927"/>
      <w:r>
        <w:rPr>
          <w:rFonts w:hint="eastAsia" w:eastAsia="宋体" w:asciiTheme="majorHAnsi" w:hAnsiTheme="majorHAnsi" w:cstheme="majorBidi"/>
          <w:b/>
          <w:bCs/>
          <w:color w:val="auto"/>
          <w:kern w:val="2"/>
          <w:sz w:val="28"/>
          <w:szCs w:val="28"/>
          <w:highlight w:val="none"/>
          <w:lang w:val="en-US" w:eastAsia="zh-CN" w:bidi="ar-SA"/>
        </w:rPr>
        <w:t>一、满足《中华人民共和国政府采购法》第二十二条规定</w:t>
      </w:r>
      <w:bookmarkEnd w:id="596"/>
      <w:bookmarkEnd w:id="597"/>
    </w:p>
    <w:bookmarkEnd w:id="598"/>
    <w:p w14:paraId="4C032460">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b/>
          <w:bCs/>
          <w:color w:val="auto"/>
          <w:kern w:val="2"/>
          <w:sz w:val="28"/>
          <w:szCs w:val="28"/>
          <w:highlight w:val="none"/>
          <w:lang w:val="en-US" w:eastAsia="zh-CN" w:bidi="ar-SA"/>
        </w:rPr>
      </w:pPr>
      <w:r>
        <w:rPr>
          <w:rFonts w:hint="eastAsia" w:ascii="宋体" w:hAnsi="宋体" w:eastAsia="宋体" w:cs="宋体"/>
          <w:b/>
          <w:bCs/>
          <w:color w:val="auto"/>
          <w:kern w:val="2"/>
          <w:sz w:val="28"/>
          <w:szCs w:val="28"/>
          <w:highlight w:val="none"/>
          <w:lang w:val="en-US" w:eastAsia="zh-CN" w:bidi="ar-SA"/>
        </w:rPr>
        <w:t>（</w:t>
      </w:r>
      <w:r>
        <w:rPr>
          <w:rStyle w:val="45"/>
          <w:rFonts w:hint="eastAsia"/>
          <w:color w:val="auto"/>
          <w:sz w:val="28"/>
          <w:szCs w:val="28"/>
          <w:highlight w:val="none"/>
          <w:lang w:val="en-US" w:eastAsia="zh-CN"/>
        </w:rPr>
        <w:t>一）法人、其他组织或者自然人的证明文件</w:t>
      </w:r>
    </w:p>
    <w:p w14:paraId="2881C92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kern w:val="0"/>
          <w:sz w:val="24"/>
          <w:szCs w:val="24"/>
          <w:highlight w:val="none"/>
          <w:lang w:val="en-US" w:eastAsia="zh-CN"/>
        </w:rPr>
      </w:pPr>
      <w:r>
        <w:rPr>
          <w:rFonts w:hint="eastAsia" w:cs="宋体"/>
          <w:b w:val="0"/>
          <w:bCs w:val="0"/>
          <w:color w:val="auto"/>
          <w:kern w:val="0"/>
          <w:sz w:val="24"/>
          <w:szCs w:val="24"/>
          <w:highlight w:val="none"/>
          <w:lang w:val="en-US" w:eastAsia="zh-CN"/>
        </w:rPr>
        <w:t>1、投标人</w:t>
      </w:r>
      <w:r>
        <w:rPr>
          <w:rFonts w:hint="eastAsia" w:ascii="宋体" w:hAnsi="宋体" w:eastAsia="宋体" w:cs="宋体"/>
          <w:b w:val="0"/>
          <w:bCs w:val="0"/>
          <w:color w:val="auto"/>
          <w:kern w:val="0"/>
          <w:sz w:val="24"/>
          <w:szCs w:val="24"/>
          <w:highlight w:val="none"/>
          <w:lang w:val="en-US" w:eastAsia="zh-CN"/>
        </w:rPr>
        <w:t>为企业（包括合伙企业）的，应提供有效的“营业执照”；</w:t>
      </w:r>
    </w:p>
    <w:p w14:paraId="1CA280B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kern w:val="0"/>
          <w:sz w:val="24"/>
          <w:szCs w:val="24"/>
          <w:highlight w:val="none"/>
          <w:lang w:val="en-US" w:eastAsia="zh-CN"/>
        </w:rPr>
      </w:pPr>
      <w:r>
        <w:rPr>
          <w:rFonts w:hint="eastAsia" w:cs="宋体"/>
          <w:b w:val="0"/>
          <w:bCs w:val="0"/>
          <w:color w:val="auto"/>
          <w:kern w:val="0"/>
          <w:sz w:val="24"/>
          <w:szCs w:val="24"/>
          <w:highlight w:val="none"/>
          <w:lang w:val="en-US" w:eastAsia="zh-CN"/>
        </w:rPr>
        <w:t>2、投标人</w:t>
      </w:r>
      <w:r>
        <w:rPr>
          <w:rFonts w:hint="eastAsia" w:ascii="宋体" w:hAnsi="宋体" w:eastAsia="宋体" w:cs="宋体"/>
          <w:b w:val="0"/>
          <w:bCs w:val="0"/>
          <w:color w:val="auto"/>
          <w:kern w:val="0"/>
          <w:sz w:val="24"/>
          <w:szCs w:val="24"/>
          <w:highlight w:val="none"/>
          <w:lang w:val="en-US" w:eastAsia="zh-CN"/>
        </w:rPr>
        <w:t>为事业单位的，应提供有效的“事业单位法人证书”；</w:t>
      </w:r>
    </w:p>
    <w:p w14:paraId="4C09FDB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kern w:val="0"/>
          <w:sz w:val="24"/>
          <w:szCs w:val="24"/>
          <w:highlight w:val="none"/>
          <w:lang w:val="en-US" w:eastAsia="zh-CN"/>
        </w:rPr>
      </w:pPr>
      <w:r>
        <w:rPr>
          <w:rFonts w:hint="eastAsia" w:cs="宋体"/>
          <w:b w:val="0"/>
          <w:bCs w:val="0"/>
          <w:color w:val="auto"/>
          <w:kern w:val="0"/>
          <w:sz w:val="24"/>
          <w:szCs w:val="24"/>
          <w:highlight w:val="none"/>
          <w:lang w:val="en-US" w:eastAsia="zh-CN"/>
        </w:rPr>
        <w:t>3、投标人</w:t>
      </w:r>
      <w:r>
        <w:rPr>
          <w:rFonts w:hint="eastAsia" w:ascii="宋体" w:hAnsi="宋体" w:eastAsia="宋体" w:cs="宋体"/>
          <w:b w:val="0"/>
          <w:bCs w:val="0"/>
          <w:color w:val="auto"/>
          <w:kern w:val="0"/>
          <w:sz w:val="24"/>
          <w:szCs w:val="24"/>
          <w:highlight w:val="none"/>
          <w:lang w:val="en-US" w:eastAsia="zh-CN"/>
        </w:rPr>
        <w:t>为非企业机构的，应提供有效的“执业许可证”、“登记证书”等证明文件；</w:t>
      </w:r>
    </w:p>
    <w:p w14:paraId="3239349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kern w:val="0"/>
          <w:sz w:val="24"/>
          <w:szCs w:val="24"/>
          <w:highlight w:val="none"/>
          <w:lang w:val="en-US" w:eastAsia="zh-CN"/>
        </w:rPr>
      </w:pPr>
      <w:r>
        <w:rPr>
          <w:rFonts w:hint="eastAsia" w:cs="宋体"/>
          <w:b w:val="0"/>
          <w:bCs w:val="0"/>
          <w:color w:val="auto"/>
          <w:kern w:val="0"/>
          <w:sz w:val="24"/>
          <w:szCs w:val="24"/>
          <w:highlight w:val="none"/>
          <w:lang w:val="en-US" w:eastAsia="zh-CN"/>
        </w:rPr>
        <w:t>4、投标人</w:t>
      </w:r>
      <w:r>
        <w:rPr>
          <w:rFonts w:hint="eastAsia" w:ascii="宋体" w:hAnsi="宋体" w:eastAsia="宋体" w:cs="宋体"/>
          <w:b w:val="0"/>
          <w:bCs w:val="0"/>
          <w:color w:val="auto"/>
          <w:kern w:val="0"/>
          <w:sz w:val="24"/>
          <w:szCs w:val="24"/>
          <w:highlight w:val="none"/>
          <w:lang w:val="en-US" w:eastAsia="zh-CN"/>
        </w:rPr>
        <w:t>是个体工商户的，应提供有效的“个体工商户营业执照”；</w:t>
      </w:r>
    </w:p>
    <w:p w14:paraId="47F836A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kern w:val="0"/>
          <w:sz w:val="24"/>
          <w:szCs w:val="24"/>
          <w:highlight w:val="none"/>
          <w:lang w:val="en-US" w:eastAsia="zh-CN"/>
        </w:rPr>
      </w:pPr>
      <w:r>
        <w:rPr>
          <w:rFonts w:hint="eastAsia" w:cs="宋体"/>
          <w:b w:val="0"/>
          <w:bCs w:val="0"/>
          <w:color w:val="auto"/>
          <w:kern w:val="0"/>
          <w:sz w:val="24"/>
          <w:szCs w:val="24"/>
          <w:highlight w:val="none"/>
          <w:lang w:val="en-US" w:eastAsia="zh-CN"/>
        </w:rPr>
        <w:t>5、投标人</w:t>
      </w:r>
      <w:r>
        <w:rPr>
          <w:rFonts w:hint="eastAsia" w:ascii="宋体" w:hAnsi="宋体" w:eastAsia="宋体" w:cs="宋体"/>
          <w:b w:val="0"/>
          <w:bCs w:val="0"/>
          <w:color w:val="auto"/>
          <w:kern w:val="0"/>
          <w:sz w:val="24"/>
          <w:szCs w:val="24"/>
          <w:highlight w:val="none"/>
          <w:lang w:val="en-US" w:eastAsia="zh-CN"/>
        </w:rPr>
        <w:t>是自然人的，应提供有效的自然人身份证明</w:t>
      </w:r>
      <w:r>
        <w:rPr>
          <w:rFonts w:hint="eastAsia" w:cs="宋体"/>
          <w:b w:val="0"/>
          <w:bCs w:val="0"/>
          <w:color w:val="auto"/>
          <w:kern w:val="0"/>
          <w:sz w:val="24"/>
          <w:szCs w:val="24"/>
          <w:highlight w:val="none"/>
          <w:lang w:val="en-US" w:eastAsia="zh-CN"/>
        </w:rPr>
        <w:t>。</w:t>
      </w:r>
    </w:p>
    <w:p w14:paraId="77687BE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kern w:val="0"/>
          <w:sz w:val="24"/>
          <w:szCs w:val="24"/>
          <w:highlight w:val="none"/>
          <w:lang w:val="en-US" w:eastAsia="zh-CN"/>
        </w:rPr>
      </w:pPr>
    </w:p>
    <w:p w14:paraId="2FE2A9CA">
      <w:pP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br w:type="page"/>
      </w:r>
    </w:p>
    <w:p w14:paraId="6FC7F68F">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Style w:val="45"/>
          <w:rFonts w:hint="eastAsia" w:ascii="Times New Roman" w:hAnsi="Times New Roman" w:cs="Times New Roman"/>
          <w:color w:val="auto"/>
          <w:sz w:val="28"/>
          <w:szCs w:val="28"/>
          <w:highlight w:val="none"/>
          <w:lang w:val="en-US" w:eastAsia="zh-CN"/>
        </w:rPr>
      </w:pPr>
      <w:bookmarkStart w:id="599" w:name="_Toc24929"/>
      <w:bookmarkStart w:id="600" w:name="_Toc30693"/>
      <w:r>
        <w:rPr>
          <w:rStyle w:val="45"/>
          <w:rFonts w:hint="eastAsia" w:ascii="Times New Roman" w:hAnsi="Times New Roman" w:cs="Times New Roman"/>
          <w:color w:val="auto"/>
          <w:sz w:val="28"/>
          <w:szCs w:val="28"/>
          <w:highlight w:val="none"/>
          <w:lang w:val="en-US" w:eastAsia="zh-CN"/>
        </w:rPr>
        <w:t>（二）政府采购供应商信用承诺函</w:t>
      </w:r>
      <w:bookmarkEnd w:id="599"/>
      <w:bookmarkEnd w:id="600"/>
    </w:p>
    <w:p w14:paraId="695B752A">
      <w:pPr>
        <w:spacing w:line="560" w:lineRule="exac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rPr>
        <w:t>单位名称</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自然人姓名</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w:t>
      </w:r>
    </w:p>
    <w:p w14:paraId="1BF1CBCB">
      <w:pPr>
        <w:spacing w:line="560" w:lineRule="exac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统一社会信用代码</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身份证号码</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w:t>
      </w:r>
    </w:p>
    <w:p w14:paraId="314E343E">
      <w:pPr>
        <w:spacing w:line="560" w:lineRule="exac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法定代表人</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负责人</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w:t>
      </w:r>
    </w:p>
    <w:p w14:paraId="2F4CE840">
      <w:pPr>
        <w:spacing w:line="560" w:lineRule="exact"/>
        <w:ind w:firstLine="480" w:firstLineChars="200"/>
        <w:rPr>
          <w:rFonts w:hint="eastAsia" w:ascii="宋体" w:hAnsi="宋体" w:eastAsia="宋体" w:cs="宋体"/>
          <w:color w:val="auto"/>
          <w:kern w:val="0"/>
          <w:sz w:val="24"/>
          <w:szCs w:val="24"/>
          <w:highlight w:val="none"/>
        </w:rPr>
      </w:pPr>
    </w:p>
    <w:p w14:paraId="776D8704">
      <w:pPr>
        <w:spacing w:line="56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我单位</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本人</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 xml:space="preserve">自愿参加本次政府采购活动，严格遵守《中华人民共和国政府采购法》及相关法律法规，坚守公开、公平、公正和诚实信用等原则，依法诚信经营，并郑重承诺：    </w:t>
      </w:r>
    </w:p>
    <w:p w14:paraId="353CD750">
      <w:pPr>
        <w:spacing w:line="56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一、我单位</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本人</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符合《中华人民共和国政府采购法》第二十二条规定：</w:t>
      </w:r>
    </w:p>
    <w:p w14:paraId="6C579D2A">
      <w:pPr>
        <w:spacing w:line="56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一</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具有独立承担民事责任的能力;</w:t>
      </w:r>
    </w:p>
    <w:p w14:paraId="1253879B">
      <w:pPr>
        <w:spacing w:line="56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（二）</w:t>
      </w:r>
      <w:r>
        <w:rPr>
          <w:rFonts w:hint="eastAsia" w:ascii="宋体" w:hAnsi="宋体" w:eastAsia="宋体" w:cs="宋体"/>
          <w:color w:val="auto"/>
          <w:kern w:val="0"/>
          <w:sz w:val="24"/>
          <w:szCs w:val="24"/>
          <w:highlight w:val="none"/>
        </w:rPr>
        <w:t>具有良好的商业信誉和健全的财务会计制度;</w:t>
      </w:r>
    </w:p>
    <w:p w14:paraId="550B1CDF">
      <w:pPr>
        <w:spacing w:line="56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（三）</w:t>
      </w:r>
      <w:r>
        <w:rPr>
          <w:rFonts w:hint="eastAsia" w:ascii="宋体" w:hAnsi="宋体" w:eastAsia="宋体" w:cs="宋体"/>
          <w:color w:val="auto"/>
          <w:kern w:val="0"/>
          <w:sz w:val="24"/>
          <w:szCs w:val="24"/>
          <w:highlight w:val="none"/>
        </w:rPr>
        <w:t>具有履行合同所必需的设备和专业技术能力;</w:t>
      </w:r>
    </w:p>
    <w:p w14:paraId="221E549B">
      <w:pPr>
        <w:spacing w:line="56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（四）</w:t>
      </w:r>
      <w:r>
        <w:rPr>
          <w:rFonts w:hint="eastAsia" w:ascii="宋体" w:hAnsi="宋体" w:eastAsia="宋体" w:cs="宋体"/>
          <w:color w:val="auto"/>
          <w:kern w:val="0"/>
          <w:sz w:val="24"/>
          <w:szCs w:val="24"/>
          <w:highlight w:val="none"/>
        </w:rPr>
        <w:t>有依法缴纳税收和社会保障资金的良好记录;</w:t>
      </w:r>
    </w:p>
    <w:p w14:paraId="56D831AE">
      <w:pPr>
        <w:spacing w:line="56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（五）</w:t>
      </w:r>
      <w:r>
        <w:rPr>
          <w:rFonts w:hint="eastAsia" w:ascii="宋体" w:hAnsi="宋体" w:eastAsia="宋体" w:cs="宋体"/>
          <w:color w:val="auto"/>
          <w:kern w:val="0"/>
          <w:sz w:val="24"/>
          <w:szCs w:val="24"/>
          <w:highlight w:val="none"/>
        </w:rPr>
        <w:t>参加政府采购活动前三年内，在经营活动中没有重大违法记录;</w:t>
      </w:r>
    </w:p>
    <w:p w14:paraId="126A1FC2">
      <w:pPr>
        <w:spacing w:line="56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（六）</w:t>
      </w:r>
      <w:r>
        <w:rPr>
          <w:rFonts w:hint="eastAsia" w:ascii="宋体" w:hAnsi="宋体" w:eastAsia="宋体" w:cs="宋体"/>
          <w:color w:val="auto"/>
          <w:kern w:val="0"/>
          <w:sz w:val="24"/>
          <w:szCs w:val="24"/>
          <w:highlight w:val="none"/>
        </w:rPr>
        <w:t>符合法律、行政法规规定的其他条件。</w:t>
      </w:r>
    </w:p>
    <w:p w14:paraId="48BFD221">
      <w:pPr>
        <w:spacing w:line="56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二、我单位</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本人</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未被列入严重违法失信名单、失信被执行人</w:t>
      </w:r>
      <w:r>
        <w:rPr>
          <w:rFonts w:hint="eastAsia" w:ascii="宋体" w:hAnsi="宋体" w:eastAsia="宋体" w:cs="宋体"/>
          <w:color w:val="auto"/>
          <w:kern w:val="0"/>
          <w:sz w:val="24"/>
          <w:szCs w:val="24"/>
          <w:highlight w:val="none"/>
          <w:lang w:eastAsia="zh-CN"/>
        </w:rPr>
        <w:t>名单</w:t>
      </w:r>
      <w:r>
        <w:rPr>
          <w:rFonts w:hint="eastAsia" w:ascii="宋体" w:hAnsi="宋体" w:eastAsia="宋体" w:cs="宋体"/>
          <w:color w:val="auto"/>
          <w:kern w:val="0"/>
          <w:sz w:val="24"/>
          <w:szCs w:val="24"/>
          <w:highlight w:val="none"/>
        </w:rPr>
        <w:t>、重大税收违法失信主体、政府采购严重违法失信行为记录名</w:t>
      </w:r>
      <w:r>
        <w:rPr>
          <w:rFonts w:hint="eastAsia" w:ascii="宋体" w:hAnsi="宋体" w:eastAsia="宋体" w:cs="宋体"/>
          <w:color w:val="auto"/>
          <w:kern w:val="0"/>
          <w:sz w:val="24"/>
          <w:szCs w:val="24"/>
          <w:highlight w:val="none"/>
          <w:lang w:eastAsia="zh-CN"/>
        </w:rPr>
        <w:t>单</w:t>
      </w:r>
      <w:r>
        <w:rPr>
          <w:rFonts w:hint="eastAsia" w:ascii="宋体" w:hAnsi="宋体" w:eastAsia="宋体" w:cs="宋体"/>
          <w:color w:val="auto"/>
          <w:kern w:val="0"/>
          <w:sz w:val="24"/>
          <w:szCs w:val="24"/>
          <w:highlight w:val="none"/>
        </w:rPr>
        <w:t>。</w:t>
      </w:r>
    </w:p>
    <w:p w14:paraId="30747A83">
      <w:pPr>
        <w:spacing w:line="56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三、如果本公司（本人）有幸中标（成交），在合同签订之前，采购单位有权要求本公司（本人）提供资格证明材料原件进行核验。</w:t>
      </w:r>
    </w:p>
    <w:p w14:paraId="663B7525">
      <w:pPr>
        <w:spacing w:line="56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四、我单位</w:t>
      </w:r>
      <w:r>
        <w:rPr>
          <w:rFonts w:hint="eastAsia" w:ascii="宋体" w:hAnsi="宋体" w:eastAsia="宋体" w:cs="宋体"/>
          <w:color w:val="auto"/>
          <w:kern w:val="0"/>
          <w:sz w:val="24"/>
          <w:szCs w:val="24"/>
          <w:highlight w:val="none"/>
          <w:lang w:eastAsia="zh-CN"/>
        </w:rPr>
        <w:t>（本人）</w:t>
      </w:r>
      <w:r>
        <w:rPr>
          <w:rFonts w:hint="eastAsia" w:ascii="宋体" w:hAnsi="宋体" w:eastAsia="宋体" w:cs="宋体"/>
          <w:color w:val="auto"/>
          <w:kern w:val="0"/>
          <w:sz w:val="24"/>
          <w:szCs w:val="24"/>
          <w:highlight w:val="none"/>
        </w:rPr>
        <w:t>保证上述承诺事项的真实性。如有弄虚作假或其他违法违规行为，自愿按照规定将违背承诺行为作为失信行为记录到社会信用信息平台，并视同为“提供虚假材料谋取中标、成交”按照</w:t>
      </w:r>
      <w:r>
        <w:rPr>
          <w:rFonts w:hint="eastAsia"/>
          <w:color w:val="auto"/>
          <w:highlight w:val="none"/>
        </w:rPr>
        <w:t>《中华人民共和国政府采购法》</w:t>
      </w:r>
      <w:r>
        <w:rPr>
          <w:rFonts w:hint="eastAsia" w:ascii="宋体" w:hAnsi="宋体" w:eastAsia="宋体" w:cs="宋体"/>
          <w:color w:val="auto"/>
          <w:kern w:val="0"/>
          <w:sz w:val="24"/>
          <w:szCs w:val="24"/>
          <w:highlight w:val="none"/>
        </w:rPr>
        <w:t>第七十七、七十九条规定，处以采购金额千分之五以上千分之十以下的罚款，列入不良行为记录名单，在一至三年内禁止参加政府采购活动，有违法所得的，并处没收违法所得，情节严重的，由市场监管部门吊销营业执照；构成犯罪的，依法追究刑事责任；给他人造成损失的，并应依照有关民事法律规定承担民事责任。</w:t>
      </w:r>
    </w:p>
    <w:p w14:paraId="2B6C39AD">
      <w:pPr>
        <w:spacing w:line="560" w:lineRule="exact"/>
        <w:rPr>
          <w:rFonts w:hint="eastAsia" w:ascii="宋体" w:hAnsi="宋体" w:eastAsia="宋体" w:cs="宋体"/>
          <w:color w:val="auto"/>
          <w:kern w:val="0"/>
          <w:sz w:val="24"/>
          <w:szCs w:val="24"/>
          <w:highlight w:val="none"/>
        </w:rPr>
      </w:pPr>
    </w:p>
    <w:p w14:paraId="49F57DB1">
      <w:pPr>
        <w:spacing w:line="560" w:lineRule="exact"/>
        <w:rPr>
          <w:rFonts w:hint="eastAsia" w:ascii="宋体" w:hAnsi="宋体" w:eastAsia="宋体" w:cs="宋体"/>
          <w:color w:val="auto"/>
          <w:kern w:val="0"/>
          <w:sz w:val="24"/>
          <w:szCs w:val="24"/>
          <w:highlight w:val="none"/>
        </w:rPr>
      </w:pPr>
    </w:p>
    <w:p w14:paraId="5AA48816">
      <w:pPr>
        <w:spacing w:line="560" w:lineRule="exac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供应商</w:t>
      </w:r>
      <w:r>
        <w:rPr>
          <w:rFonts w:hint="eastAsia" w:cs="宋体"/>
          <w:color w:val="auto"/>
          <w:kern w:val="0"/>
          <w:sz w:val="24"/>
          <w:szCs w:val="24"/>
          <w:highlight w:val="none"/>
          <w:lang w:val="en-US" w:eastAsia="zh-CN"/>
        </w:rPr>
        <w:t>名称</w:t>
      </w:r>
      <w:r>
        <w:rPr>
          <w:rFonts w:hint="eastAsia" w:ascii="宋体" w:hAnsi="宋体" w:eastAsia="宋体" w:cs="宋体"/>
          <w:color w:val="auto"/>
          <w:kern w:val="0"/>
          <w:sz w:val="24"/>
          <w:szCs w:val="24"/>
          <w:highlight w:val="none"/>
          <w:lang w:eastAsia="zh-CN"/>
        </w:rPr>
        <w:t>（</w:t>
      </w:r>
      <w:r>
        <w:rPr>
          <w:rFonts w:hint="eastAsia" w:cs="宋体"/>
          <w:color w:val="auto"/>
          <w:kern w:val="0"/>
          <w:sz w:val="24"/>
          <w:szCs w:val="24"/>
          <w:highlight w:val="none"/>
          <w:lang w:eastAsia="zh-CN"/>
        </w:rPr>
        <w:t>公章</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w:t>
      </w:r>
    </w:p>
    <w:p w14:paraId="45C65A8C">
      <w:pPr>
        <w:spacing w:line="560" w:lineRule="exac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法定代表人</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负责人</w:t>
      </w:r>
      <w:r>
        <w:rPr>
          <w:rFonts w:hint="eastAsia" w:ascii="宋体" w:hAnsi="宋体" w:eastAsia="宋体" w:cs="宋体"/>
          <w:color w:val="auto"/>
          <w:kern w:val="0"/>
          <w:sz w:val="24"/>
          <w:szCs w:val="24"/>
          <w:highlight w:val="none"/>
          <w:lang w:val="en-US" w:eastAsia="zh-CN"/>
        </w:rPr>
        <w:t>或</w:t>
      </w:r>
      <w:r>
        <w:rPr>
          <w:rFonts w:hint="eastAsia" w:ascii="宋体" w:hAnsi="宋体" w:eastAsia="宋体" w:cs="宋体"/>
          <w:color w:val="auto"/>
          <w:kern w:val="0"/>
          <w:sz w:val="24"/>
          <w:szCs w:val="24"/>
          <w:highlight w:val="none"/>
        </w:rPr>
        <w:t>本人</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或授权代表</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签字或</w:t>
      </w:r>
      <w:r>
        <w:rPr>
          <w:rFonts w:hint="eastAsia" w:cs="宋体"/>
          <w:color w:val="auto"/>
          <w:kern w:val="0"/>
          <w:sz w:val="24"/>
          <w:szCs w:val="24"/>
          <w:highlight w:val="none"/>
          <w:lang w:eastAsia="zh-CN"/>
        </w:rPr>
        <w:t>盖</w:t>
      </w:r>
      <w:r>
        <w:rPr>
          <w:rFonts w:hint="eastAsia" w:ascii="宋体" w:hAnsi="宋体" w:eastAsia="宋体" w:cs="宋体"/>
          <w:color w:val="auto"/>
          <w:kern w:val="0"/>
          <w:sz w:val="24"/>
          <w:szCs w:val="24"/>
          <w:highlight w:val="none"/>
          <w:lang w:eastAsia="zh-CN"/>
        </w:rPr>
        <w:t>章）</w:t>
      </w:r>
      <w:r>
        <w:rPr>
          <w:rFonts w:hint="eastAsia" w:ascii="宋体" w:hAnsi="宋体" w:eastAsia="宋体" w:cs="宋体"/>
          <w:color w:val="auto"/>
          <w:kern w:val="0"/>
          <w:sz w:val="24"/>
          <w:szCs w:val="24"/>
          <w:highlight w:val="none"/>
        </w:rPr>
        <w:t>：</w:t>
      </w:r>
    </w:p>
    <w:p w14:paraId="524E5ADC">
      <w:pPr>
        <w:spacing w:line="560" w:lineRule="exac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日期： 年 月 日</w:t>
      </w:r>
    </w:p>
    <w:p w14:paraId="2CB41018">
      <w:pPr>
        <w:widowControl/>
        <w:spacing w:line="560" w:lineRule="exact"/>
        <w:ind w:firstLine="630"/>
        <w:jc w:val="left"/>
        <w:rPr>
          <w:rFonts w:hint="eastAsia" w:ascii="宋体" w:hAnsi="宋体" w:eastAsia="宋体" w:cs="宋体"/>
          <w:color w:val="auto"/>
          <w:kern w:val="0"/>
          <w:sz w:val="24"/>
          <w:szCs w:val="24"/>
          <w:highlight w:val="none"/>
        </w:rPr>
      </w:pPr>
    </w:p>
    <w:p w14:paraId="67DF1B87">
      <w:pPr>
        <w:rPr>
          <w:rFonts w:ascii="Arial" w:hAnsi="Arial" w:cs="Arial"/>
          <w:color w:val="auto"/>
          <w:szCs w:val="21"/>
          <w:highlight w:val="none"/>
        </w:rPr>
      </w:pPr>
      <w:r>
        <w:rPr>
          <w:rFonts w:ascii="Arial" w:hAnsi="Arial" w:cs="Arial"/>
          <w:color w:val="auto"/>
          <w:szCs w:val="21"/>
          <w:highlight w:val="none"/>
        </w:rPr>
        <w:br w:type="page"/>
      </w:r>
    </w:p>
    <w:p w14:paraId="70BE810B">
      <w:pPr>
        <w:pStyle w:val="3"/>
        <w:bidi w:val="0"/>
        <w:rPr>
          <w:rFonts w:hint="eastAsia"/>
          <w:color w:val="auto"/>
          <w:sz w:val="28"/>
          <w:szCs w:val="28"/>
          <w:highlight w:val="none"/>
          <w:lang w:val="zh-CN" w:eastAsia="zh-CN"/>
        </w:rPr>
      </w:pPr>
      <w:bookmarkStart w:id="601" w:name="_Toc140132840"/>
      <w:bookmarkStart w:id="602" w:name="_Toc109899917"/>
      <w:bookmarkStart w:id="603" w:name="_Toc109900336"/>
      <w:bookmarkStart w:id="604" w:name="_Toc155185930"/>
      <w:bookmarkStart w:id="605" w:name="_Toc109899498"/>
      <w:bookmarkStart w:id="606" w:name="_Toc163492923"/>
      <w:bookmarkStart w:id="607" w:name="_Toc21134"/>
      <w:bookmarkStart w:id="608" w:name="_Toc3502"/>
      <w:r>
        <w:rPr>
          <w:rFonts w:hint="eastAsia"/>
          <w:color w:val="auto"/>
          <w:sz w:val="28"/>
          <w:szCs w:val="28"/>
          <w:highlight w:val="none"/>
          <w:lang w:val="en-US" w:eastAsia="zh-CN"/>
        </w:rPr>
        <w:t>二、</w:t>
      </w:r>
      <w:bookmarkEnd w:id="601"/>
      <w:bookmarkEnd w:id="602"/>
      <w:bookmarkEnd w:id="603"/>
      <w:bookmarkEnd w:id="604"/>
      <w:bookmarkEnd w:id="605"/>
      <w:bookmarkEnd w:id="606"/>
      <w:bookmarkStart w:id="609" w:name="_Toc155185931"/>
      <w:r>
        <w:rPr>
          <w:rFonts w:hint="eastAsia"/>
          <w:color w:val="auto"/>
          <w:sz w:val="28"/>
          <w:szCs w:val="28"/>
          <w:highlight w:val="none"/>
          <w:lang w:val="zh-CN" w:eastAsia="zh-CN"/>
        </w:rPr>
        <w:t>联合体协议书</w:t>
      </w:r>
      <w:bookmarkEnd w:id="609"/>
      <w:r>
        <w:rPr>
          <w:rFonts w:hint="eastAsia"/>
          <w:color w:val="auto"/>
          <w:sz w:val="28"/>
          <w:szCs w:val="28"/>
          <w:highlight w:val="none"/>
          <w:lang w:val="zh-CN" w:eastAsia="zh-CN"/>
        </w:rPr>
        <w:t>【如适用】</w:t>
      </w:r>
      <w:bookmarkEnd w:id="607"/>
      <w:bookmarkEnd w:id="608"/>
    </w:p>
    <w:p w14:paraId="23E3BC9F">
      <w:pPr>
        <w:snapToGrid w:val="0"/>
        <w:spacing w:line="360" w:lineRule="auto"/>
        <w:jc w:val="center"/>
        <w:outlineLvl w:val="0"/>
        <w:rPr>
          <w:rFonts w:hint="eastAsia" w:ascii="宋体" w:hAnsi="宋体" w:cs="宋体"/>
          <w:b/>
          <w:color w:val="auto"/>
          <w:kern w:val="0"/>
          <w:sz w:val="32"/>
          <w:szCs w:val="32"/>
          <w:highlight w:val="none"/>
        </w:rPr>
      </w:pPr>
      <w:bookmarkStart w:id="610" w:name="_Toc919"/>
      <w:bookmarkStart w:id="611" w:name="_Toc12650"/>
      <w:bookmarkStart w:id="612" w:name="_Toc24531"/>
      <w:r>
        <w:rPr>
          <w:rFonts w:hint="eastAsia" w:ascii="宋体" w:hAnsi="宋体" w:cs="宋体"/>
          <w:b/>
          <w:color w:val="auto"/>
          <w:kern w:val="0"/>
          <w:sz w:val="32"/>
          <w:szCs w:val="32"/>
          <w:highlight w:val="none"/>
        </w:rPr>
        <w:t>联合体协议书</w:t>
      </w:r>
      <w:bookmarkEnd w:id="610"/>
      <w:bookmarkEnd w:id="611"/>
      <w:bookmarkEnd w:id="612"/>
    </w:p>
    <w:p w14:paraId="67954623">
      <w:pPr>
        <w:widowControl/>
        <w:spacing w:line="360" w:lineRule="auto"/>
        <w:ind w:firstLine="482" w:firstLineChars="200"/>
        <w:jc w:val="left"/>
        <w:rPr>
          <w:rFonts w:ascii="宋体" w:hAnsi="宋体" w:cs="宋体"/>
          <w:b/>
          <w:color w:val="auto"/>
          <w:sz w:val="24"/>
          <w:highlight w:val="none"/>
        </w:rPr>
      </w:pPr>
      <w:r>
        <w:rPr>
          <w:rFonts w:hint="eastAsia" w:ascii="宋体" w:hAnsi="宋体" w:cs="宋体"/>
          <w:b/>
          <w:color w:val="auto"/>
          <w:sz w:val="24"/>
          <w:highlight w:val="none"/>
        </w:rPr>
        <w:t>（以联合体形式投标的，提供联合</w:t>
      </w:r>
      <w:r>
        <w:rPr>
          <w:rFonts w:hint="eastAsia" w:cs="宋体"/>
          <w:b/>
          <w:color w:val="auto"/>
          <w:sz w:val="24"/>
          <w:highlight w:val="none"/>
          <w:lang w:val="en-US" w:eastAsia="zh-CN"/>
        </w:rPr>
        <w:t>体</w:t>
      </w:r>
      <w:r>
        <w:rPr>
          <w:rFonts w:hint="eastAsia" w:ascii="宋体" w:hAnsi="宋体" w:cs="宋体"/>
          <w:b/>
          <w:color w:val="auto"/>
          <w:sz w:val="24"/>
          <w:highlight w:val="none"/>
        </w:rPr>
        <w:t>协议</w:t>
      </w:r>
      <w:r>
        <w:rPr>
          <w:rFonts w:hint="eastAsia" w:cs="宋体"/>
          <w:b/>
          <w:color w:val="auto"/>
          <w:sz w:val="24"/>
          <w:highlight w:val="none"/>
          <w:lang w:val="en-US" w:eastAsia="zh-CN"/>
        </w:rPr>
        <w:t>书</w:t>
      </w:r>
      <w:r>
        <w:rPr>
          <w:rFonts w:hint="eastAsia" w:ascii="宋体" w:hAnsi="宋体" w:cs="宋体"/>
          <w:b/>
          <w:color w:val="auto"/>
          <w:sz w:val="24"/>
          <w:highlight w:val="none"/>
        </w:rPr>
        <w:t>；本项目不接受联合体投标或者投标人不以联合体形式投标的，则不需要提供）</w:t>
      </w:r>
    </w:p>
    <w:p w14:paraId="14187E65">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u w:val="single"/>
        </w:rPr>
        <w:t>（联合体所有成员名称）</w:t>
      </w:r>
      <w:r>
        <w:rPr>
          <w:rFonts w:hint="eastAsia" w:ascii="宋体" w:hAnsi="宋体" w:cs="宋体"/>
          <w:color w:val="auto"/>
          <w:kern w:val="0"/>
          <w:sz w:val="24"/>
          <w:highlight w:val="none"/>
        </w:rPr>
        <w:t>自愿</w:t>
      </w:r>
      <w:r>
        <w:rPr>
          <w:rFonts w:hint="eastAsia" w:ascii="宋体" w:hAnsi="宋体" w:cs="宋体"/>
          <w:color w:val="auto"/>
          <w:kern w:val="0"/>
          <w:sz w:val="24"/>
          <w:highlight w:val="none"/>
          <w:lang w:val="zh-CN"/>
        </w:rPr>
        <w:t>组成一个联合体，以一个投标人的身份</w:t>
      </w:r>
      <w:r>
        <w:rPr>
          <w:rFonts w:hint="eastAsia" w:ascii="宋体" w:hAnsi="宋体" w:cs="宋体"/>
          <w:color w:val="auto"/>
          <w:kern w:val="0"/>
          <w:sz w:val="24"/>
          <w:highlight w:val="none"/>
        </w:rPr>
        <w:t>参加</w:t>
      </w:r>
      <w:r>
        <w:rPr>
          <w:rFonts w:hint="eastAsia" w:ascii="宋体" w:hAnsi="宋体" w:cs="宋体"/>
          <w:color w:val="auto"/>
          <w:sz w:val="24"/>
          <w:highlight w:val="none"/>
        </w:rPr>
        <w:t>（项目名称）【</w:t>
      </w:r>
      <w:r>
        <w:rPr>
          <w:rFonts w:hint="eastAsia" w:cs="宋体"/>
          <w:color w:val="auto"/>
          <w:sz w:val="24"/>
          <w:highlight w:val="none"/>
          <w:lang w:val="en-US" w:eastAsia="zh-CN"/>
        </w:rPr>
        <w:t>项目</w:t>
      </w:r>
      <w:r>
        <w:rPr>
          <w:rFonts w:hint="eastAsia" w:ascii="宋体" w:hAnsi="宋体" w:cs="宋体"/>
          <w:color w:val="auto"/>
          <w:sz w:val="24"/>
          <w:highlight w:val="none"/>
        </w:rPr>
        <w:t>编号</w:t>
      </w:r>
      <w:r>
        <w:rPr>
          <w:rFonts w:hint="eastAsia" w:cs="宋体"/>
          <w:color w:val="auto"/>
          <w:sz w:val="24"/>
          <w:highlight w:val="none"/>
          <w:lang w:val="en-US" w:eastAsia="zh-CN"/>
        </w:rPr>
        <w:t>/包号</w:t>
      </w:r>
      <w:r>
        <w:rPr>
          <w:rFonts w:hint="eastAsia" w:ascii="宋体" w:hAnsi="宋体" w:cs="宋体"/>
          <w:color w:val="auto"/>
          <w:sz w:val="24"/>
          <w:highlight w:val="none"/>
        </w:rPr>
        <w:t>：</w:t>
      </w:r>
      <w:r>
        <w:rPr>
          <w:rFonts w:hint="eastAsia" w:cs="宋体"/>
          <w:color w:val="auto"/>
          <w:sz w:val="24"/>
          <w:highlight w:val="none"/>
          <w:lang w:val="en-US" w:eastAsia="zh-CN"/>
        </w:rPr>
        <w:t xml:space="preserve">    </w:t>
      </w:r>
      <w:r>
        <w:rPr>
          <w:rFonts w:hint="eastAsia" w:ascii="宋体" w:hAnsi="宋体" w:cs="宋体"/>
          <w:color w:val="auto"/>
          <w:sz w:val="24"/>
          <w:highlight w:val="none"/>
        </w:rPr>
        <w:t>】</w:t>
      </w:r>
      <w:r>
        <w:rPr>
          <w:rFonts w:hint="eastAsia" w:ascii="宋体" w:hAnsi="宋体" w:cs="宋体"/>
          <w:color w:val="auto"/>
          <w:kern w:val="0"/>
          <w:sz w:val="24"/>
          <w:highlight w:val="none"/>
          <w:lang w:val="zh-CN"/>
        </w:rPr>
        <w:t xml:space="preserve">投标。 </w:t>
      </w:r>
    </w:p>
    <w:p w14:paraId="682E8747">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一、各方一致决定，</w:t>
      </w:r>
      <w:r>
        <w:rPr>
          <w:rFonts w:hint="eastAsia" w:ascii="宋体" w:hAnsi="宋体" w:cs="宋体"/>
          <w:color w:val="auto"/>
          <w:kern w:val="0"/>
          <w:sz w:val="24"/>
          <w:highlight w:val="none"/>
          <w:u w:val="single"/>
        </w:rPr>
        <w:t>（某联合体成员名称）</w:t>
      </w:r>
      <w:r>
        <w:rPr>
          <w:rFonts w:hint="eastAsia" w:ascii="宋体" w:hAnsi="宋体" w:cs="宋体"/>
          <w:color w:val="auto"/>
          <w:kern w:val="0"/>
          <w:sz w:val="24"/>
          <w:highlight w:val="none"/>
        </w:rPr>
        <w:t>为联合体</w:t>
      </w:r>
      <w:r>
        <w:rPr>
          <w:rFonts w:hint="eastAsia" w:ascii="宋体" w:hAnsi="宋体" w:cs="宋体"/>
          <w:color w:val="auto"/>
          <w:kern w:val="0"/>
          <w:sz w:val="24"/>
          <w:highlight w:val="none"/>
          <w:lang w:val="zh-CN"/>
        </w:rPr>
        <w:t>牵头人</w:t>
      </w:r>
      <w:r>
        <w:rPr>
          <w:rFonts w:hint="eastAsia" w:ascii="宋体" w:hAnsi="宋体" w:cs="宋体"/>
          <w:color w:val="auto"/>
          <w:sz w:val="24"/>
          <w:highlight w:val="none"/>
        </w:rPr>
        <w:t>，代表所有联合体成员负责投标和合同实施阶段的主办、协调工作</w:t>
      </w:r>
      <w:r>
        <w:rPr>
          <w:rFonts w:hint="eastAsia" w:ascii="宋体" w:hAnsi="宋体" w:cs="宋体"/>
          <w:color w:val="auto"/>
          <w:kern w:val="0"/>
          <w:sz w:val="24"/>
          <w:highlight w:val="none"/>
          <w:lang w:val="zh-CN"/>
        </w:rPr>
        <w:t>。</w:t>
      </w:r>
    </w:p>
    <w:p w14:paraId="2FA3C75E">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二、</w:t>
      </w:r>
      <w:r>
        <w:rPr>
          <w:rFonts w:hint="eastAsia" w:ascii="宋体" w:hAnsi="宋体" w:cs="宋体"/>
          <w:color w:val="auto"/>
          <w:sz w:val="24"/>
          <w:highlight w:val="none"/>
        </w:rPr>
        <w:t>所有联合体成员各方签署授权书，授权书载明的</w:t>
      </w:r>
      <w:r>
        <w:rPr>
          <w:rFonts w:hint="eastAsia" w:ascii="宋体" w:hAnsi="宋体" w:cs="宋体"/>
          <w:color w:val="auto"/>
          <w:kern w:val="0"/>
          <w:sz w:val="24"/>
          <w:highlight w:val="none"/>
          <w:lang w:val="zh-CN"/>
        </w:rPr>
        <w:t>授权代表根据招标文件规定及投标内容而对采购人、采购代理机构所作的任何合法承诺，包括书面澄清及相应等均对联合投标各方产生约束力。</w:t>
      </w:r>
    </w:p>
    <w:p w14:paraId="794C7560">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三、本次联合投标中，分工如下：</w:t>
      </w:r>
    </w:p>
    <w:p w14:paraId="5742291A">
      <w:pPr>
        <w:snapToGrid w:val="0"/>
        <w:spacing w:line="360" w:lineRule="auto"/>
        <w:ind w:firstLine="576"/>
        <w:rPr>
          <w:rFonts w:ascii="宋体" w:hAnsi="宋体" w:cs="宋体"/>
          <w:color w:val="auto"/>
          <w:kern w:val="0"/>
          <w:sz w:val="24"/>
          <w:highlight w:val="none"/>
          <w:lang w:val="zh-CN"/>
        </w:rPr>
      </w:pPr>
      <w:bookmarkStart w:id="613" w:name="_Hlk101134295"/>
      <w:r>
        <w:rPr>
          <w:rFonts w:hint="eastAsia" w:ascii="宋体" w:hAnsi="宋体" w:cs="宋体"/>
          <w:color w:val="auto"/>
          <w:kern w:val="0"/>
          <w:sz w:val="24"/>
          <w:highlight w:val="none"/>
          <w:u w:val="single"/>
        </w:rPr>
        <w:t>（联合体成员1）</w:t>
      </w:r>
      <w:r>
        <w:rPr>
          <w:rFonts w:hint="eastAsia" w:ascii="宋体" w:hAnsi="宋体" w:cs="宋体"/>
          <w:color w:val="auto"/>
          <w:kern w:val="0"/>
          <w:sz w:val="24"/>
          <w:highlight w:val="none"/>
          <w:u w:val="single"/>
          <w:lang w:val="en-US" w:eastAsia="zh-CN"/>
        </w:rPr>
        <w:t xml:space="preserve">  </w:t>
      </w:r>
      <w:r>
        <w:rPr>
          <w:rFonts w:hint="eastAsia" w:ascii="宋体" w:hAnsi="宋体" w:cs="宋体"/>
          <w:color w:val="auto"/>
          <w:kern w:val="0"/>
          <w:sz w:val="24"/>
          <w:highlight w:val="none"/>
          <w:lang w:val="zh-CN"/>
        </w:rPr>
        <w:t>承担</w:t>
      </w:r>
      <w:r>
        <w:rPr>
          <w:rFonts w:hint="eastAsia" w:ascii="宋体" w:hAnsi="宋体" w:cs="宋体"/>
          <w:color w:val="auto"/>
          <w:kern w:val="0"/>
          <w:sz w:val="24"/>
          <w:highlight w:val="none"/>
          <w:lang w:val="en-US" w:eastAsia="zh-CN"/>
        </w:rPr>
        <w:t>项目采购合同金额的</w:t>
      </w:r>
      <w:r>
        <w:rPr>
          <w:rFonts w:hint="eastAsia" w:ascii="宋体" w:hAnsi="宋体" w:cs="宋体"/>
          <w:color w:val="auto"/>
          <w:kern w:val="0"/>
          <w:sz w:val="24"/>
          <w:highlight w:val="none"/>
          <w:u w:val="single"/>
          <w:lang w:val="en-US" w:eastAsia="zh-CN"/>
        </w:rPr>
        <w:t xml:space="preserve">      %</w:t>
      </w:r>
      <w:r>
        <w:rPr>
          <w:rFonts w:hint="eastAsia" w:ascii="宋体" w:hAnsi="宋体" w:cs="宋体"/>
          <w:color w:val="auto"/>
          <w:kern w:val="0"/>
          <w:sz w:val="24"/>
          <w:highlight w:val="none"/>
          <w:u w:val="none"/>
          <w:lang w:val="en-US" w:eastAsia="zh-CN"/>
        </w:rPr>
        <w:t>，负责</w:t>
      </w:r>
      <w:r>
        <w:rPr>
          <w:rFonts w:hint="eastAsia" w:ascii="宋体" w:hAnsi="宋体" w:cs="宋体"/>
          <w:color w:val="auto"/>
          <w:kern w:val="0"/>
          <w:sz w:val="24"/>
          <w:highlight w:val="none"/>
          <w:lang w:val="zh-CN"/>
        </w:rPr>
        <w:t>的工作和义务为：</w:t>
      </w:r>
      <w:r>
        <w:rPr>
          <w:rFonts w:hint="eastAsia" w:ascii="宋体" w:hAnsi="宋体" w:cs="宋体"/>
          <w:color w:val="auto"/>
          <w:highlight w:val="none"/>
          <w:u w:val="single"/>
        </w:rPr>
        <w:t xml:space="preserve">             </w:t>
      </w:r>
      <w:r>
        <w:rPr>
          <w:rFonts w:hint="eastAsia" w:ascii="宋体" w:hAnsi="宋体" w:cs="宋体"/>
          <w:color w:val="auto"/>
          <w:kern w:val="0"/>
          <w:sz w:val="24"/>
          <w:highlight w:val="none"/>
          <w:lang w:val="zh-CN"/>
        </w:rPr>
        <w:t>；</w:t>
      </w:r>
    </w:p>
    <w:p w14:paraId="51F758BD">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u w:val="single"/>
        </w:rPr>
        <w:t>（联合体成员</w:t>
      </w:r>
      <w:r>
        <w:rPr>
          <w:rFonts w:ascii="宋体" w:hAnsi="宋体" w:cs="宋体"/>
          <w:color w:val="auto"/>
          <w:kern w:val="0"/>
          <w:sz w:val="24"/>
          <w:highlight w:val="none"/>
          <w:u w:val="single"/>
        </w:rPr>
        <w:t>2</w:t>
      </w:r>
      <w:r>
        <w:rPr>
          <w:rFonts w:hint="eastAsia" w:ascii="宋体" w:hAnsi="宋体" w:cs="宋体"/>
          <w:color w:val="auto"/>
          <w:kern w:val="0"/>
          <w:sz w:val="24"/>
          <w:highlight w:val="none"/>
          <w:u w:val="single"/>
        </w:rPr>
        <w:t>）</w:t>
      </w:r>
      <w:r>
        <w:rPr>
          <w:rFonts w:hint="eastAsia" w:ascii="宋体" w:hAnsi="宋体" w:cs="宋体"/>
          <w:color w:val="auto"/>
          <w:kern w:val="0"/>
          <w:sz w:val="24"/>
          <w:highlight w:val="none"/>
          <w:u w:val="single"/>
          <w:lang w:val="en-US" w:eastAsia="zh-CN"/>
        </w:rPr>
        <w:t xml:space="preserve">  </w:t>
      </w:r>
      <w:r>
        <w:rPr>
          <w:rFonts w:hint="eastAsia" w:ascii="宋体" w:hAnsi="宋体" w:cs="宋体"/>
          <w:color w:val="auto"/>
          <w:kern w:val="0"/>
          <w:sz w:val="24"/>
          <w:highlight w:val="none"/>
          <w:lang w:val="zh-CN"/>
        </w:rPr>
        <w:t>承担</w:t>
      </w:r>
      <w:r>
        <w:rPr>
          <w:rFonts w:hint="eastAsia" w:ascii="宋体" w:hAnsi="宋体" w:cs="宋体"/>
          <w:color w:val="auto"/>
          <w:kern w:val="0"/>
          <w:sz w:val="24"/>
          <w:highlight w:val="none"/>
          <w:lang w:val="en-US" w:eastAsia="zh-CN"/>
        </w:rPr>
        <w:t>项目采购合同金额的</w:t>
      </w:r>
      <w:r>
        <w:rPr>
          <w:rFonts w:hint="eastAsia" w:ascii="宋体" w:hAnsi="宋体" w:cs="宋体"/>
          <w:color w:val="auto"/>
          <w:kern w:val="0"/>
          <w:sz w:val="24"/>
          <w:highlight w:val="none"/>
          <w:u w:val="single"/>
          <w:lang w:val="en-US" w:eastAsia="zh-CN"/>
        </w:rPr>
        <w:t xml:space="preserve">      %</w:t>
      </w:r>
      <w:r>
        <w:rPr>
          <w:rFonts w:hint="eastAsia" w:ascii="宋体" w:hAnsi="宋体" w:cs="宋体"/>
          <w:color w:val="auto"/>
          <w:kern w:val="0"/>
          <w:sz w:val="24"/>
          <w:highlight w:val="none"/>
          <w:u w:val="none"/>
          <w:lang w:val="en-US" w:eastAsia="zh-CN"/>
        </w:rPr>
        <w:t>，负责</w:t>
      </w:r>
      <w:r>
        <w:rPr>
          <w:rFonts w:hint="eastAsia" w:ascii="宋体" w:hAnsi="宋体" w:cs="宋体"/>
          <w:color w:val="auto"/>
          <w:kern w:val="0"/>
          <w:sz w:val="24"/>
          <w:highlight w:val="none"/>
          <w:lang w:val="zh-CN"/>
        </w:rPr>
        <w:t>的工作和义务为：</w:t>
      </w:r>
      <w:r>
        <w:rPr>
          <w:rFonts w:hint="eastAsia" w:ascii="宋体" w:hAnsi="宋体" w:cs="宋体"/>
          <w:color w:val="auto"/>
          <w:highlight w:val="none"/>
          <w:u w:val="single"/>
        </w:rPr>
        <w:t xml:space="preserve">             </w:t>
      </w:r>
      <w:r>
        <w:rPr>
          <w:rFonts w:hint="eastAsia" w:ascii="宋体" w:hAnsi="宋体" w:cs="宋体"/>
          <w:color w:val="auto"/>
          <w:kern w:val="0"/>
          <w:sz w:val="24"/>
          <w:highlight w:val="none"/>
          <w:lang w:val="zh-CN"/>
        </w:rPr>
        <w:t>；</w:t>
      </w:r>
    </w:p>
    <w:p w14:paraId="6E4350A6">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w:t>
      </w:r>
    </w:p>
    <w:bookmarkEnd w:id="613"/>
    <w:p w14:paraId="417425E1">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四、联合体成员中小企业合同份额。</w:t>
      </w:r>
    </w:p>
    <w:p w14:paraId="40493970">
      <w:pPr>
        <w:snapToGrid w:val="0"/>
        <w:spacing w:line="360" w:lineRule="auto"/>
        <w:ind w:firstLine="576"/>
        <w:rPr>
          <w:rFonts w:ascii="宋体" w:hAnsi="宋体" w:cs="宋体"/>
          <w:b/>
          <w:color w:val="auto"/>
          <w:kern w:val="0"/>
          <w:sz w:val="24"/>
          <w:highlight w:val="none"/>
          <w:lang w:val="zh-CN"/>
        </w:rPr>
      </w:pPr>
      <w:r>
        <w:rPr>
          <w:rFonts w:hint="eastAsia" w:ascii="宋体" w:hAnsi="宋体" w:cs="宋体"/>
          <w:color w:val="auto"/>
          <w:kern w:val="0"/>
          <w:sz w:val="24"/>
          <w:highlight w:val="none"/>
          <w:lang w:val="zh-CN"/>
        </w:rPr>
        <w:t>1、</w:t>
      </w:r>
      <w:r>
        <w:rPr>
          <w:rFonts w:hint="eastAsia" w:ascii="宋体" w:hAnsi="宋体" w:cs="宋体"/>
          <w:color w:val="auto"/>
          <w:kern w:val="0"/>
          <w:sz w:val="24"/>
          <w:highlight w:val="none"/>
          <w:u w:val="single"/>
        </w:rPr>
        <w:t>（联合体成员</w:t>
      </w:r>
      <w:r>
        <w:rPr>
          <w:rFonts w:ascii="宋体" w:hAnsi="宋体" w:cs="宋体"/>
          <w:color w:val="auto"/>
          <w:kern w:val="0"/>
          <w:sz w:val="24"/>
          <w:highlight w:val="none"/>
          <w:u w:val="single"/>
        </w:rPr>
        <w:t>X,</w:t>
      </w:r>
      <w:r>
        <w:rPr>
          <w:rFonts w:hint="eastAsia" w:ascii="宋体" w:hAnsi="宋体" w:cs="宋体"/>
          <w:color w:val="auto"/>
          <w:kern w:val="0"/>
          <w:sz w:val="24"/>
          <w:highlight w:val="none"/>
          <w:u w:val="single"/>
        </w:rPr>
        <w:t>……）</w:t>
      </w:r>
      <w:r>
        <w:rPr>
          <w:rFonts w:hint="eastAsia" w:ascii="宋体" w:hAnsi="宋体" w:cs="宋体"/>
          <w:color w:val="auto"/>
          <w:kern w:val="0"/>
          <w:sz w:val="24"/>
          <w:highlight w:val="none"/>
        </w:rPr>
        <w:t>提供的全部</w:t>
      </w:r>
      <w:r>
        <w:rPr>
          <w:rFonts w:hint="eastAsia" w:cs="宋体"/>
          <w:color w:val="auto"/>
          <w:kern w:val="0"/>
          <w:sz w:val="24"/>
          <w:highlight w:val="none"/>
          <w:lang w:val="en-US" w:eastAsia="zh-CN"/>
        </w:rPr>
        <w:t>服务及</w:t>
      </w:r>
      <w:r>
        <w:rPr>
          <w:rFonts w:hint="eastAsia" w:ascii="宋体" w:hAnsi="宋体" w:cs="宋体"/>
          <w:color w:val="auto"/>
          <w:kern w:val="0"/>
          <w:sz w:val="24"/>
          <w:highlight w:val="none"/>
        </w:rPr>
        <w:t>货物由小微企业</w:t>
      </w:r>
      <w:r>
        <w:rPr>
          <w:rFonts w:hint="eastAsia" w:cs="宋体"/>
          <w:color w:val="auto"/>
          <w:kern w:val="0"/>
          <w:sz w:val="24"/>
          <w:highlight w:val="none"/>
          <w:lang w:val="en-US" w:eastAsia="zh-CN"/>
        </w:rPr>
        <w:t>提供和</w:t>
      </w:r>
      <w:r>
        <w:rPr>
          <w:rFonts w:hint="eastAsia" w:ascii="宋体" w:hAnsi="宋体" w:cs="宋体"/>
          <w:color w:val="auto"/>
          <w:kern w:val="0"/>
          <w:sz w:val="24"/>
          <w:highlight w:val="none"/>
        </w:rPr>
        <w:t>制造，其合同份额占到合同总金额</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%以上；</w:t>
      </w:r>
      <w:r>
        <w:rPr>
          <w:rFonts w:hint="eastAsia" w:ascii="宋体" w:hAnsi="宋体" w:cs="宋体"/>
          <w:color w:val="auto"/>
          <w:kern w:val="0"/>
          <w:sz w:val="24"/>
          <w:highlight w:val="none"/>
          <w:lang w:val="zh-CN"/>
        </w:rPr>
        <w:t>……。</w:t>
      </w:r>
      <w:r>
        <w:rPr>
          <w:rFonts w:hint="eastAsia" w:ascii="宋体" w:hAnsi="宋体" w:cs="宋体"/>
          <w:b/>
          <w:color w:val="auto"/>
          <w:kern w:val="0"/>
          <w:sz w:val="24"/>
          <w:highlight w:val="none"/>
          <w:lang w:val="zh-CN"/>
        </w:rPr>
        <w:t>（未预留份额专门面向中小企业采购的采购项目，以及预留份额中的非预留部分采购包，接受联合体投标的，联合</w:t>
      </w:r>
      <w:r>
        <w:rPr>
          <w:rFonts w:hint="eastAsia" w:cs="宋体"/>
          <w:b/>
          <w:color w:val="auto"/>
          <w:kern w:val="0"/>
          <w:sz w:val="24"/>
          <w:highlight w:val="none"/>
          <w:lang w:val="en-US" w:eastAsia="zh-CN"/>
        </w:rPr>
        <w:t>体</w:t>
      </w:r>
      <w:r>
        <w:rPr>
          <w:rFonts w:hint="eastAsia" w:ascii="宋体" w:hAnsi="宋体" w:cs="宋体"/>
          <w:b/>
          <w:color w:val="auto"/>
          <w:kern w:val="0"/>
          <w:sz w:val="24"/>
          <w:highlight w:val="none"/>
          <w:lang w:val="zh-CN"/>
        </w:rPr>
        <w:t>协议</w:t>
      </w:r>
      <w:r>
        <w:rPr>
          <w:rFonts w:hint="eastAsia" w:cs="宋体"/>
          <w:b/>
          <w:color w:val="auto"/>
          <w:kern w:val="0"/>
          <w:sz w:val="24"/>
          <w:highlight w:val="none"/>
          <w:lang w:val="en-US" w:eastAsia="zh-CN"/>
        </w:rPr>
        <w:t>书</w:t>
      </w:r>
      <w:r>
        <w:rPr>
          <w:rFonts w:hint="eastAsia" w:ascii="宋体" w:hAnsi="宋体" w:cs="宋体"/>
          <w:b/>
          <w:color w:val="auto"/>
          <w:kern w:val="0"/>
          <w:sz w:val="24"/>
          <w:highlight w:val="none"/>
          <w:lang w:val="zh-CN"/>
        </w:rPr>
        <w:t>约定小微企业的合同份额占到合同总金额30%以上的，对联合体报价按评标标准确定的比例给予扣除。供应商</w:t>
      </w:r>
      <w:r>
        <w:rPr>
          <w:rFonts w:hint="eastAsia" w:ascii="宋体" w:hAnsi="宋体" w:cs="宋体"/>
          <w:b/>
          <w:color w:val="auto"/>
          <w:sz w:val="24"/>
          <w:highlight w:val="none"/>
        </w:rPr>
        <w:t>拟享受以上价格扣除政策的，填写有关内容。</w:t>
      </w:r>
      <w:r>
        <w:rPr>
          <w:rFonts w:hint="eastAsia" w:ascii="宋体" w:hAnsi="宋体" w:cs="宋体"/>
          <w:b/>
          <w:color w:val="auto"/>
          <w:kern w:val="0"/>
          <w:sz w:val="24"/>
          <w:highlight w:val="none"/>
          <w:lang w:val="zh-CN"/>
        </w:rPr>
        <w:t>）</w:t>
      </w:r>
    </w:p>
    <w:p w14:paraId="1C0B640E">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sz w:val="24"/>
          <w:highlight w:val="none"/>
        </w:rPr>
        <w:t>2、中小企业合同金额达到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%，其中小微企业合同金额达到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w:t>
      </w:r>
      <w:r>
        <w:rPr>
          <w:rFonts w:hint="eastAsia" w:ascii="宋体" w:hAnsi="宋体" w:cs="宋体"/>
          <w:color w:val="auto"/>
          <w:kern w:val="0"/>
          <w:sz w:val="24"/>
          <w:highlight w:val="none"/>
          <w:lang w:val="zh-CN"/>
        </w:rPr>
        <w:t>。</w:t>
      </w:r>
      <w:r>
        <w:rPr>
          <w:rFonts w:hint="eastAsia" w:ascii="宋体" w:hAnsi="宋体" w:cs="宋体"/>
          <w:b/>
          <w:bCs/>
          <w:color w:val="auto"/>
          <w:kern w:val="0"/>
          <w:sz w:val="24"/>
          <w:highlight w:val="none"/>
          <w:lang w:val="zh-CN"/>
        </w:rPr>
        <w:t>（</w:t>
      </w:r>
      <w:r>
        <w:rPr>
          <w:rFonts w:hint="eastAsia" w:ascii="宋体" w:hAnsi="宋体" w:cs="宋体"/>
          <w:b/>
          <w:bCs/>
          <w:color w:val="auto"/>
          <w:sz w:val="24"/>
          <w:highlight w:val="none"/>
        </w:rPr>
        <w:t>要求以联合体形式参加的项目或采购包，供应商按招标文件第一部分招标公告申请人的资格要求中规定的联合</w:t>
      </w:r>
      <w:r>
        <w:rPr>
          <w:rFonts w:hint="eastAsia" w:cs="宋体"/>
          <w:b/>
          <w:bCs/>
          <w:color w:val="auto"/>
          <w:sz w:val="24"/>
          <w:highlight w:val="none"/>
          <w:lang w:val="en-US" w:eastAsia="zh-CN"/>
        </w:rPr>
        <w:t>体</w:t>
      </w:r>
      <w:r>
        <w:rPr>
          <w:rFonts w:hint="eastAsia" w:ascii="宋体" w:hAnsi="宋体" w:cs="宋体"/>
          <w:b/>
          <w:bCs/>
          <w:color w:val="auto"/>
          <w:sz w:val="24"/>
          <w:highlight w:val="none"/>
        </w:rPr>
        <w:t>协议</w:t>
      </w:r>
      <w:r>
        <w:rPr>
          <w:rFonts w:hint="eastAsia" w:cs="宋体"/>
          <w:b/>
          <w:bCs/>
          <w:color w:val="auto"/>
          <w:sz w:val="24"/>
          <w:highlight w:val="none"/>
          <w:lang w:val="en-US" w:eastAsia="zh-CN"/>
        </w:rPr>
        <w:t>书</w:t>
      </w:r>
      <w:r>
        <w:rPr>
          <w:rFonts w:hint="eastAsia" w:ascii="宋体" w:hAnsi="宋体" w:cs="宋体"/>
          <w:b/>
          <w:bCs/>
          <w:color w:val="auto"/>
          <w:sz w:val="24"/>
          <w:highlight w:val="none"/>
        </w:rPr>
        <w:t>中中小企业、小微企业合同金额应当达到的比例要求填写。</w:t>
      </w:r>
      <w:r>
        <w:rPr>
          <w:rFonts w:hint="eastAsia" w:ascii="宋体" w:hAnsi="宋体" w:cs="宋体"/>
          <w:b/>
          <w:bCs/>
          <w:color w:val="auto"/>
          <w:kern w:val="0"/>
          <w:sz w:val="24"/>
          <w:highlight w:val="none"/>
          <w:lang w:val="zh-CN"/>
        </w:rPr>
        <w:t>）</w:t>
      </w:r>
    </w:p>
    <w:p w14:paraId="1EC462A4">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五、如果中标，</w:t>
      </w:r>
      <w:r>
        <w:rPr>
          <w:rFonts w:hint="eastAsia" w:ascii="宋体" w:hAnsi="宋体" w:cs="宋体"/>
          <w:color w:val="auto"/>
          <w:sz w:val="24"/>
          <w:highlight w:val="none"/>
        </w:rPr>
        <w:t>联合体各成员方共同与采购人签订</w:t>
      </w:r>
      <w:r>
        <w:rPr>
          <w:rFonts w:hint="eastAsia" w:ascii="宋体" w:hAnsi="宋体" w:cs="宋体"/>
          <w:color w:val="auto"/>
          <w:sz w:val="24"/>
          <w:highlight w:val="none"/>
          <w:lang w:val="en-US" w:eastAsia="zh-CN"/>
        </w:rPr>
        <w:t>采购</w:t>
      </w:r>
      <w:r>
        <w:rPr>
          <w:rFonts w:hint="eastAsia" w:ascii="宋体" w:hAnsi="宋体" w:cs="宋体"/>
          <w:color w:val="auto"/>
          <w:sz w:val="24"/>
          <w:highlight w:val="none"/>
        </w:rPr>
        <w:t>合同，并就采购合同约定的事项对采购人承担连带责任。</w:t>
      </w:r>
    </w:p>
    <w:p w14:paraId="0B6A82FE">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六、有关本次联合投标的其他事宜：</w:t>
      </w:r>
    </w:p>
    <w:p w14:paraId="518CE91A">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1、联合体各方不再单独参加或者与其他供应商另外组成联合体参加同一合同项下的政府采购活动。</w:t>
      </w:r>
    </w:p>
    <w:p w14:paraId="23C062C0">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2、联合体中有同类资质的各方按照联合体分工承担相同工作的，按照资质等级较低的供应商确定资质等级。</w:t>
      </w:r>
    </w:p>
    <w:p w14:paraId="0DAC4003">
      <w:pPr>
        <w:snapToGrid w:val="0"/>
        <w:spacing w:line="360" w:lineRule="auto"/>
        <w:ind w:firstLine="576"/>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3、本协议提交采购人、采购代理机构后，联合体各方不得以任何形式对上述内容进行修改或撤销。</w:t>
      </w:r>
    </w:p>
    <w:p w14:paraId="5B293209">
      <w:pPr>
        <w:snapToGrid w:val="0"/>
        <w:spacing w:line="360" w:lineRule="auto"/>
        <w:ind w:firstLine="576"/>
        <w:rPr>
          <w:rFonts w:hint="eastAsia" w:ascii="宋体" w:hAnsi="宋体" w:cs="宋体"/>
          <w:color w:val="auto"/>
          <w:kern w:val="0"/>
          <w:sz w:val="24"/>
          <w:highlight w:val="none"/>
          <w:lang w:val="zh-CN"/>
        </w:rPr>
      </w:pPr>
      <w:r>
        <w:rPr>
          <w:rFonts w:hint="eastAsia" w:cs="宋体"/>
          <w:color w:val="auto"/>
          <w:kern w:val="0"/>
          <w:sz w:val="24"/>
          <w:highlight w:val="none"/>
          <w:lang w:val="en-US" w:eastAsia="zh-CN"/>
        </w:rPr>
        <w:t>4、</w:t>
      </w:r>
      <w:r>
        <w:rPr>
          <w:rFonts w:hint="eastAsia" w:ascii="宋体" w:hAnsi="宋体" w:cs="宋体"/>
          <w:color w:val="auto"/>
          <w:kern w:val="0"/>
          <w:sz w:val="24"/>
          <w:highlight w:val="none"/>
          <w:lang w:val="zh-CN"/>
        </w:rPr>
        <w:t>其他：……</w:t>
      </w:r>
    </w:p>
    <w:p w14:paraId="43009373">
      <w:pPr>
        <w:snapToGrid w:val="0"/>
        <w:spacing w:line="360" w:lineRule="auto"/>
        <w:ind w:firstLine="576"/>
        <w:rPr>
          <w:rFonts w:hint="eastAsia" w:ascii="宋体" w:hAnsi="宋体" w:cs="宋体"/>
          <w:color w:val="auto"/>
          <w:kern w:val="0"/>
          <w:sz w:val="24"/>
          <w:highlight w:val="none"/>
          <w:lang w:val="zh-CN"/>
        </w:rPr>
      </w:pPr>
      <w:r>
        <w:rPr>
          <w:rFonts w:hint="eastAsia" w:cs="宋体"/>
          <w:color w:val="auto"/>
          <w:kern w:val="0"/>
          <w:sz w:val="24"/>
          <w:highlight w:val="none"/>
          <w:lang w:val="en-US" w:eastAsia="zh-CN"/>
        </w:rPr>
        <w:t>5、</w:t>
      </w:r>
      <w:r>
        <w:rPr>
          <w:rFonts w:hint="eastAsia" w:ascii="宋体" w:hAnsi="宋体" w:cs="宋体"/>
          <w:color w:val="auto"/>
          <w:kern w:val="0"/>
          <w:sz w:val="24"/>
          <w:highlight w:val="none"/>
          <w:lang w:val="zh-CN"/>
        </w:rPr>
        <w:t>本协议书自签署之日起生效，若未中标，自本次投标有效期结束后自行失效；若中标，自合同书规定的期限之后自行失效。</w:t>
      </w:r>
    </w:p>
    <w:p w14:paraId="580F475F">
      <w:pPr>
        <w:snapToGrid w:val="0"/>
        <w:spacing w:line="360" w:lineRule="auto"/>
        <w:ind w:firstLine="576"/>
        <w:rPr>
          <w:rFonts w:hint="eastAsia" w:ascii="宋体" w:hAnsi="宋体" w:cs="宋体"/>
          <w:color w:val="auto"/>
          <w:kern w:val="0"/>
          <w:sz w:val="24"/>
          <w:highlight w:val="none"/>
          <w:lang w:val="zh-CN"/>
        </w:rPr>
      </w:pPr>
      <w:r>
        <w:rPr>
          <w:rFonts w:hint="eastAsia" w:cs="宋体"/>
          <w:color w:val="auto"/>
          <w:kern w:val="0"/>
          <w:sz w:val="24"/>
          <w:highlight w:val="none"/>
          <w:lang w:val="en-US" w:eastAsia="zh-CN"/>
        </w:rPr>
        <w:t>6、</w:t>
      </w:r>
      <w:r>
        <w:rPr>
          <w:rFonts w:hint="eastAsia" w:ascii="宋体" w:hAnsi="宋体" w:cs="宋体"/>
          <w:color w:val="auto"/>
          <w:kern w:val="0"/>
          <w:sz w:val="24"/>
          <w:highlight w:val="none"/>
          <w:lang w:val="zh-CN"/>
        </w:rPr>
        <w:t>本协议书正本一式</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lang w:val="zh-CN"/>
        </w:rPr>
        <w:t>份，联合体成员各执</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lang w:val="zh-CN"/>
        </w:rPr>
        <w:t>份；副本一式</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lang w:val="zh-CN"/>
        </w:rPr>
        <w:t>份，联合体成员各执</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lang w:val="zh-CN"/>
        </w:rPr>
        <w:t>份。</w:t>
      </w:r>
    </w:p>
    <w:p w14:paraId="75ABC4BD">
      <w:pPr>
        <w:snapToGrid w:val="0"/>
        <w:spacing w:line="360" w:lineRule="auto"/>
        <w:ind w:firstLine="576"/>
        <w:rPr>
          <w:rFonts w:hint="eastAsia" w:ascii="宋体" w:hAnsi="宋体" w:cs="宋体"/>
          <w:color w:val="auto"/>
          <w:kern w:val="0"/>
          <w:sz w:val="24"/>
          <w:highlight w:val="none"/>
          <w:lang w:val="zh-CN"/>
        </w:rPr>
      </w:pPr>
    </w:p>
    <w:p w14:paraId="4D791421">
      <w:pPr>
        <w:snapToGrid w:val="0"/>
        <w:spacing w:line="360" w:lineRule="auto"/>
        <w:ind w:firstLine="576"/>
        <w:rPr>
          <w:rFonts w:hint="eastAsia" w:ascii="宋体" w:hAnsi="宋体" w:cs="宋体"/>
          <w:color w:val="auto"/>
          <w:kern w:val="0"/>
          <w:sz w:val="24"/>
          <w:highlight w:val="none"/>
          <w:lang w:val="zh-CN"/>
        </w:rPr>
      </w:pPr>
    </w:p>
    <w:p w14:paraId="1BE31DA1">
      <w:pPr>
        <w:snapToGrid w:val="0"/>
        <w:spacing w:line="360" w:lineRule="auto"/>
        <w:ind w:firstLine="3840" w:firstLineChars="16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联合体成员</w:t>
      </w:r>
      <w:r>
        <w:rPr>
          <w:rFonts w:hint="eastAsia" w:ascii="宋体" w:hAnsi="宋体" w:cs="宋体"/>
          <w:color w:val="auto"/>
          <w:kern w:val="0"/>
          <w:sz w:val="24"/>
          <w:highlight w:val="none"/>
          <w:lang w:val="en-US" w:eastAsia="zh-CN"/>
        </w:rPr>
        <w:t>1</w:t>
      </w:r>
      <w:r>
        <w:rPr>
          <w:rFonts w:hint="eastAsia" w:ascii="宋体" w:hAnsi="宋体" w:cs="宋体"/>
          <w:color w:val="auto"/>
          <w:kern w:val="0"/>
          <w:sz w:val="24"/>
          <w:highlight w:val="none"/>
          <w:lang w:val="zh-CN"/>
        </w:rPr>
        <w:t>名称</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ascii="宋体" w:hAnsi="宋体" w:cs="宋体"/>
          <w:color w:val="auto"/>
          <w:kern w:val="0"/>
          <w:sz w:val="24"/>
          <w:highlight w:val="none"/>
          <w:lang w:val="zh-CN"/>
        </w:rPr>
        <w:t>)：</w:t>
      </w:r>
    </w:p>
    <w:p w14:paraId="0F946487">
      <w:pPr>
        <w:snapToGrid w:val="0"/>
        <w:spacing w:line="360" w:lineRule="auto"/>
        <w:ind w:firstLine="3840" w:firstLineChars="16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联合体成员</w:t>
      </w:r>
      <w:r>
        <w:rPr>
          <w:rFonts w:hint="eastAsia" w:ascii="宋体" w:hAnsi="宋体" w:cs="宋体"/>
          <w:color w:val="auto"/>
          <w:kern w:val="0"/>
          <w:sz w:val="24"/>
          <w:highlight w:val="none"/>
          <w:lang w:val="en-US" w:eastAsia="zh-CN"/>
        </w:rPr>
        <w:t>2</w:t>
      </w:r>
      <w:r>
        <w:rPr>
          <w:rFonts w:hint="eastAsia" w:ascii="宋体" w:hAnsi="宋体" w:cs="宋体"/>
          <w:color w:val="auto"/>
          <w:kern w:val="0"/>
          <w:sz w:val="24"/>
          <w:highlight w:val="none"/>
          <w:lang w:val="zh-CN"/>
        </w:rPr>
        <w:t>名称</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ascii="宋体" w:hAnsi="宋体" w:cs="宋体"/>
          <w:color w:val="auto"/>
          <w:kern w:val="0"/>
          <w:sz w:val="24"/>
          <w:highlight w:val="none"/>
          <w:lang w:val="zh-CN"/>
        </w:rPr>
        <w:t>)：</w:t>
      </w:r>
    </w:p>
    <w:p w14:paraId="2C01AA77">
      <w:pPr>
        <w:snapToGrid w:val="0"/>
        <w:spacing w:line="360" w:lineRule="auto"/>
        <w:ind w:right="960"/>
        <w:jc w:val="center"/>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w:t>
      </w:r>
    </w:p>
    <w:p w14:paraId="64D03F6B">
      <w:pPr>
        <w:snapToGrid w:val="0"/>
        <w:spacing w:line="360" w:lineRule="auto"/>
        <w:jc w:val="righ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日期：  年  月   日</w:t>
      </w:r>
    </w:p>
    <w:p w14:paraId="69BB115A">
      <w:pPr>
        <w:spacing w:line="360" w:lineRule="auto"/>
        <w:ind w:right="420"/>
        <w:rPr>
          <w:rFonts w:ascii="宋体" w:hAnsi="宋体" w:cs="宋体"/>
          <w:color w:val="auto"/>
          <w:sz w:val="21"/>
          <w:szCs w:val="21"/>
          <w:highlight w:val="none"/>
        </w:rPr>
      </w:pPr>
      <w:r>
        <w:rPr>
          <w:rFonts w:hint="eastAsia" w:ascii="宋体" w:hAnsi="宋体" w:cs="宋体"/>
          <w:color w:val="auto"/>
          <w:sz w:val="21"/>
          <w:szCs w:val="21"/>
          <w:highlight w:val="none"/>
        </w:rPr>
        <w:t>注：按本格式和要求提供。</w:t>
      </w:r>
    </w:p>
    <w:p w14:paraId="68A2ACB2">
      <w:pPr>
        <w:keepNext w:val="0"/>
        <w:keepLines w:val="0"/>
        <w:pageBreakBefore w:val="0"/>
        <w:kinsoku/>
        <w:overflowPunct/>
        <w:topLinePunct w:val="0"/>
        <w:autoSpaceDE/>
        <w:autoSpaceDN/>
        <w:bidi w:val="0"/>
        <w:spacing w:before="157" w:beforeLines="50" w:after="157" w:afterLines="50"/>
        <w:ind w:left="2520" w:leftChars="1050"/>
        <w:textAlignment w:val="auto"/>
        <w:rPr>
          <w:rFonts w:cs="Tahoma"/>
          <w:color w:val="auto"/>
          <w:highlight w:val="none"/>
          <w:u w:val="single"/>
        </w:rPr>
      </w:pPr>
      <w:r>
        <w:rPr>
          <w:rFonts w:cs="Tahoma"/>
          <w:color w:val="auto"/>
          <w:highlight w:val="none"/>
          <w:u w:val="single"/>
        </w:rPr>
        <w:br w:type="page"/>
      </w:r>
    </w:p>
    <w:p w14:paraId="054D30BD">
      <w:pPr>
        <w:pStyle w:val="3"/>
        <w:bidi w:val="0"/>
        <w:rPr>
          <w:rFonts w:hint="eastAsia"/>
          <w:color w:val="auto"/>
          <w:sz w:val="28"/>
          <w:szCs w:val="28"/>
          <w:highlight w:val="none"/>
          <w:lang w:val="zh-CN" w:eastAsia="zh-CN"/>
        </w:rPr>
      </w:pPr>
      <w:bookmarkStart w:id="614" w:name="_Toc156490356"/>
      <w:bookmarkStart w:id="615" w:name="_Toc162299566"/>
      <w:bookmarkStart w:id="616" w:name="_Toc10975"/>
      <w:bookmarkStart w:id="617" w:name="_Toc20320"/>
      <w:bookmarkStart w:id="618" w:name="_Hlk101169080"/>
      <w:r>
        <w:rPr>
          <w:rFonts w:hint="eastAsia"/>
          <w:color w:val="auto"/>
          <w:sz w:val="28"/>
          <w:szCs w:val="28"/>
          <w:highlight w:val="none"/>
          <w:lang w:val="en-US" w:eastAsia="zh-CN"/>
        </w:rPr>
        <w:t>三、</w:t>
      </w:r>
      <w:r>
        <w:rPr>
          <w:rFonts w:hint="eastAsia"/>
          <w:color w:val="auto"/>
          <w:sz w:val="28"/>
          <w:szCs w:val="28"/>
          <w:highlight w:val="none"/>
          <w:lang w:val="zh-CN" w:eastAsia="zh-CN"/>
        </w:rPr>
        <w:t>分包意向协议书【如适用】</w:t>
      </w:r>
      <w:bookmarkEnd w:id="614"/>
      <w:bookmarkEnd w:id="615"/>
      <w:bookmarkEnd w:id="616"/>
      <w:bookmarkEnd w:id="617"/>
    </w:p>
    <w:p w14:paraId="7214AD2B">
      <w:pPr>
        <w:snapToGrid w:val="0"/>
        <w:spacing w:line="360" w:lineRule="auto"/>
        <w:jc w:val="center"/>
        <w:outlineLvl w:val="0"/>
        <w:rPr>
          <w:rFonts w:hint="eastAsia" w:ascii="宋体" w:hAnsi="宋体" w:eastAsia="宋体" w:cs="宋体"/>
          <w:b/>
          <w:color w:val="auto"/>
          <w:kern w:val="0"/>
          <w:sz w:val="32"/>
          <w:szCs w:val="32"/>
          <w:highlight w:val="none"/>
          <w:lang w:val="en-US" w:eastAsia="zh-CN"/>
        </w:rPr>
      </w:pPr>
      <w:bookmarkStart w:id="619" w:name="_Toc3174"/>
      <w:bookmarkStart w:id="620" w:name="_Toc14674"/>
      <w:bookmarkStart w:id="621" w:name="_Toc18859"/>
      <w:r>
        <w:rPr>
          <w:rFonts w:hint="eastAsia" w:ascii="宋体" w:hAnsi="宋体" w:cs="宋体"/>
          <w:b/>
          <w:color w:val="auto"/>
          <w:kern w:val="0"/>
          <w:sz w:val="32"/>
          <w:szCs w:val="32"/>
          <w:highlight w:val="none"/>
        </w:rPr>
        <w:t>分包意向协议</w:t>
      </w:r>
      <w:r>
        <w:rPr>
          <w:rFonts w:hint="eastAsia" w:ascii="宋体" w:hAnsi="宋体" w:cs="宋体"/>
          <w:b/>
          <w:color w:val="auto"/>
          <w:kern w:val="0"/>
          <w:sz w:val="32"/>
          <w:szCs w:val="32"/>
          <w:highlight w:val="none"/>
          <w:lang w:val="en-US" w:eastAsia="zh-CN"/>
        </w:rPr>
        <w:t>书</w:t>
      </w:r>
      <w:bookmarkEnd w:id="619"/>
      <w:bookmarkEnd w:id="620"/>
      <w:bookmarkEnd w:id="621"/>
    </w:p>
    <w:p w14:paraId="4E9F0BF4">
      <w:pPr>
        <w:widowControl/>
        <w:spacing w:line="360" w:lineRule="auto"/>
        <w:ind w:firstLine="120" w:firstLineChars="50"/>
        <w:jc w:val="left"/>
        <w:rPr>
          <w:rFonts w:hint="eastAsia" w:ascii="宋体" w:hAnsi="宋体" w:eastAsia="宋体" w:cs="宋体"/>
          <w:color w:val="auto"/>
          <w:sz w:val="24"/>
          <w:highlight w:val="none"/>
          <w:lang w:eastAsia="zh-CN"/>
        </w:rPr>
      </w:pPr>
      <w:r>
        <w:rPr>
          <w:rFonts w:hint="eastAsia" w:cs="宋体"/>
          <w:color w:val="auto"/>
          <w:sz w:val="24"/>
          <w:highlight w:val="none"/>
          <w:lang w:eastAsia="zh-CN"/>
        </w:rPr>
        <w:t>【</w:t>
      </w:r>
      <w:r>
        <w:rPr>
          <w:rFonts w:hint="eastAsia" w:ascii="宋体" w:hAnsi="宋体" w:cs="宋体"/>
          <w:b/>
          <w:color w:val="auto"/>
          <w:sz w:val="24"/>
          <w:highlight w:val="none"/>
        </w:rPr>
        <w:t>中标后以分包方式履行合同的，提供分包意向协议</w:t>
      </w:r>
      <w:r>
        <w:rPr>
          <w:rFonts w:hint="eastAsia" w:cs="宋体"/>
          <w:b/>
          <w:color w:val="auto"/>
          <w:sz w:val="24"/>
          <w:highlight w:val="none"/>
          <w:lang w:val="en-US" w:eastAsia="zh-CN"/>
        </w:rPr>
        <w:t>书</w:t>
      </w:r>
      <w:r>
        <w:rPr>
          <w:rFonts w:hint="eastAsia" w:ascii="宋体" w:hAnsi="宋体" w:cs="宋体"/>
          <w:b/>
          <w:color w:val="auto"/>
          <w:sz w:val="24"/>
          <w:highlight w:val="none"/>
        </w:rPr>
        <w:t>；采购人不同意分包或者投标人中标后不以分包方式履行合同的，则不需要提供。</w:t>
      </w:r>
      <w:r>
        <w:rPr>
          <w:rFonts w:hint="eastAsia" w:cs="宋体"/>
          <w:color w:val="auto"/>
          <w:sz w:val="24"/>
          <w:highlight w:val="none"/>
          <w:lang w:eastAsia="zh-CN"/>
        </w:rPr>
        <w:t>】</w:t>
      </w:r>
    </w:p>
    <w:p w14:paraId="5791A450">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u w:val="single"/>
        </w:rPr>
        <w:t>（投标人名称）</w:t>
      </w:r>
      <w:r>
        <w:rPr>
          <w:rFonts w:hint="eastAsia" w:ascii="宋体" w:hAnsi="宋体" w:cs="宋体"/>
          <w:color w:val="auto"/>
          <w:kern w:val="0"/>
          <w:sz w:val="24"/>
          <w:highlight w:val="none"/>
          <w:lang w:val="zh-CN"/>
        </w:rPr>
        <w:t>若成为</w:t>
      </w:r>
      <w:r>
        <w:rPr>
          <w:rFonts w:hint="eastAsia" w:ascii="宋体" w:hAnsi="宋体" w:cs="宋体"/>
          <w:color w:val="auto"/>
          <w:sz w:val="24"/>
          <w:highlight w:val="none"/>
        </w:rPr>
        <w:t>（项目名称）【</w:t>
      </w:r>
      <w:r>
        <w:rPr>
          <w:rFonts w:hint="eastAsia" w:cs="宋体"/>
          <w:color w:val="auto"/>
          <w:sz w:val="24"/>
          <w:highlight w:val="none"/>
          <w:lang w:val="en-US" w:eastAsia="zh-CN"/>
        </w:rPr>
        <w:t>项目</w:t>
      </w:r>
      <w:r>
        <w:rPr>
          <w:rFonts w:hint="eastAsia" w:ascii="宋体" w:hAnsi="宋体" w:cs="宋体"/>
          <w:color w:val="auto"/>
          <w:sz w:val="24"/>
          <w:highlight w:val="none"/>
        </w:rPr>
        <w:t>编号</w:t>
      </w:r>
      <w:r>
        <w:rPr>
          <w:rFonts w:hint="eastAsia" w:cs="宋体"/>
          <w:color w:val="auto"/>
          <w:sz w:val="24"/>
          <w:highlight w:val="none"/>
          <w:lang w:val="en-US" w:eastAsia="zh-CN"/>
        </w:rPr>
        <w:t>/包号</w:t>
      </w:r>
      <w:r>
        <w:rPr>
          <w:rFonts w:hint="eastAsia" w:ascii="宋体" w:hAnsi="宋体" w:cs="宋体"/>
          <w:color w:val="auto"/>
          <w:sz w:val="24"/>
          <w:highlight w:val="none"/>
        </w:rPr>
        <w:t>：</w:t>
      </w:r>
      <w:r>
        <w:rPr>
          <w:rFonts w:hint="eastAsia" w:cs="宋体"/>
          <w:color w:val="auto"/>
          <w:sz w:val="24"/>
          <w:highlight w:val="none"/>
          <w:lang w:val="en-US" w:eastAsia="zh-CN"/>
        </w:rPr>
        <w:t xml:space="preserve">  </w:t>
      </w:r>
      <w:r>
        <w:rPr>
          <w:rFonts w:hint="eastAsia" w:ascii="宋体" w:hAnsi="宋体" w:cs="宋体"/>
          <w:color w:val="auto"/>
          <w:sz w:val="24"/>
          <w:highlight w:val="none"/>
        </w:rPr>
        <w:t>】</w:t>
      </w:r>
      <w:r>
        <w:rPr>
          <w:rFonts w:hint="eastAsia" w:ascii="宋体" w:hAnsi="宋体" w:cs="宋体"/>
          <w:color w:val="auto"/>
          <w:kern w:val="0"/>
          <w:sz w:val="24"/>
          <w:highlight w:val="none"/>
          <w:lang w:val="zh-CN"/>
        </w:rPr>
        <w:t>的中标供应商，将依法采取分包方式履行合同。</w:t>
      </w:r>
      <w:r>
        <w:rPr>
          <w:rFonts w:hint="eastAsia" w:ascii="宋体" w:hAnsi="宋体" w:cs="宋体"/>
          <w:color w:val="auto"/>
          <w:kern w:val="0"/>
          <w:sz w:val="24"/>
          <w:highlight w:val="none"/>
          <w:u w:val="single"/>
        </w:rPr>
        <w:t>（投标人名称）</w:t>
      </w:r>
      <w:r>
        <w:rPr>
          <w:rFonts w:hint="eastAsia" w:ascii="宋体" w:hAnsi="宋体" w:cs="宋体"/>
          <w:color w:val="auto"/>
          <w:kern w:val="0"/>
          <w:sz w:val="24"/>
          <w:highlight w:val="none"/>
        </w:rPr>
        <w:t>与</w:t>
      </w:r>
      <w:r>
        <w:rPr>
          <w:rFonts w:hint="eastAsia" w:ascii="宋体" w:hAnsi="宋体" w:cs="宋体"/>
          <w:color w:val="auto"/>
          <w:kern w:val="0"/>
          <w:sz w:val="24"/>
          <w:highlight w:val="none"/>
          <w:u w:val="single"/>
        </w:rPr>
        <w:t>（所有分包供应商名称）</w:t>
      </w:r>
      <w:r>
        <w:rPr>
          <w:rFonts w:hint="eastAsia" w:ascii="宋体" w:hAnsi="宋体" w:cs="宋体"/>
          <w:color w:val="auto"/>
          <w:kern w:val="0"/>
          <w:sz w:val="24"/>
          <w:highlight w:val="none"/>
        </w:rPr>
        <w:t>达成分包意向协议</w:t>
      </w:r>
      <w:r>
        <w:rPr>
          <w:rFonts w:hint="eastAsia" w:cs="宋体"/>
          <w:color w:val="auto"/>
          <w:kern w:val="0"/>
          <w:sz w:val="24"/>
          <w:highlight w:val="none"/>
          <w:lang w:val="en-US" w:eastAsia="zh-CN"/>
        </w:rPr>
        <w:t>书</w:t>
      </w:r>
      <w:r>
        <w:rPr>
          <w:rFonts w:hint="eastAsia" w:ascii="宋体" w:hAnsi="宋体" w:cs="宋体"/>
          <w:color w:val="auto"/>
          <w:kern w:val="0"/>
          <w:sz w:val="24"/>
          <w:highlight w:val="none"/>
          <w:lang w:val="zh-CN"/>
        </w:rPr>
        <w:t xml:space="preserve">。 </w:t>
      </w:r>
    </w:p>
    <w:p w14:paraId="545E9079">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一、分包标的及数量</w:t>
      </w:r>
    </w:p>
    <w:p w14:paraId="5E087378">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u w:val="single"/>
        </w:rPr>
        <w:t>（投标人名称）</w:t>
      </w:r>
      <w:r>
        <w:rPr>
          <w:rFonts w:hint="eastAsia" w:ascii="宋体" w:hAnsi="宋体" w:cs="宋体"/>
          <w:color w:val="auto"/>
          <w:kern w:val="0"/>
          <w:sz w:val="24"/>
          <w:highlight w:val="none"/>
          <w:lang w:val="zh-CN"/>
        </w:rPr>
        <w:t>将</w:t>
      </w:r>
      <w:r>
        <w:rPr>
          <w:rFonts w:hint="eastAsia" w:ascii="宋体" w:hAnsi="宋体" w:cs="宋体"/>
          <w:color w:val="auto"/>
          <w:highlight w:val="none"/>
          <w:u w:val="single"/>
        </w:rPr>
        <w:t xml:space="preserve"> </w:t>
      </w:r>
      <w:r>
        <w:rPr>
          <w:rFonts w:ascii="宋体" w:hAnsi="宋体" w:cs="宋体"/>
          <w:color w:val="auto"/>
          <w:kern w:val="0"/>
          <w:sz w:val="24"/>
          <w:highlight w:val="none"/>
          <w:u w:val="single"/>
        </w:rPr>
        <w:t xml:space="preserve">  XX工作内容   </w:t>
      </w:r>
      <w:r>
        <w:rPr>
          <w:rFonts w:hint="eastAsia" w:ascii="宋体" w:hAnsi="宋体" w:cs="宋体"/>
          <w:color w:val="auto"/>
          <w:sz w:val="24"/>
          <w:highlight w:val="none"/>
        </w:rPr>
        <w:t>分包给</w:t>
      </w:r>
      <w:r>
        <w:rPr>
          <w:rFonts w:hint="eastAsia" w:ascii="宋体" w:hAnsi="宋体" w:cs="宋体"/>
          <w:color w:val="auto"/>
          <w:kern w:val="0"/>
          <w:sz w:val="24"/>
          <w:highlight w:val="none"/>
          <w:u w:val="single"/>
        </w:rPr>
        <w:t>（分包供应商1名称）</w:t>
      </w:r>
      <w:r>
        <w:rPr>
          <w:rFonts w:hint="eastAsia" w:ascii="宋体" w:hAnsi="宋体" w:cs="宋体"/>
          <w:color w:val="auto"/>
          <w:kern w:val="0"/>
          <w:sz w:val="24"/>
          <w:highlight w:val="none"/>
          <w:lang w:val="zh-CN"/>
        </w:rPr>
        <w:t>，</w:t>
      </w:r>
      <w:r>
        <w:rPr>
          <w:rFonts w:hint="eastAsia" w:ascii="宋体" w:hAnsi="宋体" w:cs="宋体"/>
          <w:color w:val="auto"/>
          <w:kern w:val="0"/>
          <w:sz w:val="24"/>
          <w:highlight w:val="none"/>
          <w:u w:val="single"/>
        </w:rPr>
        <w:t>（分包供应商1名称），</w:t>
      </w:r>
      <w:r>
        <w:rPr>
          <w:rFonts w:hint="eastAsia" w:ascii="宋体" w:hAnsi="宋体" w:cs="宋体"/>
          <w:color w:val="auto"/>
          <w:kern w:val="0"/>
          <w:sz w:val="24"/>
          <w:highlight w:val="none"/>
          <w:lang w:val="zh-CN"/>
        </w:rPr>
        <w:t>具备承</w:t>
      </w:r>
      <w:r>
        <w:rPr>
          <w:rFonts w:hint="eastAsia" w:ascii="宋体" w:hAnsi="宋体" w:cs="宋体"/>
          <w:color w:val="auto"/>
          <w:kern w:val="0"/>
          <w:sz w:val="24"/>
          <w:highlight w:val="none"/>
        </w:rPr>
        <w:t>担</w:t>
      </w:r>
      <w:r>
        <w:rPr>
          <w:rFonts w:hint="eastAsia" w:ascii="宋体" w:hAnsi="宋体" w:cs="宋体"/>
          <w:color w:val="auto"/>
          <w:kern w:val="0"/>
          <w:sz w:val="24"/>
          <w:highlight w:val="none"/>
          <w:u w:val="single"/>
          <w:lang w:val="zh-CN"/>
        </w:rPr>
        <w:t>XX工作内容</w:t>
      </w:r>
      <w:r>
        <w:rPr>
          <w:rFonts w:hint="eastAsia" w:ascii="宋体" w:hAnsi="宋体" w:cs="宋体"/>
          <w:color w:val="auto"/>
          <w:kern w:val="0"/>
          <w:sz w:val="24"/>
          <w:highlight w:val="none"/>
          <w:lang w:val="zh-CN"/>
        </w:rPr>
        <w:t>相应资质条件且不得再次分包；</w:t>
      </w:r>
    </w:p>
    <w:p w14:paraId="37B916C5">
      <w:pPr>
        <w:pStyle w:val="3"/>
        <w:tabs>
          <w:tab w:val="left" w:pos="432"/>
        </w:tabs>
        <w:ind w:left="758" w:leftChars="316" w:firstLine="229" w:firstLineChars="95"/>
        <w:rPr>
          <w:rFonts w:ascii="宋体" w:hAnsi="宋体" w:eastAsia="宋体" w:cs="宋体"/>
          <w:color w:val="auto"/>
          <w:kern w:val="0"/>
          <w:sz w:val="24"/>
          <w:szCs w:val="24"/>
          <w:highlight w:val="none"/>
        </w:rPr>
      </w:pPr>
      <w:bookmarkStart w:id="622" w:name="_Toc20300"/>
      <w:bookmarkStart w:id="623" w:name="_Toc9911"/>
      <w:bookmarkStart w:id="624" w:name="_Toc7532"/>
      <w:r>
        <w:rPr>
          <w:rFonts w:hint="eastAsia" w:ascii="宋体" w:hAnsi="宋体" w:eastAsia="宋体" w:cs="宋体"/>
          <w:color w:val="auto"/>
          <w:kern w:val="0"/>
          <w:sz w:val="24"/>
          <w:szCs w:val="24"/>
          <w:highlight w:val="none"/>
        </w:rPr>
        <w:t>……</w:t>
      </w:r>
      <w:bookmarkEnd w:id="622"/>
      <w:bookmarkEnd w:id="623"/>
      <w:bookmarkEnd w:id="624"/>
    </w:p>
    <w:p w14:paraId="04268894">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二、分包供应商中小企业合同份额</w:t>
      </w:r>
    </w:p>
    <w:p w14:paraId="188898B5">
      <w:pPr>
        <w:snapToGrid w:val="0"/>
        <w:spacing w:line="360" w:lineRule="auto"/>
        <w:ind w:firstLine="576"/>
        <w:rPr>
          <w:rFonts w:ascii="宋体" w:hAnsi="宋体" w:cs="宋体"/>
          <w:b/>
          <w:color w:val="auto"/>
          <w:kern w:val="0"/>
          <w:sz w:val="24"/>
          <w:highlight w:val="none"/>
          <w:lang w:val="zh-CN"/>
        </w:rPr>
      </w:pPr>
      <w:r>
        <w:rPr>
          <w:rFonts w:ascii="宋体" w:hAnsi="宋体" w:cs="宋体"/>
          <w:color w:val="auto"/>
          <w:kern w:val="0"/>
          <w:sz w:val="24"/>
          <w:highlight w:val="none"/>
        </w:rPr>
        <w:t>1、</w:t>
      </w:r>
      <w:r>
        <w:rPr>
          <w:rFonts w:hint="eastAsia" w:ascii="宋体" w:hAnsi="宋体" w:cs="宋体"/>
          <w:color w:val="auto"/>
          <w:kern w:val="0"/>
          <w:sz w:val="24"/>
          <w:highlight w:val="none"/>
          <w:u w:val="single"/>
        </w:rPr>
        <w:t>（分包供应商X</w:t>
      </w:r>
      <w:r>
        <w:rPr>
          <w:rFonts w:ascii="宋体" w:hAnsi="宋体" w:cs="宋体"/>
          <w:color w:val="auto"/>
          <w:kern w:val="0"/>
          <w:sz w:val="24"/>
          <w:highlight w:val="none"/>
          <w:u w:val="single"/>
        </w:rPr>
        <w:t>,</w:t>
      </w:r>
      <w:r>
        <w:rPr>
          <w:rFonts w:hint="eastAsia" w:ascii="宋体" w:hAnsi="宋体" w:cs="宋体"/>
          <w:color w:val="auto"/>
          <w:kern w:val="0"/>
          <w:sz w:val="24"/>
          <w:highlight w:val="none"/>
          <w:u w:val="single"/>
        </w:rPr>
        <w:t>……）提供的</w:t>
      </w:r>
      <w:r>
        <w:rPr>
          <w:rFonts w:hint="eastAsia" w:cs="宋体"/>
          <w:color w:val="auto"/>
          <w:kern w:val="0"/>
          <w:sz w:val="24"/>
          <w:highlight w:val="none"/>
          <w:u w:val="single"/>
          <w:lang w:val="en-US" w:eastAsia="zh-CN"/>
        </w:rPr>
        <w:t>服务</w:t>
      </w:r>
      <w:r>
        <w:rPr>
          <w:rFonts w:hint="eastAsia" w:ascii="宋体" w:hAnsi="宋体" w:cs="宋体"/>
          <w:color w:val="auto"/>
          <w:kern w:val="0"/>
          <w:sz w:val="24"/>
          <w:highlight w:val="none"/>
          <w:u w:val="single"/>
        </w:rPr>
        <w:t>全部由小微企业</w:t>
      </w:r>
      <w:r>
        <w:rPr>
          <w:rFonts w:hint="eastAsia" w:cs="宋体"/>
          <w:color w:val="auto"/>
          <w:kern w:val="0"/>
          <w:sz w:val="24"/>
          <w:highlight w:val="none"/>
          <w:u w:val="single"/>
          <w:lang w:val="en-US" w:eastAsia="zh-CN"/>
        </w:rPr>
        <w:t>承担</w:t>
      </w:r>
      <w:r>
        <w:rPr>
          <w:rFonts w:hint="eastAsia" w:ascii="宋体" w:hAnsi="宋体" w:cs="宋体"/>
          <w:color w:val="auto"/>
          <w:kern w:val="0"/>
          <w:sz w:val="24"/>
          <w:highlight w:val="none"/>
          <w:u w:val="single"/>
        </w:rPr>
        <w:t>，</w:t>
      </w:r>
      <w:r>
        <w:rPr>
          <w:rFonts w:hint="eastAsia" w:ascii="宋体" w:hAnsi="宋体" w:cs="宋体"/>
          <w:color w:val="auto"/>
          <w:kern w:val="0"/>
          <w:sz w:val="24"/>
          <w:highlight w:val="none"/>
        </w:rPr>
        <w:t>其合同份额占到合同总金额</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%以上</w:t>
      </w:r>
      <w:r>
        <w:rPr>
          <w:rFonts w:hint="eastAsia" w:ascii="宋体" w:hAnsi="宋体" w:cs="宋体"/>
          <w:color w:val="auto"/>
          <w:highlight w:val="none"/>
        </w:rPr>
        <w:t>。</w:t>
      </w:r>
      <w:r>
        <w:rPr>
          <w:rFonts w:hint="eastAsia" w:ascii="宋体" w:hAnsi="宋体" w:cs="宋体"/>
          <w:b/>
          <w:color w:val="auto"/>
          <w:kern w:val="0"/>
          <w:sz w:val="24"/>
          <w:highlight w:val="none"/>
          <w:lang w:val="zh-CN"/>
        </w:rPr>
        <w:t>（未预留份额专门面向中小企业采购的采购项目，以及预留份额中的非预留部分采购包，允许分包的，分包意向协议</w:t>
      </w:r>
      <w:r>
        <w:rPr>
          <w:rFonts w:hint="eastAsia" w:cs="宋体"/>
          <w:b/>
          <w:color w:val="auto"/>
          <w:kern w:val="0"/>
          <w:sz w:val="24"/>
          <w:highlight w:val="none"/>
          <w:lang w:val="en-US" w:eastAsia="zh-CN"/>
        </w:rPr>
        <w:t>书</w:t>
      </w:r>
      <w:r>
        <w:rPr>
          <w:rFonts w:hint="eastAsia" w:ascii="宋体" w:hAnsi="宋体" w:cs="宋体"/>
          <w:b/>
          <w:color w:val="auto"/>
          <w:kern w:val="0"/>
          <w:sz w:val="24"/>
          <w:highlight w:val="none"/>
          <w:lang w:val="zh-CN"/>
        </w:rPr>
        <w:t>约定小微企业的合同份额占到合同总金额30%以上的，对大中型企业的报价按评标标准确定的比例给予扣除。供应商</w:t>
      </w:r>
      <w:r>
        <w:rPr>
          <w:rFonts w:hint="eastAsia" w:ascii="宋体" w:hAnsi="宋体" w:cs="宋体"/>
          <w:b/>
          <w:color w:val="auto"/>
          <w:sz w:val="24"/>
          <w:highlight w:val="none"/>
        </w:rPr>
        <w:t>拟享受以上价格扣除政策的，填写有关内容。</w:t>
      </w:r>
      <w:r>
        <w:rPr>
          <w:rFonts w:hint="eastAsia" w:ascii="宋体" w:hAnsi="宋体" w:cs="宋体"/>
          <w:b/>
          <w:color w:val="auto"/>
          <w:kern w:val="0"/>
          <w:sz w:val="24"/>
          <w:highlight w:val="none"/>
          <w:lang w:val="zh-CN"/>
        </w:rPr>
        <w:t>）</w:t>
      </w:r>
    </w:p>
    <w:p w14:paraId="145FF207">
      <w:pPr>
        <w:spacing w:line="360" w:lineRule="auto"/>
        <w:ind w:firstLine="480" w:firstLineChars="200"/>
        <w:rPr>
          <w:rFonts w:ascii="宋体" w:hAnsi="宋体" w:cs="宋体"/>
          <w:b/>
          <w:bCs/>
          <w:color w:val="auto"/>
          <w:kern w:val="0"/>
          <w:sz w:val="24"/>
          <w:highlight w:val="none"/>
          <w:lang w:val="zh-CN"/>
        </w:rPr>
      </w:pPr>
      <w:r>
        <w:rPr>
          <w:rFonts w:hint="eastAsia" w:ascii="宋体" w:hAnsi="宋体" w:cs="宋体"/>
          <w:color w:val="auto"/>
          <w:sz w:val="24"/>
          <w:highlight w:val="none"/>
        </w:rPr>
        <w:t>2、</w:t>
      </w:r>
      <w:bookmarkStart w:id="625" w:name="_Hlk101133173"/>
      <w:r>
        <w:rPr>
          <w:rFonts w:hint="eastAsia" w:ascii="宋体" w:hAnsi="宋体" w:cs="宋体"/>
          <w:color w:val="auto"/>
          <w:sz w:val="24"/>
          <w:highlight w:val="none"/>
        </w:rPr>
        <w:t>中小企业合同金额达到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%，其中小微企业合同金额达到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r>
        <w:rPr>
          <w:rFonts w:hint="eastAsia" w:ascii="宋体" w:hAnsi="宋体" w:cs="宋体"/>
          <w:color w:val="auto"/>
          <w:kern w:val="0"/>
          <w:sz w:val="24"/>
          <w:highlight w:val="none"/>
          <w:lang w:val="zh-CN"/>
        </w:rPr>
        <w:t>。</w:t>
      </w:r>
      <w:r>
        <w:rPr>
          <w:rFonts w:hint="eastAsia" w:ascii="宋体" w:hAnsi="宋体" w:cs="宋体"/>
          <w:b/>
          <w:bCs/>
          <w:color w:val="auto"/>
          <w:kern w:val="0"/>
          <w:sz w:val="24"/>
          <w:highlight w:val="none"/>
          <w:lang w:val="zh-CN"/>
        </w:rPr>
        <w:t>（</w:t>
      </w:r>
      <w:r>
        <w:rPr>
          <w:rFonts w:hint="eastAsia" w:ascii="宋体" w:hAnsi="宋体" w:cs="宋体"/>
          <w:b/>
          <w:bCs/>
          <w:color w:val="auto"/>
          <w:sz w:val="24"/>
          <w:highlight w:val="none"/>
        </w:rPr>
        <w:t>要求合同分包形式参加的项目或采购包，供应商按招标文件第一部分招标公告申请人的资格要求中规定的</w:t>
      </w:r>
      <w:r>
        <w:rPr>
          <w:rFonts w:hint="eastAsia" w:ascii="宋体" w:hAnsi="宋体" w:cs="宋体"/>
          <w:b/>
          <w:color w:val="auto"/>
          <w:kern w:val="0"/>
          <w:sz w:val="24"/>
          <w:highlight w:val="none"/>
          <w:lang w:val="zh-CN"/>
        </w:rPr>
        <w:t>分包意向协议</w:t>
      </w:r>
      <w:r>
        <w:rPr>
          <w:rFonts w:hint="eastAsia" w:cs="宋体"/>
          <w:b/>
          <w:color w:val="auto"/>
          <w:kern w:val="0"/>
          <w:sz w:val="24"/>
          <w:highlight w:val="none"/>
          <w:lang w:val="en-US" w:eastAsia="zh-CN"/>
        </w:rPr>
        <w:t>书</w:t>
      </w:r>
      <w:r>
        <w:rPr>
          <w:rFonts w:hint="eastAsia" w:ascii="宋体" w:hAnsi="宋体" w:cs="宋体"/>
          <w:b/>
          <w:bCs/>
          <w:color w:val="auto"/>
          <w:sz w:val="24"/>
          <w:highlight w:val="none"/>
        </w:rPr>
        <w:t>中中小企业、小微企业合同金额应当达到的比例要求填写。</w:t>
      </w:r>
      <w:r>
        <w:rPr>
          <w:rFonts w:hint="eastAsia" w:ascii="宋体" w:hAnsi="宋体" w:cs="宋体"/>
          <w:b/>
          <w:bCs/>
          <w:color w:val="auto"/>
          <w:kern w:val="0"/>
          <w:sz w:val="24"/>
          <w:highlight w:val="none"/>
          <w:lang w:val="zh-CN"/>
        </w:rPr>
        <w:t>）</w:t>
      </w:r>
      <w:bookmarkEnd w:id="625"/>
    </w:p>
    <w:p w14:paraId="51C56E71">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三、分包工作履行期限、地点、方式</w:t>
      </w:r>
    </w:p>
    <w:p w14:paraId="7F26E4A3">
      <w:pPr>
        <w:snapToGrid w:val="0"/>
        <w:spacing w:line="360" w:lineRule="auto"/>
        <w:ind w:firstLine="576"/>
        <w:rPr>
          <w:rFonts w:ascii="宋体" w:hAnsi="宋体" w:cs="宋体"/>
          <w:color w:val="auto"/>
          <w:highlight w:val="none"/>
          <w:u w:val="single"/>
        </w:rPr>
      </w:pPr>
      <w:r>
        <w:rPr>
          <w:rFonts w:hint="eastAsia" w:ascii="宋体" w:hAnsi="宋体" w:cs="宋体"/>
          <w:color w:val="auto"/>
          <w:highlight w:val="none"/>
          <w:u w:val="single"/>
        </w:rPr>
        <w:t xml:space="preserve">                                                                                  </w:t>
      </w:r>
    </w:p>
    <w:p w14:paraId="7925029E">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四、质量</w:t>
      </w:r>
    </w:p>
    <w:p w14:paraId="7369B1B5">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highlight w:val="none"/>
          <w:u w:val="single"/>
        </w:rPr>
        <w:t xml:space="preserve">                                                                                       </w:t>
      </w:r>
    </w:p>
    <w:p w14:paraId="0E7AB092">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五、价款或者报酬</w:t>
      </w:r>
    </w:p>
    <w:p w14:paraId="632B92C8">
      <w:pPr>
        <w:snapToGrid w:val="0"/>
        <w:spacing w:line="360" w:lineRule="auto"/>
        <w:ind w:left="655" w:leftChars="273"/>
        <w:rPr>
          <w:rFonts w:ascii="宋体" w:hAnsi="宋体" w:cs="宋体"/>
          <w:color w:val="auto"/>
          <w:kern w:val="0"/>
          <w:sz w:val="24"/>
          <w:highlight w:val="none"/>
          <w:lang w:val="zh-CN"/>
        </w:rPr>
      </w:pPr>
      <w:r>
        <w:rPr>
          <w:rFonts w:hint="eastAsia" w:ascii="宋体" w:hAnsi="宋体" w:cs="宋体"/>
          <w:color w:val="auto"/>
          <w:highlight w:val="none"/>
          <w:u w:val="single"/>
        </w:rPr>
        <w:t xml:space="preserve">                                                                                     </w:t>
      </w:r>
    </w:p>
    <w:p w14:paraId="0C79FAF7">
      <w:pPr>
        <w:snapToGrid w:val="0"/>
        <w:spacing w:line="360" w:lineRule="auto"/>
        <w:ind w:left="655" w:leftChars="273"/>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六、违约责任</w:t>
      </w:r>
    </w:p>
    <w:p w14:paraId="17F77B90">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highlight w:val="none"/>
          <w:u w:val="single"/>
        </w:rPr>
        <w:t xml:space="preserve">                                                                                     </w:t>
      </w:r>
    </w:p>
    <w:p w14:paraId="22CBB9BB">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七、争议解决的办法</w:t>
      </w:r>
    </w:p>
    <w:p w14:paraId="5D83C451">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highlight w:val="none"/>
          <w:u w:val="single"/>
        </w:rPr>
        <w:t xml:space="preserve">                                                                                  </w:t>
      </w:r>
    </w:p>
    <w:p w14:paraId="2DC21D17">
      <w:pPr>
        <w:snapToGrid w:val="0"/>
        <w:spacing w:line="360" w:lineRule="auto"/>
        <w:ind w:left="5861" w:leftChars="342" w:hanging="5040" w:hangingChars="21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w:t>
      </w:r>
      <w:r>
        <w:rPr>
          <w:rFonts w:hint="eastAsia" w:cs="宋体"/>
          <w:color w:val="auto"/>
          <w:kern w:val="0"/>
          <w:sz w:val="24"/>
          <w:highlight w:val="none"/>
          <w:lang w:val="en-US" w:eastAsia="zh-CN"/>
        </w:rPr>
        <w:t xml:space="preserve">     </w:t>
      </w:r>
      <w:r>
        <w:rPr>
          <w:rFonts w:hint="eastAsia" w:ascii="宋体" w:hAnsi="宋体" w:cs="宋体"/>
          <w:color w:val="auto"/>
          <w:kern w:val="0"/>
          <w:sz w:val="24"/>
          <w:highlight w:val="none"/>
          <w:lang w:val="zh-CN"/>
        </w:rPr>
        <w:t xml:space="preserve">  投标人名称</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ascii="宋体" w:hAnsi="宋体" w:cs="宋体"/>
          <w:color w:val="auto"/>
          <w:kern w:val="0"/>
          <w:sz w:val="24"/>
          <w:highlight w:val="none"/>
          <w:lang w:val="zh-CN"/>
        </w:rPr>
        <w:t>)：</w:t>
      </w:r>
    </w:p>
    <w:p w14:paraId="02869108">
      <w:pPr>
        <w:snapToGrid w:val="0"/>
        <w:spacing w:line="360" w:lineRule="auto"/>
        <w:jc w:val="righ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分包供应商名称</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ascii="宋体" w:hAnsi="宋体" w:cs="宋体"/>
          <w:color w:val="auto"/>
          <w:kern w:val="0"/>
          <w:sz w:val="24"/>
          <w:highlight w:val="none"/>
          <w:lang w:val="zh-CN"/>
        </w:rPr>
        <w:t>)：</w:t>
      </w:r>
    </w:p>
    <w:p w14:paraId="63AD0D69">
      <w:pPr>
        <w:snapToGrid w:val="0"/>
        <w:spacing w:line="360" w:lineRule="auto"/>
        <w:jc w:val="right"/>
        <w:rPr>
          <w:rFonts w:ascii="宋体" w:hAnsi="宋体" w:cs="宋体"/>
          <w:color w:val="auto"/>
          <w:kern w:val="0"/>
          <w:sz w:val="24"/>
          <w:highlight w:val="none"/>
          <w:lang w:val="zh-CN"/>
        </w:rPr>
      </w:pPr>
    </w:p>
    <w:p w14:paraId="102F6BD9">
      <w:pPr>
        <w:snapToGrid w:val="0"/>
        <w:spacing w:line="360" w:lineRule="auto"/>
        <w:ind w:firstLine="5760" w:firstLineChars="2400"/>
        <w:rPr>
          <w:rFonts w:ascii="宋体" w:hAnsi="宋体" w:cs="宋体"/>
          <w:color w:val="auto"/>
          <w:highlight w:val="none"/>
        </w:rPr>
      </w:pPr>
      <w:r>
        <w:rPr>
          <w:rFonts w:hint="eastAsia" w:ascii="宋体" w:hAnsi="宋体" w:cs="宋体"/>
          <w:color w:val="auto"/>
          <w:kern w:val="0"/>
          <w:sz w:val="24"/>
          <w:highlight w:val="none"/>
          <w:lang w:val="zh-CN"/>
        </w:rPr>
        <w:t>……</w:t>
      </w:r>
    </w:p>
    <w:p w14:paraId="22C38D7A">
      <w:pPr>
        <w:spacing w:line="360" w:lineRule="auto"/>
        <w:jc w:val="center"/>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日期：  年  月   日</w:t>
      </w:r>
    </w:p>
    <w:p w14:paraId="49A2F910">
      <w:pPr>
        <w:spacing w:line="360" w:lineRule="auto"/>
        <w:ind w:right="420"/>
        <w:rPr>
          <w:rFonts w:ascii="宋体" w:hAnsi="宋体" w:cs="宋体"/>
          <w:color w:val="auto"/>
          <w:sz w:val="24"/>
          <w:highlight w:val="none"/>
        </w:rPr>
      </w:pPr>
      <w:r>
        <w:rPr>
          <w:rFonts w:hint="eastAsia" w:ascii="宋体" w:hAnsi="宋体" w:cs="宋体"/>
          <w:color w:val="auto"/>
          <w:sz w:val="21"/>
          <w:szCs w:val="21"/>
          <w:highlight w:val="none"/>
        </w:rPr>
        <w:t>注：按本格式和要求提供。</w:t>
      </w:r>
    </w:p>
    <w:p w14:paraId="7F0D76CC">
      <w:pPr>
        <w:topLinePunct/>
        <w:ind w:firstLine="480" w:firstLineChars="200"/>
        <w:rPr>
          <w:rFonts w:hint="eastAsia"/>
          <w:color w:val="auto"/>
          <w:szCs w:val="32"/>
          <w:highlight w:val="none"/>
        </w:rPr>
      </w:pPr>
    </w:p>
    <w:p w14:paraId="5F400CB9">
      <w:pPr>
        <w:topLinePunct/>
        <w:ind w:firstLine="480" w:firstLineChars="200"/>
        <w:rPr>
          <w:rFonts w:hint="eastAsia"/>
          <w:color w:val="auto"/>
          <w:szCs w:val="32"/>
          <w:highlight w:val="none"/>
        </w:rPr>
      </w:pPr>
    </w:p>
    <w:p w14:paraId="11CAF290">
      <w:pPr>
        <w:topLinePunct/>
        <w:ind w:firstLine="480" w:firstLineChars="200"/>
        <w:rPr>
          <w:rFonts w:hint="eastAsia"/>
          <w:color w:val="auto"/>
          <w:szCs w:val="32"/>
          <w:highlight w:val="none"/>
        </w:rPr>
      </w:pPr>
    </w:p>
    <w:p w14:paraId="35CFE103">
      <w:pPr>
        <w:topLinePunct/>
        <w:ind w:firstLine="480" w:firstLineChars="200"/>
        <w:rPr>
          <w:rFonts w:hint="eastAsia"/>
          <w:color w:val="auto"/>
          <w:szCs w:val="32"/>
          <w:highlight w:val="none"/>
        </w:rPr>
      </w:pPr>
    </w:p>
    <w:bookmarkEnd w:id="618"/>
    <w:p w14:paraId="5775F461">
      <w:pPr>
        <w:ind w:left="2520" w:leftChars="1050"/>
        <w:rPr>
          <w:color w:val="auto"/>
          <w:highlight w:val="none"/>
        </w:rPr>
      </w:pPr>
      <w:r>
        <w:rPr>
          <w:rFonts w:cs="Courier New"/>
          <w:color w:val="auto"/>
          <w:szCs w:val="24"/>
          <w:highlight w:val="none"/>
        </w:rPr>
        <w:br w:type="page"/>
      </w:r>
    </w:p>
    <w:p w14:paraId="6C745F3D">
      <w:pPr>
        <w:pStyle w:val="3"/>
        <w:bidi w:val="0"/>
        <w:rPr>
          <w:rFonts w:hint="eastAsia"/>
          <w:color w:val="auto"/>
          <w:sz w:val="28"/>
          <w:szCs w:val="28"/>
          <w:highlight w:val="none"/>
          <w:lang w:val="en-US" w:eastAsia="zh-CN"/>
        </w:rPr>
      </w:pPr>
      <w:bookmarkStart w:id="626" w:name="_Toc163492926"/>
      <w:bookmarkStart w:id="627" w:name="_Toc155185932"/>
      <w:bookmarkStart w:id="628" w:name="_Toc14524"/>
      <w:bookmarkStart w:id="629" w:name="_Toc30866"/>
      <w:r>
        <w:rPr>
          <w:rFonts w:hint="eastAsia"/>
          <w:color w:val="auto"/>
          <w:sz w:val="28"/>
          <w:szCs w:val="28"/>
          <w:highlight w:val="none"/>
          <w:lang w:val="en-US" w:eastAsia="zh-CN"/>
        </w:rPr>
        <w:t>四、</w:t>
      </w:r>
      <w:bookmarkEnd w:id="626"/>
      <w:bookmarkEnd w:id="627"/>
      <w:r>
        <w:rPr>
          <w:rFonts w:hint="eastAsia"/>
          <w:color w:val="auto"/>
          <w:sz w:val="28"/>
          <w:szCs w:val="28"/>
          <w:highlight w:val="none"/>
          <w:lang w:val="en-US" w:eastAsia="zh-CN"/>
        </w:rPr>
        <w:t>落实政府采购政策相关证明文件</w:t>
      </w:r>
      <w:bookmarkEnd w:id="628"/>
      <w:bookmarkEnd w:id="629"/>
    </w:p>
    <w:p w14:paraId="0076F407">
      <w:pPr>
        <w:pStyle w:val="4"/>
        <w:bidi w:val="0"/>
        <w:rPr>
          <w:rFonts w:hint="eastAsia"/>
          <w:color w:val="auto"/>
          <w:sz w:val="24"/>
          <w:szCs w:val="24"/>
          <w:highlight w:val="none"/>
          <w:lang w:val="en-US" w:eastAsia="zh-CN"/>
        </w:rPr>
      </w:pPr>
      <w:bookmarkStart w:id="630" w:name="_Toc18227"/>
      <w:bookmarkStart w:id="631" w:name="_Toc163492938"/>
      <w:r>
        <w:rPr>
          <w:rFonts w:hint="eastAsia"/>
          <w:color w:val="auto"/>
          <w:sz w:val="24"/>
          <w:szCs w:val="24"/>
          <w:highlight w:val="none"/>
          <w:lang w:val="en-US" w:eastAsia="zh-CN"/>
        </w:rPr>
        <w:t>（一）节能环保产品清单及证明材料【如适用】</w:t>
      </w:r>
      <w:bookmarkEnd w:id="630"/>
      <w:bookmarkEnd w:id="631"/>
    </w:p>
    <w:p w14:paraId="129366EF">
      <w:pPr>
        <w:spacing w:line="30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项目名称：</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项目编号</w:t>
      </w:r>
      <w:r>
        <w:rPr>
          <w:rFonts w:hint="eastAsia" w:ascii="宋体" w:hAnsi="宋体" w:eastAsia="宋体" w:cs="宋体"/>
          <w:color w:val="auto"/>
          <w:sz w:val="24"/>
          <w:szCs w:val="24"/>
          <w:highlight w:val="none"/>
          <w:lang w:val="en-US" w:eastAsia="zh-CN"/>
        </w:rPr>
        <w:t>/包号</w:t>
      </w:r>
      <w:r>
        <w:rPr>
          <w:rFonts w:hint="eastAsia" w:ascii="宋体" w:hAnsi="宋体" w:eastAsia="宋体" w:cs="宋体"/>
          <w:color w:val="auto"/>
          <w:sz w:val="24"/>
          <w:szCs w:val="24"/>
          <w:highlight w:val="none"/>
        </w:rPr>
        <w:t>：</w:t>
      </w:r>
    </w:p>
    <w:p w14:paraId="51FADA0E">
      <w:pPr>
        <w:spacing w:line="30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节能产品</w:t>
      </w:r>
    </w:p>
    <w:tbl>
      <w:tblPr>
        <w:tblStyle w:val="29"/>
        <w:tblW w:w="89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
      <w:tblGrid>
        <w:gridCol w:w="757"/>
        <w:gridCol w:w="1147"/>
        <w:gridCol w:w="972"/>
        <w:gridCol w:w="792"/>
        <w:gridCol w:w="696"/>
        <w:gridCol w:w="648"/>
        <w:gridCol w:w="1128"/>
        <w:gridCol w:w="1224"/>
        <w:gridCol w:w="1582"/>
      </w:tblGrid>
      <w:tr w14:paraId="214BE1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57" w:type="dxa"/>
            <w:tcBorders>
              <w:top w:val="single" w:color="auto" w:sz="4" w:space="0"/>
              <w:left w:val="single" w:color="auto" w:sz="4" w:space="0"/>
              <w:bottom w:val="single" w:color="auto" w:sz="4" w:space="0"/>
              <w:right w:val="single" w:color="auto" w:sz="4" w:space="0"/>
            </w:tcBorders>
            <w:vAlign w:val="center"/>
          </w:tcPr>
          <w:p w14:paraId="19BA53A1">
            <w:pPr>
              <w:pStyle w:val="49"/>
              <w:jc w:val="center"/>
              <w:rPr>
                <w:color w:val="auto"/>
                <w:sz w:val="21"/>
                <w:szCs w:val="21"/>
                <w:highlight w:val="none"/>
              </w:rPr>
            </w:pPr>
            <w:r>
              <w:rPr>
                <w:rFonts w:hint="eastAsia"/>
                <w:color w:val="auto"/>
                <w:sz w:val="21"/>
                <w:szCs w:val="21"/>
                <w:highlight w:val="none"/>
              </w:rPr>
              <w:t>序号</w:t>
            </w:r>
          </w:p>
        </w:tc>
        <w:tc>
          <w:tcPr>
            <w:tcW w:w="1147" w:type="dxa"/>
            <w:tcBorders>
              <w:top w:val="single" w:color="auto" w:sz="4" w:space="0"/>
              <w:left w:val="single" w:color="auto" w:sz="4" w:space="0"/>
              <w:bottom w:val="single" w:color="auto" w:sz="4" w:space="0"/>
              <w:right w:val="single" w:color="auto" w:sz="4" w:space="0"/>
            </w:tcBorders>
            <w:vAlign w:val="center"/>
          </w:tcPr>
          <w:p w14:paraId="33C66ABB">
            <w:pPr>
              <w:pStyle w:val="49"/>
              <w:jc w:val="center"/>
              <w:rPr>
                <w:color w:val="auto"/>
                <w:sz w:val="21"/>
                <w:szCs w:val="21"/>
                <w:highlight w:val="none"/>
              </w:rPr>
            </w:pPr>
            <w:r>
              <w:rPr>
                <w:rFonts w:hint="eastAsia"/>
                <w:color w:val="auto"/>
                <w:sz w:val="21"/>
                <w:szCs w:val="21"/>
                <w:highlight w:val="none"/>
              </w:rPr>
              <w:t>设备名称</w:t>
            </w:r>
          </w:p>
        </w:tc>
        <w:tc>
          <w:tcPr>
            <w:tcW w:w="972" w:type="dxa"/>
            <w:tcBorders>
              <w:top w:val="single" w:color="auto" w:sz="4" w:space="0"/>
              <w:left w:val="single" w:color="auto" w:sz="4" w:space="0"/>
              <w:bottom w:val="single" w:color="auto" w:sz="4" w:space="0"/>
              <w:right w:val="single" w:color="auto" w:sz="4" w:space="0"/>
            </w:tcBorders>
            <w:vAlign w:val="center"/>
          </w:tcPr>
          <w:p w14:paraId="0A6767B6">
            <w:pPr>
              <w:pStyle w:val="49"/>
              <w:jc w:val="center"/>
              <w:rPr>
                <w:color w:val="auto"/>
                <w:sz w:val="21"/>
                <w:szCs w:val="21"/>
                <w:highlight w:val="none"/>
              </w:rPr>
            </w:pPr>
            <w:r>
              <w:rPr>
                <w:rFonts w:hint="eastAsia"/>
                <w:color w:val="auto"/>
                <w:sz w:val="21"/>
                <w:szCs w:val="21"/>
                <w:highlight w:val="none"/>
              </w:rPr>
              <w:t>制造商名称</w:t>
            </w:r>
          </w:p>
        </w:tc>
        <w:tc>
          <w:tcPr>
            <w:tcW w:w="792" w:type="dxa"/>
            <w:tcBorders>
              <w:top w:val="single" w:color="auto" w:sz="4" w:space="0"/>
              <w:left w:val="single" w:color="auto" w:sz="4" w:space="0"/>
              <w:bottom w:val="single" w:color="auto" w:sz="4" w:space="0"/>
              <w:right w:val="single" w:color="auto" w:sz="4" w:space="0"/>
            </w:tcBorders>
            <w:vAlign w:val="center"/>
          </w:tcPr>
          <w:p w14:paraId="31DEE91E">
            <w:pPr>
              <w:pStyle w:val="49"/>
              <w:jc w:val="center"/>
              <w:rPr>
                <w:color w:val="auto"/>
                <w:sz w:val="21"/>
                <w:szCs w:val="21"/>
                <w:highlight w:val="none"/>
              </w:rPr>
            </w:pPr>
            <w:r>
              <w:rPr>
                <w:rFonts w:hint="eastAsia"/>
                <w:color w:val="auto"/>
                <w:sz w:val="21"/>
                <w:szCs w:val="21"/>
                <w:highlight w:val="none"/>
              </w:rPr>
              <w:t>品牌</w:t>
            </w:r>
          </w:p>
        </w:tc>
        <w:tc>
          <w:tcPr>
            <w:tcW w:w="696" w:type="dxa"/>
            <w:tcBorders>
              <w:top w:val="single" w:color="auto" w:sz="4" w:space="0"/>
              <w:left w:val="single" w:color="auto" w:sz="4" w:space="0"/>
              <w:bottom w:val="single" w:color="auto" w:sz="4" w:space="0"/>
              <w:right w:val="single" w:color="auto" w:sz="4" w:space="0"/>
            </w:tcBorders>
            <w:vAlign w:val="center"/>
          </w:tcPr>
          <w:p w14:paraId="5BB11F42">
            <w:pPr>
              <w:pStyle w:val="49"/>
              <w:jc w:val="center"/>
              <w:rPr>
                <w:color w:val="auto"/>
                <w:sz w:val="21"/>
                <w:szCs w:val="21"/>
                <w:highlight w:val="none"/>
              </w:rPr>
            </w:pPr>
            <w:r>
              <w:rPr>
                <w:rFonts w:hint="eastAsia"/>
                <w:color w:val="auto"/>
                <w:sz w:val="21"/>
                <w:szCs w:val="21"/>
                <w:highlight w:val="none"/>
              </w:rPr>
              <w:t>型号</w:t>
            </w:r>
          </w:p>
        </w:tc>
        <w:tc>
          <w:tcPr>
            <w:tcW w:w="648" w:type="dxa"/>
            <w:tcBorders>
              <w:top w:val="single" w:color="auto" w:sz="4" w:space="0"/>
              <w:left w:val="single" w:color="auto" w:sz="4" w:space="0"/>
              <w:bottom w:val="single" w:color="auto" w:sz="4" w:space="0"/>
              <w:right w:val="single" w:color="auto" w:sz="4" w:space="0"/>
            </w:tcBorders>
            <w:vAlign w:val="center"/>
          </w:tcPr>
          <w:p w14:paraId="146CD78D">
            <w:pPr>
              <w:pStyle w:val="49"/>
              <w:jc w:val="center"/>
              <w:rPr>
                <w:color w:val="auto"/>
                <w:sz w:val="21"/>
                <w:szCs w:val="21"/>
                <w:highlight w:val="none"/>
              </w:rPr>
            </w:pPr>
            <w:r>
              <w:rPr>
                <w:rFonts w:hint="eastAsia"/>
                <w:color w:val="auto"/>
                <w:sz w:val="21"/>
                <w:szCs w:val="21"/>
                <w:highlight w:val="none"/>
              </w:rPr>
              <w:t>数量</w:t>
            </w:r>
          </w:p>
        </w:tc>
        <w:tc>
          <w:tcPr>
            <w:tcW w:w="1128" w:type="dxa"/>
            <w:tcBorders>
              <w:top w:val="single" w:color="auto" w:sz="4" w:space="0"/>
              <w:left w:val="single" w:color="auto" w:sz="4" w:space="0"/>
              <w:bottom w:val="single" w:color="auto" w:sz="4" w:space="0"/>
              <w:right w:val="single" w:color="auto" w:sz="4" w:space="0"/>
            </w:tcBorders>
            <w:vAlign w:val="center"/>
          </w:tcPr>
          <w:p w14:paraId="52ABF9B6">
            <w:pPr>
              <w:pStyle w:val="49"/>
              <w:jc w:val="center"/>
              <w:rPr>
                <w:color w:val="auto"/>
                <w:sz w:val="21"/>
                <w:szCs w:val="21"/>
                <w:highlight w:val="none"/>
              </w:rPr>
            </w:pPr>
            <w:r>
              <w:rPr>
                <w:rFonts w:hint="eastAsia"/>
                <w:color w:val="auto"/>
                <w:sz w:val="21"/>
                <w:szCs w:val="21"/>
                <w:highlight w:val="none"/>
              </w:rPr>
              <w:t>单价</w:t>
            </w:r>
          </w:p>
          <w:p w14:paraId="022A35EE">
            <w:pPr>
              <w:pStyle w:val="49"/>
              <w:jc w:val="center"/>
              <w:rPr>
                <w:color w:val="auto"/>
                <w:sz w:val="21"/>
                <w:szCs w:val="21"/>
                <w:highlight w:val="none"/>
              </w:rPr>
            </w:pPr>
            <w:r>
              <w:rPr>
                <w:rFonts w:hint="eastAsia"/>
                <w:color w:val="auto"/>
                <w:sz w:val="21"/>
                <w:szCs w:val="21"/>
                <w:highlight w:val="none"/>
              </w:rPr>
              <w:t>（万元）</w:t>
            </w:r>
          </w:p>
        </w:tc>
        <w:tc>
          <w:tcPr>
            <w:tcW w:w="1224" w:type="dxa"/>
            <w:tcBorders>
              <w:top w:val="single" w:color="auto" w:sz="4" w:space="0"/>
              <w:left w:val="single" w:color="auto" w:sz="4" w:space="0"/>
              <w:bottom w:val="single" w:color="auto" w:sz="4" w:space="0"/>
              <w:right w:val="single" w:color="auto" w:sz="4" w:space="0"/>
            </w:tcBorders>
            <w:vAlign w:val="center"/>
          </w:tcPr>
          <w:p w14:paraId="47F9C89C">
            <w:pPr>
              <w:pStyle w:val="49"/>
              <w:jc w:val="center"/>
              <w:rPr>
                <w:color w:val="auto"/>
                <w:sz w:val="21"/>
                <w:szCs w:val="21"/>
                <w:highlight w:val="none"/>
              </w:rPr>
            </w:pPr>
            <w:r>
              <w:rPr>
                <w:rFonts w:hint="eastAsia"/>
                <w:color w:val="auto"/>
                <w:sz w:val="21"/>
                <w:szCs w:val="21"/>
                <w:highlight w:val="none"/>
              </w:rPr>
              <w:t>总价</w:t>
            </w:r>
          </w:p>
          <w:p w14:paraId="13E39665">
            <w:pPr>
              <w:pStyle w:val="49"/>
              <w:jc w:val="center"/>
              <w:rPr>
                <w:color w:val="auto"/>
                <w:sz w:val="21"/>
                <w:szCs w:val="21"/>
                <w:highlight w:val="none"/>
              </w:rPr>
            </w:pPr>
            <w:r>
              <w:rPr>
                <w:rFonts w:hint="eastAsia"/>
                <w:color w:val="auto"/>
                <w:sz w:val="21"/>
                <w:szCs w:val="21"/>
                <w:highlight w:val="none"/>
              </w:rPr>
              <w:t>（万元）</w:t>
            </w:r>
          </w:p>
        </w:tc>
        <w:tc>
          <w:tcPr>
            <w:tcW w:w="1582" w:type="dxa"/>
            <w:tcBorders>
              <w:top w:val="single" w:color="auto" w:sz="4" w:space="0"/>
              <w:left w:val="single" w:color="auto" w:sz="4" w:space="0"/>
              <w:bottom w:val="single" w:color="auto" w:sz="4" w:space="0"/>
              <w:right w:val="single" w:color="auto" w:sz="4" w:space="0"/>
            </w:tcBorders>
            <w:vAlign w:val="center"/>
          </w:tcPr>
          <w:p w14:paraId="5EF1CA54">
            <w:pPr>
              <w:pStyle w:val="49"/>
              <w:jc w:val="center"/>
              <w:rPr>
                <w:color w:val="auto"/>
                <w:sz w:val="21"/>
                <w:szCs w:val="21"/>
                <w:highlight w:val="none"/>
              </w:rPr>
            </w:pPr>
            <w:r>
              <w:rPr>
                <w:rFonts w:hint="eastAsia"/>
                <w:color w:val="auto"/>
                <w:sz w:val="21"/>
                <w:szCs w:val="21"/>
                <w:highlight w:val="none"/>
              </w:rPr>
              <w:t>属强制采购或优先采购</w:t>
            </w:r>
          </w:p>
        </w:tc>
      </w:tr>
      <w:tr w14:paraId="2E907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57" w:type="dxa"/>
            <w:tcBorders>
              <w:top w:val="single" w:color="auto" w:sz="4" w:space="0"/>
              <w:left w:val="single" w:color="auto" w:sz="4" w:space="0"/>
              <w:bottom w:val="single" w:color="auto" w:sz="4" w:space="0"/>
              <w:right w:val="single" w:color="auto" w:sz="4" w:space="0"/>
            </w:tcBorders>
            <w:vAlign w:val="center"/>
          </w:tcPr>
          <w:p w14:paraId="6ADB00D2">
            <w:pPr>
              <w:pStyle w:val="49"/>
              <w:numPr>
                <w:ilvl w:val="0"/>
                <w:numId w:val="6"/>
              </w:numPr>
              <w:jc w:val="center"/>
              <w:rPr>
                <w:color w:val="auto"/>
                <w:sz w:val="21"/>
                <w:szCs w:val="21"/>
                <w:highlight w:val="none"/>
              </w:rPr>
            </w:pPr>
          </w:p>
        </w:tc>
        <w:tc>
          <w:tcPr>
            <w:tcW w:w="1147" w:type="dxa"/>
            <w:tcBorders>
              <w:top w:val="single" w:color="auto" w:sz="4" w:space="0"/>
              <w:left w:val="single" w:color="auto" w:sz="4" w:space="0"/>
              <w:bottom w:val="single" w:color="auto" w:sz="4" w:space="0"/>
              <w:right w:val="single" w:color="auto" w:sz="4" w:space="0"/>
            </w:tcBorders>
            <w:vAlign w:val="center"/>
          </w:tcPr>
          <w:p w14:paraId="53FEE94B">
            <w:pPr>
              <w:pStyle w:val="49"/>
              <w:jc w:val="center"/>
              <w:rPr>
                <w:color w:val="auto"/>
                <w:sz w:val="21"/>
                <w:szCs w:val="21"/>
                <w:highlight w:val="none"/>
              </w:rPr>
            </w:pPr>
          </w:p>
        </w:tc>
        <w:tc>
          <w:tcPr>
            <w:tcW w:w="972" w:type="dxa"/>
            <w:tcBorders>
              <w:top w:val="single" w:color="auto" w:sz="4" w:space="0"/>
              <w:left w:val="single" w:color="auto" w:sz="4" w:space="0"/>
              <w:bottom w:val="single" w:color="auto" w:sz="4" w:space="0"/>
              <w:right w:val="single" w:color="auto" w:sz="4" w:space="0"/>
            </w:tcBorders>
            <w:vAlign w:val="center"/>
          </w:tcPr>
          <w:p w14:paraId="510BB06E">
            <w:pPr>
              <w:pStyle w:val="49"/>
              <w:jc w:val="center"/>
              <w:rPr>
                <w:color w:val="auto"/>
                <w:sz w:val="21"/>
                <w:szCs w:val="21"/>
                <w:highlight w:val="none"/>
              </w:rPr>
            </w:pPr>
          </w:p>
        </w:tc>
        <w:tc>
          <w:tcPr>
            <w:tcW w:w="792" w:type="dxa"/>
            <w:tcBorders>
              <w:top w:val="single" w:color="auto" w:sz="4" w:space="0"/>
              <w:left w:val="single" w:color="auto" w:sz="4" w:space="0"/>
              <w:bottom w:val="single" w:color="auto" w:sz="4" w:space="0"/>
              <w:right w:val="single" w:color="auto" w:sz="4" w:space="0"/>
            </w:tcBorders>
            <w:vAlign w:val="center"/>
          </w:tcPr>
          <w:p w14:paraId="6C5A5920">
            <w:pPr>
              <w:pStyle w:val="49"/>
              <w:jc w:val="center"/>
              <w:rPr>
                <w:color w:val="auto"/>
                <w:sz w:val="21"/>
                <w:szCs w:val="21"/>
                <w:highlight w:val="none"/>
              </w:rPr>
            </w:pPr>
          </w:p>
        </w:tc>
        <w:tc>
          <w:tcPr>
            <w:tcW w:w="696" w:type="dxa"/>
            <w:tcBorders>
              <w:top w:val="single" w:color="auto" w:sz="4" w:space="0"/>
              <w:left w:val="single" w:color="auto" w:sz="4" w:space="0"/>
              <w:bottom w:val="single" w:color="auto" w:sz="4" w:space="0"/>
              <w:right w:val="single" w:color="auto" w:sz="4" w:space="0"/>
            </w:tcBorders>
            <w:vAlign w:val="center"/>
          </w:tcPr>
          <w:p w14:paraId="35E1910D">
            <w:pPr>
              <w:pStyle w:val="49"/>
              <w:jc w:val="center"/>
              <w:rPr>
                <w:color w:val="auto"/>
                <w:sz w:val="21"/>
                <w:szCs w:val="21"/>
                <w:highlight w:val="none"/>
              </w:rPr>
            </w:pPr>
          </w:p>
        </w:tc>
        <w:tc>
          <w:tcPr>
            <w:tcW w:w="648" w:type="dxa"/>
            <w:tcBorders>
              <w:top w:val="single" w:color="auto" w:sz="4" w:space="0"/>
              <w:left w:val="single" w:color="auto" w:sz="4" w:space="0"/>
              <w:bottom w:val="single" w:color="auto" w:sz="4" w:space="0"/>
              <w:right w:val="single" w:color="auto" w:sz="4" w:space="0"/>
            </w:tcBorders>
            <w:vAlign w:val="center"/>
          </w:tcPr>
          <w:p w14:paraId="2648ECA9">
            <w:pPr>
              <w:pStyle w:val="49"/>
              <w:jc w:val="center"/>
              <w:rPr>
                <w:color w:val="auto"/>
                <w:sz w:val="21"/>
                <w:szCs w:val="21"/>
                <w:highlight w:val="none"/>
              </w:rPr>
            </w:pPr>
          </w:p>
        </w:tc>
        <w:tc>
          <w:tcPr>
            <w:tcW w:w="1128" w:type="dxa"/>
            <w:tcBorders>
              <w:top w:val="single" w:color="auto" w:sz="4" w:space="0"/>
              <w:left w:val="single" w:color="auto" w:sz="4" w:space="0"/>
              <w:bottom w:val="single" w:color="auto" w:sz="4" w:space="0"/>
              <w:right w:val="single" w:color="auto" w:sz="4" w:space="0"/>
            </w:tcBorders>
            <w:vAlign w:val="center"/>
          </w:tcPr>
          <w:p w14:paraId="264C2E61">
            <w:pPr>
              <w:pStyle w:val="49"/>
              <w:jc w:val="center"/>
              <w:rPr>
                <w:color w:val="auto"/>
                <w:sz w:val="21"/>
                <w:szCs w:val="21"/>
                <w:highlight w:val="none"/>
              </w:rPr>
            </w:pPr>
          </w:p>
        </w:tc>
        <w:tc>
          <w:tcPr>
            <w:tcW w:w="1224" w:type="dxa"/>
            <w:tcBorders>
              <w:top w:val="single" w:color="auto" w:sz="4" w:space="0"/>
              <w:left w:val="single" w:color="auto" w:sz="4" w:space="0"/>
              <w:bottom w:val="single" w:color="auto" w:sz="4" w:space="0"/>
              <w:right w:val="single" w:color="auto" w:sz="4" w:space="0"/>
            </w:tcBorders>
            <w:vAlign w:val="center"/>
          </w:tcPr>
          <w:p w14:paraId="725FE785">
            <w:pPr>
              <w:pStyle w:val="49"/>
              <w:jc w:val="center"/>
              <w:rPr>
                <w:color w:val="auto"/>
                <w:sz w:val="21"/>
                <w:szCs w:val="21"/>
                <w:highlight w:val="none"/>
              </w:rPr>
            </w:pPr>
          </w:p>
        </w:tc>
        <w:tc>
          <w:tcPr>
            <w:tcW w:w="1582" w:type="dxa"/>
            <w:tcBorders>
              <w:top w:val="single" w:color="auto" w:sz="4" w:space="0"/>
              <w:left w:val="single" w:color="auto" w:sz="4" w:space="0"/>
              <w:bottom w:val="single" w:color="auto" w:sz="4" w:space="0"/>
              <w:right w:val="single" w:color="auto" w:sz="4" w:space="0"/>
            </w:tcBorders>
            <w:vAlign w:val="center"/>
          </w:tcPr>
          <w:p w14:paraId="464D763D">
            <w:pPr>
              <w:pStyle w:val="49"/>
              <w:jc w:val="center"/>
              <w:rPr>
                <w:color w:val="auto"/>
                <w:sz w:val="21"/>
                <w:szCs w:val="21"/>
                <w:highlight w:val="none"/>
              </w:rPr>
            </w:pPr>
          </w:p>
        </w:tc>
      </w:tr>
      <w:tr w14:paraId="37C9C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57" w:type="dxa"/>
            <w:tcBorders>
              <w:top w:val="single" w:color="auto" w:sz="4" w:space="0"/>
              <w:left w:val="single" w:color="auto" w:sz="4" w:space="0"/>
              <w:bottom w:val="single" w:color="auto" w:sz="4" w:space="0"/>
              <w:right w:val="single" w:color="auto" w:sz="4" w:space="0"/>
            </w:tcBorders>
            <w:vAlign w:val="center"/>
          </w:tcPr>
          <w:p w14:paraId="2FEF61DD">
            <w:pPr>
              <w:pStyle w:val="49"/>
              <w:numPr>
                <w:ilvl w:val="0"/>
                <w:numId w:val="6"/>
              </w:numPr>
              <w:jc w:val="center"/>
              <w:rPr>
                <w:color w:val="auto"/>
                <w:sz w:val="21"/>
                <w:szCs w:val="21"/>
                <w:highlight w:val="none"/>
              </w:rPr>
            </w:pPr>
          </w:p>
        </w:tc>
        <w:tc>
          <w:tcPr>
            <w:tcW w:w="1147" w:type="dxa"/>
            <w:tcBorders>
              <w:top w:val="single" w:color="auto" w:sz="4" w:space="0"/>
              <w:left w:val="single" w:color="auto" w:sz="4" w:space="0"/>
              <w:bottom w:val="single" w:color="auto" w:sz="4" w:space="0"/>
              <w:right w:val="single" w:color="auto" w:sz="4" w:space="0"/>
            </w:tcBorders>
            <w:vAlign w:val="center"/>
          </w:tcPr>
          <w:p w14:paraId="0416B1F1">
            <w:pPr>
              <w:pStyle w:val="49"/>
              <w:jc w:val="center"/>
              <w:rPr>
                <w:color w:val="auto"/>
                <w:sz w:val="21"/>
                <w:szCs w:val="21"/>
                <w:highlight w:val="none"/>
              </w:rPr>
            </w:pPr>
          </w:p>
        </w:tc>
        <w:tc>
          <w:tcPr>
            <w:tcW w:w="972" w:type="dxa"/>
            <w:tcBorders>
              <w:top w:val="single" w:color="auto" w:sz="4" w:space="0"/>
              <w:left w:val="single" w:color="auto" w:sz="4" w:space="0"/>
              <w:bottom w:val="single" w:color="auto" w:sz="4" w:space="0"/>
              <w:right w:val="single" w:color="auto" w:sz="4" w:space="0"/>
            </w:tcBorders>
            <w:vAlign w:val="center"/>
          </w:tcPr>
          <w:p w14:paraId="2C36B510">
            <w:pPr>
              <w:pStyle w:val="49"/>
              <w:jc w:val="center"/>
              <w:rPr>
                <w:color w:val="auto"/>
                <w:sz w:val="21"/>
                <w:szCs w:val="21"/>
                <w:highlight w:val="none"/>
              </w:rPr>
            </w:pPr>
          </w:p>
        </w:tc>
        <w:tc>
          <w:tcPr>
            <w:tcW w:w="792" w:type="dxa"/>
            <w:tcBorders>
              <w:top w:val="single" w:color="auto" w:sz="4" w:space="0"/>
              <w:left w:val="single" w:color="auto" w:sz="4" w:space="0"/>
              <w:bottom w:val="single" w:color="auto" w:sz="4" w:space="0"/>
              <w:right w:val="single" w:color="auto" w:sz="4" w:space="0"/>
            </w:tcBorders>
            <w:vAlign w:val="center"/>
          </w:tcPr>
          <w:p w14:paraId="50AC0C7C">
            <w:pPr>
              <w:pStyle w:val="49"/>
              <w:jc w:val="center"/>
              <w:rPr>
                <w:color w:val="auto"/>
                <w:sz w:val="21"/>
                <w:szCs w:val="21"/>
                <w:highlight w:val="none"/>
              </w:rPr>
            </w:pPr>
          </w:p>
        </w:tc>
        <w:tc>
          <w:tcPr>
            <w:tcW w:w="696" w:type="dxa"/>
            <w:tcBorders>
              <w:top w:val="single" w:color="auto" w:sz="4" w:space="0"/>
              <w:left w:val="single" w:color="auto" w:sz="4" w:space="0"/>
              <w:bottom w:val="single" w:color="auto" w:sz="4" w:space="0"/>
              <w:right w:val="single" w:color="auto" w:sz="4" w:space="0"/>
            </w:tcBorders>
            <w:vAlign w:val="center"/>
          </w:tcPr>
          <w:p w14:paraId="567CCBE2">
            <w:pPr>
              <w:pStyle w:val="49"/>
              <w:jc w:val="center"/>
              <w:rPr>
                <w:color w:val="auto"/>
                <w:sz w:val="21"/>
                <w:szCs w:val="21"/>
                <w:highlight w:val="none"/>
              </w:rPr>
            </w:pPr>
          </w:p>
        </w:tc>
        <w:tc>
          <w:tcPr>
            <w:tcW w:w="648" w:type="dxa"/>
            <w:tcBorders>
              <w:top w:val="single" w:color="auto" w:sz="4" w:space="0"/>
              <w:left w:val="single" w:color="auto" w:sz="4" w:space="0"/>
              <w:bottom w:val="single" w:color="auto" w:sz="4" w:space="0"/>
              <w:right w:val="single" w:color="auto" w:sz="4" w:space="0"/>
            </w:tcBorders>
            <w:vAlign w:val="center"/>
          </w:tcPr>
          <w:p w14:paraId="2BBEE273">
            <w:pPr>
              <w:pStyle w:val="49"/>
              <w:jc w:val="center"/>
              <w:rPr>
                <w:color w:val="auto"/>
                <w:sz w:val="21"/>
                <w:szCs w:val="21"/>
                <w:highlight w:val="none"/>
              </w:rPr>
            </w:pPr>
          </w:p>
        </w:tc>
        <w:tc>
          <w:tcPr>
            <w:tcW w:w="1128" w:type="dxa"/>
            <w:tcBorders>
              <w:top w:val="single" w:color="auto" w:sz="4" w:space="0"/>
              <w:left w:val="single" w:color="auto" w:sz="4" w:space="0"/>
              <w:bottom w:val="single" w:color="auto" w:sz="4" w:space="0"/>
              <w:right w:val="single" w:color="auto" w:sz="4" w:space="0"/>
            </w:tcBorders>
            <w:vAlign w:val="center"/>
          </w:tcPr>
          <w:p w14:paraId="0202F913">
            <w:pPr>
              <w:pStyle w:val="49"/>
              <w:jc w:val="center"/>
              <w:rPr>
                <w:color w:val="auto"/>
                <w:sz w:val="21"/>
                <w:szCs w:val="21"/>
                <w:highlight w:val="none"/>
              </w:rPr>
            </w:pPr>
          </w:p>
        </w:tc>
        <w:tc>
          <w:tcPr>
            <w:tcW w:w="1224" w:type="dxa"/>
            <w:tcBorders>
              <w:top w:val="single" w:color="auto" w:sz="4" w:space="0"/>
              <w:left w:val="single" w:color="auto" w:sz="4" w:space="0"/>
              <w:bottom w:val="single" w:color="auto" w:sz="4" w:space="0"/>
              <w:right w:val="single" w:color="auto" w:sz="4" w:space="0"/>
            </w:tcBorders>
            <w:vAlign w:val="center"/>
          </w:tcPr>
          <w:p w14:paraId="4965158B">
            <w:pPr>
              <w:pStyle w:val="49"/>
              <w:jc w:val="center"/>
              <w:rPr>
                <w:color w:val="auto"/>
                <w:sz w:val="21"/>
                <w:szCs w:val="21"/>
                <w:highlight w:val="none"/>
              </w:rPr>
            </w:pPr>
          </w:p>
        </w:tc>
        <w:tc>
          <w:tcPr>
            <w:tcW w:w="1582" w:type="dxa"/>
            <w:tcBorders>
              <w:top w:val="single" w:color="auto" w:sz="4" w:space="0"/>
              <w:left w:val="single" w:color="auto" w:sz="4" w:space="0"/>
              <w:bottom w:val="single" w:color="auto" w:sz="4" w:space="0"/>
              <w:right w:val="single" w:color="auto" w:sz="4" w:space="0"/>
            </w:tcBorders>
            <w:vAlign w:val="center"/>
          </w:tcPr>
          <w:p w14:paraId="4778C7D9">
            <w:pPr>
              <w:pStyle w:val="49"/>
              <w:jc w:val="center"/>
              <w:rPr>
                <w:color w:val="auto"/>
                <w:sz w:val="21"/>
                <w:szCs w:val="21"/>
                <w:highlight w:val="none"/>
              </w:rPr>
            </w:pPr>
          </w:p>
        </w:tc>
      </w:tr>
      <w:tr w14:paraId="54DDF4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57" w:type="dxa"/>
            <w:tcBorders>
              <w:top w:val="single" w:color="auto" w:sz="4" w:space="0"/>
              <w:left w:val="single" w:color="auto" w:sz="4" w:space="0"/>
              <w:bottom w:val="single" w:color="auto" w:sz="4" w:space="0"/>
              <w:right w:val="single" w:color="auto" w:sz="4" w:space="0"/>
            </w:tcBorders>
            <w:vAlign w:val="center"/>
          </w:tcPr>
          <w:p w14:paraId="648CCAB2">
            <w:pPr>
              <w:pStyle w:val="49"/>
              <w:numPr>
                <w:ilvl w:val="0"/>
                <w:numId w:val="6"/>
              </w:numPr>
              <w:jc w:val="center"/>
              <w:rPr>
                <w:color w:val="auto"/>
                <w:sz w:val="21"/>
                <w:szCs w:val="21"/>
                <w:highlight w:val="none"/>
              </w:rPr>
            </w:pPr>
          </w:p>
        </w:tc>
        <w:tc>
          <w:tcPr>
            <w:tcW w:w="1147" w:type="dxa"/>
            <w:tcBorders>
              <w:top w:val="single" w:color="auto" w:sz="4" w:space="0"/>
              <w:left w:val="single" w:color="auto" w:sz="4" w:space="0"/>
              <w:bottom w:val="single" w:color="auto" w:sz="4" w:space="0"/>
              <w:right w:val="single" w:color="auto" w:sz="4" w:space="0"/>
            </w:tcBorders>
            <w:vAlign w:val="center"/>
          </w:tcPr>
          <w:p w14:paraId="525CCB97">
            <w:pPr>
              <w:pStyle w:val="49"/>
              <w:jc w:val="center"/>
              <w:rPr>
                <w:color w:val="auto"/>
                <w:sz w:val="21"/>
                <w:szCs w:val="21"/>
                <w:highlight w:val="none"/>
              </w:rPr>
            </w:pPr>
            <w:r>
              <w:rPr>
                <w:color w:val="auto"/>
                <w:sz w:val="21"/>
                <w:szCs w:val="21"/>
                <w:highlight w:val="none"/>
              </w:rPr>
              <w:t>……</w:t>
            </w:r>
          </w:p>
        </w:tc>
        <w:tc>
          <w:tcPr>
            <w:tcW w:w="972" w:type="dxa"/>
            <w:tcBorders>
              <w:top w:val="single" w:color="auto" w:sz="4" w:space="0"/>
              <w:left w:val="single" w:color="auto" w:sz="4" w:space="0"/>
              <w:bottom w:val="single" w:color="auto" w:sz="4" w:space="0"/>
              <w:right w:val="single" w:color="auto" w:sz="4" w:space="0"/>
            </w:tcBorders>
            <w:vAlign w:val="center"/>
          </w:tcPr>
          <w:p w14:paraId="20FBEE7F">
            <w:pPr>
              <w:pStyle w:val="49"/>
              <w:jc w:val="center"/>
              <w:rPr>
                <w:color w:val="auto"/>
                <w:sz w:val="21"/>
                <w:szCs w:val="21"/>
                <w:highlight w:val="none"/>
              </w:rPr>
            </w:pPr>
          </w:p>
        </w:tc>
        <w:tc>
          <w:tcPr>
            <w:tcW w:w="792" w:type="dxa"/>
            <w:tcBorders>
              <w:top w:val="single" w:color="auto" w:sz="4" w:space="0"/>
              <w:left w:val="single" w:color="auto" w:sz="4" w:space="0"/>
              <w:bottom w:val="single" w:color="auto" w:sz="4" w:space="0"/>
              <w:right w:val="single" w:color="auto" w:sz="4" w:space="0"/>
            </w:tcBorders>
            <w:vAlign w:val="center"/>
          </w:tcPr>
          <w:p w14:paraId="2FABF0FD">
            <w:pPr>
              <w:pStyle w:val="49"/>
              <w:jc w:val="center"/>
              <w:rPr>
                <w:color w:val="auto"/>
                <w:sz w:val="21"/>
                <w:szCs w:val="21"/>
                <w:highlight w:val="none"/>
              </w:rPr>
            </w:pPr>
          </w:p>
        </w:tc>
        <w:tc>
          <w:tcPr>
            <w:tcW w:w="696" w:type="dxa"/>
            <w:tcBorders>
              <w:top w:val="single" w:color="auto" w:sz="4" w:space="0"/>
              <w:left w:val="single" w:color="auto" w:sz="4" w:space="0"/>
              <w:bottom w:val="single" w:color="auto" w:sz="4" w:space="0"/>
              <w:right w:val="single" w:color="auto" w:sz="4" w:space="0"/>
            </w:tcBorders>
            <w:vAlign w:val="center"/>
          </w:tcPr>
          <w:p w14:paraId="641EE4F1">
            <w:pPr>
              <w:pStyle w:val="49"/>
              <w:jc w:val="center"/>
              <w:rPr>
                <w:color w:val="auto"/>
                <w:sz w:val="21"/>
                <w:szCs w:val="21"/>
                <w:highlight w:val="none"/>
              </w:rPr>
            </w:pPr>
          </w:p>
        </w:tc>
        <w:tc>
          <w:tcPr>
            <w:tcW w:w="648" w:type="dxa"/>
            <w:tcBorders>
              <w:top w:val="single" w:color="auto" w:sz="4" w:space="0"/>
              <w:left w:val="single" w:color="auto" w:sz="4" w:space="0"/>
              <w:bottom w:val="single" w:color="auto" w:sz="4" w:space="0"/>
              <w:right w:val="single" w:color="auto" w:sz="4" w:space="0"/>
            </w:tcBorders>
            <w:vAlign w:val="center"/>
          </w:tcPr>
          <w:p w14:paraId="34758BE8">
            <w:pPr>
              <w:pStyle w:val="49"/>
              <w:jc w:val="center"/>
              <w:rPr>
                <w:color w:val="auto"/>
                <w:sz w:val="21"/>
                <w:szCs w:val="21"/>
                <w:highlight w:val="none"/>
              </w:rPr>
            </w:pPr>
          </w:p>
        </w:tc>
        <w:tc>
          <w:tcPr>
            <w:tcW w:w="1128" w:type="dxa"/>
            <w:tcBorders>
              <w:top w:val="single" w:color="auto" w:sz="4" w:space="0"/>
              <w:left w:val="single" w:color="auto" w:sz="4" w:space="0"/>
              <w:bottom w:val="single" w:color="auto" w:sz="4" w:space="0"/>
              <w:right w:val="single" w:color="auto" w:sz="4" w:space="0"/>
            </w:tcBorders>
            <w:vAlign w:val="center"/>
          </w:tcPr>
          <w:p w14:paraId="4A503622">
            <w:pPr>
              <w:pStyle w:val="49"/>
              <w:jc w:val="center"/>
              <w:rPr>
                <w:color w:val="auto"/>
                <w:sz w:val="21"/>
                <w:szCs w:val="21"/>
                <w:highlight w:val="none"/>
              </w:rPr>
            </w:pPr>
          </w:p>
        </w:tc>
        <w:tc>
          <w:tcPr>
            <w:tcW w:w="1224" w:type="dxa"/>
            <w:tcBorders>
              <w:top w:val="single" w:color="auto" w:sz="4" w:space="0"/>
              <w:left w:val="single" w:color="auto" w:sz="4" w:space="0"/>
              <w:bottom w:val="single" w:color="auto" w:sz="4" w:space="0"/>
              <w:right w:val="single" w:color="auto" w:sz="4" w:space="0"/>
            </w:tcBorders>
            <w:vAlign w:val="center"/>
          </w:tcPr>
          <w:p w14:paraId="73CD9502">
            <w:pPr>
              <w:pStyle w:val="49"/>
              <w:jc w:val="center"/>
              <w:rPr>
                <w:color w:val="auto"/>
                <w:sz w:val="21"/>
                <w:szCs w:val="21"/>
                <w:highlight w:val="none"/>
              </w:rPr>
            </w:pPr>
          </w:p>
        </w:tc>
        <w:tc>
          <w:tcPr>
            <w:tcW w:w="1582" w:type="dxa"/>
            <w:tcBorders>
              <w:top w:val="single" w:color="auto" w:sz="4" w:space="0"/>
              <w:left w:val="single" w:color="auto" w:sz="4" w:space="0"/>
              <w:bottom w:val="single" w:color="auto" w:sz="4" w:space="0"/>
              <w:right w:val="single" w:color="auto" w:sz="4" w:space="0"/>
            </w:tcBorders>
            <w:vAlign w:val="center"/>
          </w:tcPr>
          <w:p w14:paraId="51E5F4FE">
            <w:pPr>
              <w:pStyle w:val="49"/>
              <w:jc w:val="center"/>
              <w:rPr>
                <w:color w:val="auto"/>
                <w:sz w:val="21"/>
                <w:szCs w:val="21"/>
                <w:highlight w:val="none"/>
              </w:rPr>
            </w:pPr>
          </w:p>
        </w:tc>
      </w:tr>
    </w:tbl>
    <w:p w14:paraId="0BF4E52B">
      <w:pPr>
        <w:spacing w:line="300" w:lineRule="auto"/>
        <w:rPr>
          <w:rFonts w:ascii="Arial" w:hAnsi="Arial" w:cs="Arial"/>
          <w:color w:val="auto"/>
          <w:szCs w:val="21"/>
          <w:highlight w:val="none"/>
        </w:rPr>
      </w:pPr>
    </w:p>
    <w:p w14:paraId="37B13C23">
      <w:pPr>
        <w:spacing w:line="30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环保产品</w:t>
      </w:r>
    </w:p>
    <w:tbl>
      <w:tblPr>
        <w:tblStyle w:val="29"/>
        <w:tblW w:w="89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
      <w:tblGrid>
        <w:gridCol w:w="776"/>
        <w:gridCol w:w="1140"/>
        <w:gridCol w:w="1272"/>
        <w:gridCol w:w="816"/>
        <w:gridCol w:w="816"/>
        <w:gridCol w:w="1032"/>
        <w:gridCol w:w="1380"/>
        <w:gridCol w:w="1714"/>
      </w:tblGrid>
      <w:tr w14:paraId="75A58D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76" w:type="dxa"/>
            <w:tcBorders>
              <w:top w:val="single" w:color="auto" w:sz="4" w:space="0"/>
              <w:left w:val="single" w:color="auto" w:sz="4" w:space="0"/>
              <w:bottom w:val="single" w:color="auto" w:sz="4" w:space="0"/>
              <w:right w:val="single" w:color="auto" w:sz="4" w:space="0"/>
            </w:tcBorders>
            <w:vAlign w:val="center"/>
          </w:tcPr>
          <w:p w14:paraId="0E1C37F0">
            <w:pPr>
              <w:pStyle w:val="49"/>
              <w:jc w:val="center"/>
              <w:rPr>
                <w:color w:val="auto"/>
                <w:sz w:val="21"/>
                <w:szCs w:val="21"/>
                <w:highlight w:val="none"/>
              </w:rPr>
            </w:pPr>
            <w:r>
              <w:rPr>
                <w:rFonts w:hint="eastAsia"/>
                <w:color w:val="auto"/>
                <w:sz w:val="21"/>
                <w:szCs w:val="21"/>
                <w:highlight w:val="none"/>
              </w:rPr>
              <w:t>序号</w:t>
            </w:r>
          </w:p>
        </w:tc>
        <w:tc>
          <w:tcPr>
            <w:tcW w:w="1140" w:type="dxa"/>
            <w:tcBorders>
              <w:top w:val="single" w:color="auto" w:sz="4" w:space="0"/>
              <w:left w:val="single" w:color="auto" w:sz="4" w:space="0"/>
              <w:bottom w:val="single" w:color="auto" w:sz="4" w:space="0"/>
              <w:right w:val="single" w:color="auto" w:sz="4" w:space="0"/>
            </w:tcBorders>
            <w:vAlign w:val="center"/>
          </w:tcPr>
          <w:p w14:paraId="61FD081C">
            <w:pPr>
              <w:pStyle w:val="49"/>
              <w:jc w:val="center"/>
              <w:rPr>
                <w:color w:val="auto"/>
                <w:sz w:val="21"/>
                <w:szCs w:val="21"/>
                <w:highlight w:val="none"/>
              </w:rPr>
            </w:pPr>
            <w:r>
              <w:rPr>
                <w:rFonts w:hint="eastAsia"/>
                <w:color w:val="auto"/>
                <w:sz w:val="21"/>
                <w:szCs w:val="21"/>
                <w:highlight w:val="none"/>
              </w:rPr>
              <w:t>设备名称</w:t>
            </w:r>
          </w:p>
        </w:tc>
        <w:tc>
          <w:tcPr>
            <w:tcW w:w="1272" w:type="dxa"/>
            <w:tcBorders>
              <w:top w:val="single" w:color="auto" w:sz="4" w:space="0"/>
              <w:left w:val="single" w:color="auto" w:sz="4" w:space="0"/>
              <w:bottom w:val="single" w:color="auto" w:sz="4" w:space="0"/>
              <w:right w:val="single" w:color="auto" w:sz="4" w:space="0"/>
            </w:tcBorders>
            <w:vAlign w:val="center"/>
          </w:tcPr>
          <w:p w14:paraId="29856322">
            <w:pPr>
              <w:pStyle w:val="49"/>
              <w:jc w:val="center"/>
              <w:rPr>
                <w:color w:val="auto"/>
                <w:sz w:val="21"/>
                <w:szCs w:val="21"/>
                <w:highlight w:val="none"/>
              </w:rPr>
            </w:pPr>
            <w:r>
              <w:rPr>
                <w:rFonts w:hint="eastAsia"/>
                <w:color w:val="auto"/>
                <w:sz w:val="21"/>
                <w:szCs w:val="21"/>
                <w:highlight w:val="none"/>
              </w:rPr>
              <w:t>制造商</w:t>
            </w:r>
          </w:p>
          <w:p w14:paraId="43D7ECA8">
            <w:pPr>
              <w:pStyle w:val="49"/>
              <w:jc w:val="center"/>
              <w:rPr>
                <w:color w:val="auto"/>
                <w:sz w:val="21"/>
                <w:szCs w:val="21"/>
                <w:highlight w:val="none"/>
              </w:rPr>
            </w:pPr>
            <w:r>
              <w:rPr>
                <w:rFonts w:hint="eastAsia"/>
                <w:color w:val="auto"/>
                <w:sz w:val="21"/>
                <w:szCs w:val="21"/>
                <w:highlight w:val="none"/>
              </w:rPr>
              <w:t>名称</w:t>
            </w:r>
          </w:p>
        </w:tc>
        <w:tc>
          <w:tcPr>
            <w:tcW w:w="816" w:type="dxa"/>
            <w:tcBorders>
              <w:top w:val="single" w:color="auto" w:sz="4" w:space="0"/>
              <w:left w:val="single" w:color="auto" w:sz="4" w:space="0"/>
              <w:bottom w:val="single" w:color="auto" w:sz="4" w:space="0"/>
              <w:right w:val="single" w:color="auto" w:sz="4" w:space="0"/>
            </w:tcBorders>
            <w:vAlign w:val="center"/>
          </w:tcPr>
          <w:p w14:paraId="3DA2F666">
            <w:pPr>
              <w:pStyle w:val="49"/>
              <w:jc w:val="center"/>
              <w:rPr>
                <w:color w:val="auto"/>
                <w:sz w:val="21"/>
                <w:szCs w:val="21"/>
                <w:highlight w:val="none"/>
              </w:rPr>
            </w:pPr>
            <w:r>
              <w:rPr>
                <w:rFonts w:hint="eastAsia"/>
                <w:color w:val="auto"/>
                <w:sz w:val="21"/>
                <w:szCs w:val="21"/>
                <w:highlight w:val="none"/>
              </w:rPr>
              <w:t>品牌</w:t>
            </w:r>
          </w:p>
        </w:tc>
        <w:tc>
          <w:tcPr>
            <w:tcW w:w="816" w:type="dxa"/>
            <w:tcBorders>
              <w:top w:val="single" w:color="auto" w:sz="4" w:space="0"/>
              <w:left w:val="single" w:color="auto" w:sz="4" w:space="0"/>
              <w:bottom w:val="single" w:color="auto" w:sz="4" w:space="0"/>
              <w:right w:val="single" w:color="auto" w:sz="4" w:space="0"/>
            </w:tcBorders>
            <w:vAlign w:val="center"/>
          </w:tcPr>
          <w:p w14:paraId="4C041C3A">
            <w:pPr>
              <w:pStyle w:val="49"/>
              <w:jc w:val="center"/>
              <w:rPr>
                <w:color w:val="auto"/>
                <w:sz w:val="21"/>
                <w:szCs w:val="21"/>
                <w:highlight w:val="none"/>
              </w:rPr>
            </w:pPr>
            <w:r>
              <w:rPr>
                <w:rFonts w:hint="eastAsia"/>
                <w:color w:val="auto"/>
                <w:sz w:val="21"/>
                <w:szCs w:val="21"/>
                <w:highlight w:val="none"/>
              </w:rPr>
              <w:t>型号</w:t>
            </w:r>
          </w:p>
        </w:tc>
        <w:tc>
          <w:tcPr>
            <w:tcW w:w="1032" w:type="dxa"/>
            <w:tcBorders>
              <w:top w:val="single" w:color="auto" w:sz="4" w:space="0"/>
              <w:left w:val="single" w:color="auto" w:sz="4" w:space="0"/>
              <w:bottom w:val="single" w:color="auto" w:sz="4" w:space="0"/>
              <w:right w:val="single" w:color="auto" w:sz="4" w:space="0"/>
            </w:tcBorders>
            <w:vAlign w:val="center"/>
          </w:tcPr>
          <w:p w14:paraId="5EC682A5">
            <w:pPr>
              <w:pStyle w:val="49"/>
              <w:jc w:val="center"/>
              <w:rPr>
                <w:color w:val="auto"/>
                <w:sz w:val="21"/>
                <w:szCs w:val="21"/>
                <w:highlight w:val="none"/>
              </w:rPr>
            </w:pPr>
            <w:r>
              <w:rPr>
                <w:rFonts w:hint="eastAsia"/>
                <w:color w:val="auto"/>
                <w:sz w:val="21"/>
                <w:szCs w:val="21"/>
                <w:highlight w:val="none"/>
              </w:rPr>
              <w:t>数量</w:t>
            </w:r>
          </w:p>
        </w:tc>
        <w:tc>
          <w:tcPr>
            <w:tcW w:w="1380" w:type="dxa"/>
            <w:tcBorders>
              <w:top w:val="single" w:color="auto" w:sz="4" w:space="0"/>
              <w:left w:val="single" w:color="auto" w:sz="4" w:space="0"/>
              <w:bottom w:val="single" w:color="auto" w:sz="4" w:space="0"/>
              <w:right w:val="single" w:color="auto" w:sz="4" w:space="0"/>
            </w:tcBorders>
            <w:vAlign w:val="center"/>
          </w:tcPr>
          <w:p w14:paraId="5112D1F1">
            <w:pPr>
              <w:pStyle w:val="49"/>
              <w:jc w:val="center"/>
              <w:rPr>
                <w:color w:val="auto"/>
                <w:sz w:val="21"/>
                <w:szCs w:val="21"/>
                <w:highlight w:val="none"/>
              </w:rPr>
            </w:pPr>
            <w:r>
              <w:rPr>
                <w:rFonts w:hint="eastAsia"/>
                <w:color w:val="auto"/>
                <w:sz w:val="21"/>
                <w:szCs w:val="21"/>
                <w:highlight w:val="none"/>
              </w:rPr>
              <w:t>单价</w:t>
            </w:r>
          </w:p>
          <w:p w14:paraId="0270B2E8">
            <w:pPr>
              <w:pStyle w:val="49"/>
              <w:jc w:val="center"/>
              <w:rPr>
                <w:color w:val="auto"/>
                <w:sz w:val="21"/>
                <w:szCs w:val="21"/>
                <w:highlight w:val="none"/>
              </w:rPr>
            </w:pPr>
            <w:r>
              <w:rPr>
                <w:rFonts w:hint="eastAsia"/>
                <w:color w:val="auto"/>
                <w:sz w:val="21"/>
                <w:szCs w:val="21"/>
                <w:highlight w:val="none"/>
              </w:rPr>
              <w:t>（万元）</w:t>
            </w:r>
          </w:p>
        </w:tc>
        <w:tc>
          <w:tcPr>
            <w:tcW w:w="1714" w:type="dxa"/>
            <w:tcBorders>
              <w:top w:val="single" w:color="auto" w:sz="4" w:space="0"/>
              <w:left w:val="single" w:color="auto" w:sz="4" w:space="0"/>
              <w:bottom w:val="single" w:color="auto" w:sz="4" w:space="0"/>
              <w:right w:val="single" w:color="auto" w:sz="4" w:space="0"/>
            </w:tcBorders>
            <w:vAlign w:val="center"/>
          </w:tcPr>
          <w:p w14:paraId="52D01C53">
            <w:pPr>
              <w:pStyle w:val="49"/>
              <w:jc w:val="center"/>
              <w:rPr>
                <w:color w:val="auto"/>
                <w:sz w:val="21"/>
                <w:szCs w:val="21"/>
                <w:highlight w:val="none"/>
              </w:rPr>
            </w:pPr>
            <w:r>
              <w:rPr>
                <w:rFonts w:hint="eastAsia"/>
                <w:color w:val="auto"/>
                <w:sz w:val="21"/>
                <w:szCs w:val="21"/>
                <w:highlight w:val="none"/>
              </w:rPr>
              <w:t>总价</w:t>
            </w:r>
          </w:p>
          <w:p w14:paraId="461D4258">
            <w:pPr>
              <w:pStyle w:val="49"/>
              <w:jc w:val="center"/>
              <w:rPr>
                <w:color w:val="auto"/>
                <w:sz w:val="21"/>
                <w:szCs w:val="21"/>
                <w:highlight w:val="none"/>
              </w:rPr>
            </w:pPr>
            <w:r>
              <w:rPr>
                <w:rFonts w:hint="eastAsia"/>
                <w:color w:val="auto"/>
                <w:sz w:val="21"/>
                <w:szCs w:val="21"/>
                <w:highlight w:val="none"/>
              </w:rPr>
              <w:t>（万元）</w:t>
            </w:r>
          </w:p>
        </w:tc>
      </w:tr>
      <w:tr w14:paraId="3C064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76" w:type="dxa"/>
            <w:tcBorders>
              <w:top w:val="single" w:color="auto" w:sz="4" w:space="0"/>
              <w:left w:val="single" w:color="auto" w:sz="4" w:space="0"/>
              <w:bottom w:val="single" w:color="auto" w:sz="4" w:space="0"/>
              <w:right w:val="single" w:color="auto" w:sz="4" w:space="0"/>
            </w:tcBorders>
            <w:vAlign w:val="center"/>
          </w:tcPr>
          <w:p w14:paraId="67FEDD7F">
            <w:pPr>
              <w:pStyle w:val="49"/>
              <w:numPr>
                <w:ilvl w:val="0"/>
                <w:numId w:val="7"/>
              </w:numPr>
              <w:jc w:val="center"/>
              <w:rPr>
                <w:color w:val="auto"/>
                <w:sz w:val="21"/>
                <w:szCs w:val="21"/>
                <w:highlight w:val="none"/>
              </w:rPr>
            </w:pPr>
          </w:p>
        </w:tc>
        <w:tc>
          <w:tcPr>
            <w:tcW w:w="1140" w:type="dxa"/>
            <w:tcBorders>
              <w:top w:val="single" w:color="auto" w:sz="4" w:space="0"/>
              <w:left w:val="single" w:color="auto" w:sz="4" w:space="0"/>
              <w:bottom w:val="single" w:color="auto" w:sz="4" w:space="0"/>
              <w:right w:val="single" w:color="auto" w:sz="4" w:space="0"/>
            </w:tcBorders>
            <w:vAlign w:val="center"/>
          </w:tcPr>
          <w:p w14:paraId="5E411FCE">
            <w:pPr>
              <w:pStyle w:val="49"/>
              <w:jc w:val="center"/>
              <w:rPr>
                <w:color w:val="auto"/>
                <w:sz w:val="21"/>
                <w:szCs w:val="21"/>
                <w:highlight w:val="none"/>
              </w:rPr>
            </w:pPr>
          </w:p>
        </w:tc>
        <w:tc>
          <w:tcPr>
            <w:tcW w:w="1272" w:type="dxa"/>
            <w:tcBorders>
              <w:top w:val="single" w:color="auto" w:sz="4" w:space="0"/>
              <w:left w:val="single" w:color="auto" w:sz="4" w:space="0"/>
              <w:bottom w:val="single" w:color="auto" w:sz="4" w:space="0"/>
              <w:right w:val="single" w:color="auto" w:sz="4" w:space="0"/>
            </w:tcBorders>
            <w:vAlign w:val="center"/>
          </w:tcPr>
          <w:p w14:paraId="7F21DE2B">
            <w:pPr>
              <w:pStyle w:val="49"/>
              <w:jc w:val="center"/>
              <w:rPr>
                <w:color w:val="auto"/>
                <w:sz w:val="21"/>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center"/>
          </w:tcPr>
          <w:p w14:paraId="7C5EDF09">
            <w:pPr>
              <w:pStyle w:val="49"/>
              <w:jc w:val="center"/>
              <w:rPr>
                <w:color w:val="auto"/>
                <w:sz w:val="21"/>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center"/>
          </w:tcPr>
          <w:p w14:paraId="2D72516A">
            <w:pPr>
              <w:pStyle w:val="49"/>
              <w:jc w:val="center"/>
              <w:rPr>
                <w:color w:val="auto"/>
                <w:sz w:val="21"/>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14:paraId="16E3E6DE">
            <w:pPr>
              <w:pStyle w:val="49"/>
              <w:jc w:val="center"/>
              <w:rPr>
                <w:color w:val="auto"/>
                <w:sz w:val="21"/>
                <w:szCs w:val="21"/>
                <w:highlight w:val="none"/>
              </w:rPr>
            </w:pPr>
          </w:p>
        </w:tc>
        <w:tc>
          <w:tcPr>
            <w:tcW w:w="1380" w:type="dxa"/>
            <w:tcBorders>
              <w:top w:val="single" w:color="auto" w:sz="4" w:space="0"/>
              <w:left w:val="single" w:color="auto" w:sz="4" w:space="0"/>
              <w:bottom w:val="single" w:color="auto" w:sz="4" w:space="0"/>
              <w:right w:val="single" w:color="auto" w:sz="4" w:space="0"/>
            </w:tcBorders>
            <w:vAlign w:val="center"/>
          </w:tcPr>
          <w:p w14:paraId="58F18718">
            <w:pPr>
              <w:pStyle w:val="49"/>
              <w:jc w:val="center"/>
              <w:rPr>
                <w:color w:val="auto"/>
                <w:sz w:val="21"/>
                <w:szCs w:val="21"/>
                <w:highlight w:val="none"/>
              </w:rPr>
            </w:pPr>
          </w:p>
        </w:tc>
        <w:tc>
          <w:tcPr>
            <w:tcW w:w="1714" w:type="dxa"/>
            <w:tcBorders>
              <w:top w:val="single" w:color="auto" w:sz="4" w:space="0"/>
              <w:left w:val="single" w:color="auto" w:sz="4" w:space="0"/>
              <w:bottom w:val="single" w:color="auto" w:sz="4" w:space="0"/>
              <w:right w:val="single" w:color="auto" w:sz="4" w:space="0"/>
            </w:tcBorders>
            <w:vAlign w:val="center"/>
          </w:tcPr>
          <w:p w14:paraId="44FAA2A4">
            <w:pPr>
              <w:pStyle w:val="49"/>
              <w:jc w:val="center"/>
              <w:rPr>
                <w:color w:val="auto"/>
                <w:sz w:val="21"/>
                <w:szCs w:val="21"/>
                <w:highlight w:val="none"/>
              </w:rPr>
            </w:pPr>
          </w:p>
        </w:tc>
      </w:tr>
      <w:tr w14:paraId="507C45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54" w:hRule="atLeast"/>
        </w:trPr>
        <w:tc>
          <w:tcPr>
            <w:tcW w:w="776" w:type="dxa"/>
            <w:tcBorders>
              <w:top w:val="single" w:color="auto" w:sz="4" w:space="0"/>
              <w:left w:val="single" w:color="auto" w:sz="4" w:space="0"/>
              <w:bottom w:val="single" w:color="auto" w:sz="4" w:space="0"/>
              <w:right w:val="single" w:color="auto" w:sz="4" w:space="0"/>
            </w:tcBorders>
            <w:vAlign w:val="center"/>
          </w:tcPr>
          <w:p w14:paraId="1CEE92A2">
            <w:pPr>
              <w:pStyle w:val="49"/>
              <w:numPr>
                <w:ilvl w:val="0"/>
                <w:numId w:val="7"/>
              </w:numPr>
              <w:jc w:val="center"/>
              <w:rPr>
                <w:color w:val="auto"/>
                <w:sz w:val="21"/>
                <w:szCs w:val="21"/>
                <w:highlight w:val="none"/>
              </w:rPr>
            </w:pPr>
          </w:p>
        </w:tc>
        <w:tc>
          <w:tcPr>
            <w:tcW w:w="1140" w:type="dxa"/>
            <w:tcBorders>
              <w:top w:val="single" w:color="auto" w:sz="4" w:space="0"/>
              <w:left w:val="single" w:color="auto" w:sz="4" w:space="0"/>
              <w:bottom w:val="single" w:color="auto" w:sz="4" w:space="0"/>
              <w:right w:val="single" w:color="auto" w:sz="4" w:space="0"/>
            </w:tcBorders>
            <w:vAlign w:val="center"/>
          </w:tcPr>
          <w:p w14:paraId="37004DF9">
            <w:pPr>
              <w:pStyle w:val="49"/>
              <w:jc w:val="center"/>
              <w:rPr>
                <w:color w:val="auto"/>
                <w:sz w:val="21"/>
                <w:szCs w:val="21"/>
                <w:highlight w:val="none"/>
              </w:rPr>
            </w:pPr>
          </w:p>
        </w:tc>
        <w:tc>
          <w:tcPr>
            <w:tcW w:w="1272" w:type="dxa"/>
            <w:tcBorders>
              <w:top w:val="single" w:color="auto" w:sz="4" w:space="0"/>
              <w:left w:val="single" w:color="auto" w:sz="4" w:space="0"/>
              <w:bottom w:val="single" w:color="auto" w:sz="4" w:space="0"/>
              <w:right w:val="single" w:color="auto" w:sz="4" w:space="0"/>
            </w:tcBorders>
            <w:vAlign w:val="center"/>
          </w:tcPr>
          <w:p w14:paraId="07819FE1">
            <w:pPr>
              <w:pStyle w:val="49"/>
              <w:jc w:val="center"/>
              <w:rPr>
                <w:color w:val="auto"/>
                <w:sz w:val="21"/>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center"/>
          </w:tcPr>
          <w:p w14:paraId="3DD8FC99">
            <w:pPr>
              <w:pStyle w:val="49"/>
              <w:jc w:val="center"/>
              <w:rPr>
                <w:color w:val="auto"/>
                <w:sz w:val="21"/>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center"/>
          </w:tcPr>
          <w:p w14:paraId="7FB45CEE">
            <w:pPr>
              <w:pStyle w:val="49"/>
              <w:jc w:val="center"/>
              <w:rPr>
                <w:color w:val="auto"/>
                <w:sz w:val="21"/>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14:paraId="5552F00C">
            <w:pPr>
              <w:pStyle w:val="49"/>
              <w:jc w:val="center"/>
              <w:rPr>
                <w:color w:val="auto"/>
                <w:sz w:val="21"/>
                <w:szCs w:val="21"/>
                <w:highlight w:val="none"/>
              </w:rPr>
            </w:pPr>
          </w:p>
        </w:tc>
        <w:tc>
          <w:tcPr>
            <w:tcW w:w="1380" w:type="dxa"/>
            <w:tcBorders>
              <w:top w:val="single" w:color="auto" w:sz="4" w:space="0"/>
              <w:left w:val="single" w:color="auto" w:sz="4" w:space="0"/>
              <w:bottom w:val="single" w:color="auto" w:sz="4" w:space="0"/>
              <w:right w:val="single" w:color="auto" w:sz="4" w:space="0"/>
            </w:tcBorders>
            <w:vAlign w:val="center"/>
          </w:tcPr>
          <w:p w14:paraId="50679DB2">
            <w:pPr>
              <w:pStyle w:val="49"/>
              <w:jc w:val="center"/>
              <w:rPr>
                <w:color w:val="auto"/>
                <w:sz w:val="21"/>
                <w:szCs w:val="21"/>
                <w:highlight w:val="none"/>
              </w:rPr>
            </w:pPr>
          </w:p>
        </w:tc>
        <w:tc>
          <w:tcPr>
            <w:tcW w:w="1714" w:type="dxa"/>
            <w:tcBorders>
              <w:top w:val="single" w:color="auto" w:sz="4" w:space="0"/>
              <w:left w:val="single" w:color="auto" w:sz="4" w:space="0"/>
              <w:bottom w:val="single" w:color="auto" w:sz="4" w:space="0"/>
              <w:right w:val="single" w:color="auto" w:sz="4" w:space="0"/>
            </w:tcBorders>
            <w:vAlign w:val="center"/>
          </w:tcPr>
          <w:p w14:paraId="4241F95D">
            <w:pPr>
              <w:pStyle w:val="49"/>
              <w:jc w:val="center"/>
              <w:rPr>
                <w:color w:val="auto"/>
                <w:sz w:val="21"/>
                <w:szCs w:val="21"/>
                <w:highlight w:val="none"/>
              </w:rPr>
            </w:pPr>
          </w:p>
        </w:tc>
      </w:tr>
      <w:tr w14:paraId="575774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76" w:type="dxa"/>
            <w:tcBorders>
              <w:top w:val="single" w:color="auto" w:sz="4" w:space="0"/>
              <w:left w:val="single" w:color="auto" w:sz="4" w:space="0"/>
              <w:bottom w:val="single" w:color="auto" w:sz="4" w:space="0"/>
              <w:right w:val="single" w:color="auto" w:sz="4" w:space="0"/>
            </w:tcBorders>
            <w:vAlign w:val="center"/>
          </w:tcPr>
          <w:p w14:paraId="0FF9C542">
            <w:pPr>
              <w:pStyle w:val="49"/>
              <w:numPr>
                <w:ilvl w:val="0"/>
                <w:numId w:val="7"/>
              </w:numPr>
              <w:jc w:val="center"/>
              <w:rPr>
                <w:color w:val="auto"/>
                <w:sz w:val="21"/>
                <w:szCs w:val="21"/>
                <w:highlight w:val="none"/>
              </w:rPr>
            </w:pPr>
          </w:p>
        </w:tc>
        <w:tc>
          <w:tcPr>
            <w:tcW w:w="1140" w:type="dxa"/>
            <w:tcBorders>
              <w:top w:val="single" w:color="auto" w:sz="4" w:space="0"/>
              <w:left w:val="single" w:color="auto" w:sz="4" w:space="0"/>
              <w:bottom w:val="single" w:color="auto" w:sz="4" w:space="0"/>
              <w:right w:val="single" w:color="auto" w:sz="4" w:space="0"/>
            </w:tcBorders>
            <w:vAlign w:val="center"/>
          </w:tcPr>
          <w:p w14:paraId="256190D9">
            <w:pPr>
              <w:pStyle w:val="49"/>
              <w:jc w:val="center"/>
              <w:rPr>
                <w:color w:val="auto"/>
                <w:sz w:val="21"/>
                <w:szCs w:val="21"/>
                <w:highlight w:val="none"/>
              </w:rPr>
            </w:pPr>
            <w:r>
              <w:rPr>
                <w:color w:val="auto"/>
                <w:sz w:val="21"/>
                <w:szCs w:val="21"/>
                <w:highlight w:val="none"/>
              </w:rPr>
              <w:t>……</w:t>
            </w:r>
          </w:p>
        </w:tc>
        <w:tc>
          <w:tcPr>
            <w:tcW w:w="1272" w:type="dxa"/>
            <w:tcBorders>
              <w:top w:val="single" w:color="auto" w:sz="4" w:space="0"/>
              <w:left w:val="single" w:color="auto" w:sz="4" w:space="0"/>
              <w:bottom w:val="single" w:color="auto" w:sz="4" w:space="0"/>
              <w:right w:val="single" w:color="auto" w:sz="4" w:space="0"/>
            </w:tcBorders>
            <w:vAlign w:val="center"/>
          </w:tcPr>
          <w:p w14:paraId="329185C8">
            <w:pPr>
              <w:pStyle w:val="49"/>
              <w:jc w:val="center"/>
              <w:rPr>
                <w:color w:val="auto"/>
                <w:sz w:val="21"/>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center"/>
          </w:tcPr>
          <w:p w14:paraId="7278FA62">
            <w:pPr>
              <w:pStyle w:val="49"/>
              <w:jc w:val="center"/>
              <w:rPr>
                <w:color w:val="auto"/>
                <w:sz w:val="21"/>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center"/>
          </w:tcPr>
          <w:p w14:paraId="6DC75679">
            <w:pPr>
              <w:pStyle w:val="49"/>
              <w:jc w:val="center"/>
              <w:rPr>
                <w:color w:val="auto"/>
                <w:sz w:val="21"/>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14:paraId="7EAC5B30">
            <w:pPr>
              <w:pStyle w:val="49"/>
              <w:jc w:val="center"/>
              <w:rPr>
                <w:color w:val="auto"/>
                <w:sz w:val="21"/>
                <w:szCs w:val="21"/>
                <w:highlight w:val="none"/>
              </w:rPr>
            </w:pPr>
          </w:p>
        </w:tc>
        <w:tc>
          <w:tcPr>
            <w:tcW w:w="1380" w:type="dxa"/>
            <w:tcBorders>
              <w:top w:val="single" w:color="auto" w:sz="4" w:space="0"/>
              <w:left w:val="single" w:color="auto" w:sz="4" w:space="0"/>
              <w:bottom w:val="single" w:color="auto" w:sz="4" w:space="0"/>
              <w:right w:val="single" w:color="auto" w:sz="4" w:space="0"/>
            </w:tcBorders>
            <w:vAlign w:val="center"/>
          </w:tcPr>
          <w:p w14:paraId="78F02ED0">
            <w:pPr>
              <w:pStyle w:val="49"/>
              <w:jc w:val="center"/>
              <w:rPr>
                <w:color w:val="auto"/>
                <w:sz w:val="21"/>
                <w:szCs w:val="21"/>
                <w:highlight w:val="none"/>
              </w:rPr>
            </w:pPr>
          </w:p>
        </w:tc>
        <w:tc>
          <w:tcPr>
            <w:tcW w:w="1714" w:type="dxa"/>
            <w:tcBorders>
              <w:top w:val="single" w:color="auto" w:sz="4" w:space="0"/>
              <w:left w:val="single" w:color="auto" w:sz="4" w:space="0"/>
              <w:bottom w:val="single" w:color="auto" w:sz="4" w:space="0"/>
              <w:right w:val="single" w:color="auto" w:sz="4" w:space="0"/>
            </w:tcBorders>
            <w:vAlign w:val="center"/>
          </w:tcPr>
          <w:p w14:paraId="61916AC5">
            <w:pPr>
              <w:pStyle w:val="49"/>
              <w:jc w:val="center"/>
              <w:rPr>
                <w:color w:val="auto"/>
                <w:sz w:val="21"/>
                <w:szCs w:val="21"/>
                <w:highlight w:val="none"/>
              </w:rPr>
            </w:pPr>
          </w:p>
        </w:tc>
      </w:tr>
    </w:tbl>
    <w:p w14:paraId="04CE5F65">
      <w:pPr>
        <w:spacing w:line="300" w:lineRule="auto"/>
        <w:rPr>
          <w:rFonts w:ascii="Arial" w:hAnsi="Arial" w:cs="Arial"/>
          <w:color w:val="auto"/>
          <w:szCs w:val="21"/>
          <w:highlight w:val="none"/>
        </w:rPr>
      </w:pPr>
    </w:p>
    <w:p w14:paraId="4FDC8CEF">
      <w:pPr>
        <w:rPr>
          <w:rFonts w:ascii="Arial" w:hAnsi="Arial" w:cs="Arial"/>
          <w:b/>
          <w:color w:val="auto"/>
          <w:sz w:val="21"/>
          <w:szCs w:val="21"/>
          <w:highlight w:val="none"/>
        </w:rPr>
      </w:pPr>
      <w:r>
        <w:rPr>
          <w:rFonts w:hint="eastAsia" w:ascii="Arial" w:hAnsi="Arial" w:cs="Arial"/>
          <w:b/>
          <w:color w:val="auto"/>
          <w:sz w:val="21"/>
          <w:szCs w:val="21"/>
          <w:highlight w:val="none"/>
        </w:rPr>
        <w:t>特别说明：投标人应将所投产品中节能、环保产品分别列入上表中，并按本招标文件</w:t>
      </w:r>
      <w:r>
        <w:rPr>
          <w:rFonts w:hint="eastAsia" w:ascii="Arial" w:hAnsi="Arial" w:cs="Arial"/>
          <w:b/>
          <w:color w:val="auto"/>
          <w:sz w:val="21"/>
          <w:szCs w:val="21"/>
          <w:highlight w:val="none"/>
          <w:lang w:val="en-US" w:eastAsia="zh-CN"/>
        </w:rPr>
        <w:t>“</w:t>
      </w:r>
      <w:r>
        <w:rPr>
          <w:rFonts w:hint="eastAsia" w:ascii="Arial" w:hAnsi="Arial" w:cs="Arial"/>
          <w:b/>
          <w:color w:val="auto"/>
          <w:sz w:val="21"/>
          <w:szCs w:val="21"/>
          <w:highlight w:val="none"/>
        </w:rPr>
        <w:t>第二章</w:t>
      </w:r>
      <w:r>
        <w:rPr>
          <w:rFonts w:hint="eastAsia" w:ascii="Arial" w:hAnsi="Arial" w:cs="Arial"/>
          <w:b/>
          <w:color w:val="auto"/>
          <w:sz w:val="21"/>
          <w:szCs w:val="21"/>
          <w:highlight w:val="none"/>
          <w:lang w:val="en-US" w:eastAsia="zh-CN"/>
        </w:rPr>
        <w:t>投标人须知”</w:t>
      </w:r>
      <w:r>
        <w:rPr>
          <w:rFonts w:hint="eastAsia" w:ascii="Arial" w:hAnsi="Arial" w:cs="Arial"/>
          <w:b/>
          <w:color w:val="auto"/>
          <w:sz w:val="21"/>
          <w:szCs w:val="21"/>
          <w:highlight w:val="none"/>
        </w:rPr>
        <w:t>提供相关证明材料，未填写本表或未提供有效认证证书</w:t>
      </w:r>
      <w:r>
        <w:rPr>
          <w:rFonts w:ascii="Arial" w:hAnsi="Arial" w:cs="Arial"/>
          <w:b/>
          <w:color w:val="auto"/>
          <w:sz w:val="21"/>
          <w:szCs w:val="21"/>
          <w:highlight w:val="none"/>
        </w:rPr>
        <w:t>的</w:t>
      </w:r>
      <w:r>
        <w:rPr>
          <w:rFonts w:hint="eastAsia" w:ascii="Arial" w:hAnsi="Arial" w:cs="Arial"/>
          <w:b/>
          <w:color w:val="auto"/>
          <w:sz w:val="21"/>
          <w:szCs w:val="21"/>
          <w:highlight w:val="none"/>
        </w:rPr>
        <w:t>不给予</w:t>
      </w:r>
      <w:r>
        <w:rPr>
          <w:rFonts w:hint="eastAsia" w:ascii="Arial" w:hAnsi="Arial" w:cs="Arial"/>
          <w:b/>
          <w:color w:val="auto"/>
          <w:sz w:val="21"/>
          <w:szCs w:val="21"/>
          <w:highlight w:val="none"/>
          <w:lang w:val="en-US" w:eastAsia="zh-CN"/>
        </w:rPr>
        <w:t>评审优惠</w:t>
      </w:r>
      <w:r>
        <w:rPr>
          <w:rFonts w:hint="eastAsia" w:ascii="Arial" w:hAnsi="Arial" w:cs="Arial"/>
          <w:b/>
          <w:color w:val="auto"/>
          <w:sz w:val="21"/>
          <w:szCs w:val="21"/>
          <w:highlight w:val="none"/>
        </w:rPr>
        <w:t>。</w:t>
      </w:r>
    </w:p>
    <w:p w14:paraId="4AE49928">
      <w:pPr>
        <w:spacing w:line="300" w:lineRule="auto"/>
        <w:rPr>
          <w:rFonts w:ascii="Arial" w:hAnsi="Arial" w:cs="Arial"/>
          <w:color w:val="auto"/>
          <w:szCs w:val="21"/>
          <w:highlight w:val="none"/>
        </w:rPr>
      </w:pPr>
    </w:p>
    <w:p w14:paraId="054561CD">
      <w:pPr>
        <w:spacing w:line="300" w:lineRule="auto"/>
        <w:rPr>
          <w:rFonts w:ascii="Arial" w:hAnsi="Arial" w:cs="Arial"/>
          <w:color w:val="auto"/>
          <w:szCs w:val="21"/>
          <w:highlight w:val="none"/>
        </w:rPr>
      </w:pPr>
      <w:r>
        <w:rPr>
          <w:rFonts w:ascii="Arial" w:hAnsi="Arial" w:cs="Arial"/>
          <w:color w:val="auto"/>
          <w:szCs w:val="21"/>
          <w:highlight w:val="none"/>
        </w:rPr>
        <w:t>投标人名称</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ascii="宋体" w:hAnsi="宋体" w:cs="宋体"/>
          <w:color w:val="auto"/>
          <w:kern w:val="0"/>
          <w:sz w:val="24"/>
          <w:highlight w:val="none"/>
          <w:lang w:val="zh-CN"/>
        </w:rPr>
        <w:t>)</w:t>
      </w:r>
      <w:r>
        <w:rPr>
          <w:rFonts w:ascii="Arial" w:hAnsi="Arial" w:cs="Arial"/>
          <w:color w:val="auto"/>
          <w:szCs w:val="21"/>
          <w:highlight w:val="none"/>
        </w:rPr>
        <w:t>：</w:t>
      </w:r>
    </w:p>
    <w:p w14:paraId="31A4D567">
      <w:pPr>
        <w:rPr>
          <w:rFonts w:ascii="Arial" w:hAnsi="Arial" w:cs="Arial"/>
          <w:color w:val="auto"/>
          <w:szCs w:val="21"/>
          <w:highlight w:val="none"/>
        </w:rPr>
      </w:pPr>
      <w:r>
        <w:rPr>
          <w:rFonts w:ascii="Arial" w:hAnsi="Arial" w:cs="Arial"/>
          <w:color w:val="auto"/>
          <w:szCs w:val="21"/>
          <w:highlight w:val="none"/>
        </w:rPr>
        <w:t>日期：</w:t>
      </w:r>
    </w:p>
    <w:p w14:paraId="0A67E61C">
      <w:pPr>
        <w:rPr>
          <w:rFonts w:ascii="Arial" w:hAnsi="Arial" w:cs="Arial"/>
          <w:color w:val="auto"/>
          <w:szCs w:val="21"/>
          <w:highlight w:val="none"/>
        </w:rPr>
      </w:pPr>
    </w:p>
    <w:p w14:paraId="70617D68">
      <w:pPr>
        <w:rPr>
          <w:rFonts w:ascii="Arial" w:hAnsi="Arial" w:cs="Arial"/>
          <w:color w:val="auto"/>
          <w:szCs w:val="21"/>
          <w:highlight w:val="none"/>
        </w:rPr>
      </w:pPr>
      <w:r>
        <w:rPr>
          <w:rFonts w:ascii="Arial" w:hAnsi="Arial" w:cs="Arial"/>
          <w:color w:val="auto"/>
          <w:szCs w:val="21"/>
          <w:highlight w:val="none"/>
        </w:rPr>
        <w:br w:type="page"/>
      </w:r>
    </w:p>
    <w:p w14:paraId="2A9F81A4">
      <w:pPr>
        <w:pStyle w:val="4"/>
        <w:bidi w:val="0"/>
        <w:rPr>
          <w:rFonts w:hint="eastAsia"/>
          <w:color w:val="auto"/>
          <w:sz w:val="24"/>
          <w:szCs w:val="24"/>
          <w:highlight w:val="none"/>
          <w:lang w:val="en-US" w:eastAsia="zh-CN"/>
        </w:rPr>
      </w:pPr>
      <w:bookmarkStart w:id="632" w:name="_Toc163492939"/>
      <w:bookmarkStart w:id="633" w:name="_Toc20772"/>
      <w:r>
        <w:rPr>
          <w:rFonts w:hint="eastAsia"/>
          <w:color w:val="auto"/>
          <w:sz w:val="24"/>
          <w:szCs w:val="24"/>
          <w:highlight w:val="none"/>
          <w:lang w:val="en-US" w:eastAsia="zh-CN"/>
        </w:rPr>
        <w:t>（二）中小企业声明函【如专门面向中小企业采购的项目，此函可放于此处，否则，应后置于“其他资格证明文件”】</w:t>
      </w:r>
      <w:bookmarkEnd w:id="632"/>
      <w:bookmarkEnd w:id="633"/>
    </w:p>
    <w:p w14:paraId="16CFCD4A">
      <w:pPr>
        <w:pStyle w:val="39"/>
        <w:keepNext w:val="0"/>
        <w:keepLines w:val="0"/>
        <w:pageBreakBefore w:val="0"/>
        <w:widowControl w:val="0"/>
        <w:numPr>
          <w:ilvl w:val="0"/>
          <w:numId w:val="0"/>
        </w:numPr>
        <w:kinsoku/>
        <w:wordWrap/>
        <w:overflowPunct/>
        <w:topLinePunct w:val="0"/>
        <w:autoSpaceDE/>
        <w:autoSpaceDN/>
        <w:bidi w:val="0"/>
        <w:adjustRightInd/>
        <w:snapToGrid/>
        <w:spacing w:line="300" w:lineRule="exact"/>
        <w:ind w:left="420" w:leftChars="0" w:hanging="420" w:firstLineChars="0"/>
        <w:jc w:val="center"/>
        <w:textAlignment w:val="auto"/>
        <w:rPr>
          <w:rFonts w:hint="eastAsia"/>
          <w:b/>
          <w:bCs/>
          <w:color w:val="auto"/>
          <w:sz w:val="32"/>
          <w:szCs w:val="32"/>
          <w:highlight w:val="none"/>
        </w:rPr>
      </w:pPr>
    </w:p>
    <w:p w14:paraId="0D7CD940">
      <w:pPr>
        <w:pStyle w:val="39"/>
        <w:numPr>
          <w:ilvl w:val="0"/>
          <w:numId w:val="0"/>
        </w:numPr>
        <w:ind w:left="420" w:leftChars="0" w:hanging="420" w:firstLineChars="0"/>
        <w:jc w:val="center"/>
        <w:rPr>
          <w:b/>
          <w:bCs/>
          <w:color w:val="auto"/>
          <w:sz w:val="32"/>
          <w:szCs w:val="32"/>
          <w:highlight w:val="none"/>
        </w:rPr>
      </w:pPr>
      <w:r>
        <w:rPr>
          <w:rFonts w:hint="eastAsia"/>
          <w:b/>
          <w:bCs/>
          <w:color w:val="auto"/>
          <w:sz w:val="32"/>
          <w:szCs w:val="32"/>
          <w:highlight w:val="none"/>
        </w:rPr>
        <w:t>中小企业声明函</w:t>
      </w:r>
    </w:p>
    <w:p w14:paraId="5688740A">
      <w:pPr>
        <w:ind w:firstLine="504" w:firstLineChars="200"/>
        <w:rPr>
          <w:rFonts w:hint="eastAsia" w:cs="宋体"/>
          <w:color w:val="auto"/>
          <w:spacing w:val="6"/>
          <w:szCs w:val="24"/>
          <w:highlight w:val="none"/>
        </w:rPr>
      </w:pPr>
      <w:r>
        <w:rPr>
          <w:rFonts w:hint="eastAsia" w:cs="宋体"/>
          <w:color w:val="auto"/>
          <w:spacing w:val="6"/>
          <w:szCs w:val="24"/>
          <w:highlight w:val="none"/>
        </w:rPr>
        <w:t>本公司（联合体）郑重声明，根据《政府采购促进中小企业发展管理办法》（财库﹝2020﹞46 号）的规定，本公司（联合体）参加</w:t>
      </w:r>
      <w:r>
        <w:rPr>
          <w:rFonts w:hint="eastAsia" w:cs="宋体"/>
          <w:color w:val="auto"/>
          <w:spacing w:val="6"/>
          <w:szCs w:val="24"/>
          <w:highlight w:val="none"/>
          <w:u w:val="single"/>
        </w:rPr>
        <w:t xml:space="preserve"> （单位名称）</w:t>
      </w:r>
      <w:r>
        <w:rPr>
          <w:rFonts w:hint="eastAsia" w:cs="宋体"/>
          <w:color w:val="auto"/>
          <w:spacing w:val="6"/>
          <w:szCs w:val="24"/>
          <w:highlight w:val="none"/>
        </w:rPr>
        <w:t xml:space="preserve"> 的</w:t>
      </w:r>
      <w:r>
        <w:rPr>
          <w:rFonts w:hint="eastAsia" w:cs="宋体"/>
          <w:color w:val="auto"/>
          <w:spacing w:val="6"/>
          <w:szCs w:val="24"/>
          <w:highlight w:val="none"/>
          <w:u w:val="single"/>
        </w:rPr>
        <w:t xml:space="preserve"> （项目名称） </w:t>
      </w:r>
      <w:r>
        <w:rPr>
          <w:rFonts w:hint="eastAsia" w:cs="宋体"/>
          <w:color w:val="auto"/>
          <w:spacing w:val="6"/>
          <w:szCs w:val="24"/>
          <w:highlight w:val="none"/>
        </w:rPr>
        <w:t>采购活动，服务全部由符合政策要求的中小企业承接。相关企业（含联合体中的中小企业、签订分包意向协议的中小企业）的具体情况如下：</w:t>
      </w:r>
    </w:p>
    <w:p w14:paraId="57A088DF">
      <w:pPr>
        <w:ind w:firstLine="504" w:firstLineChars="200"/>
        <w:rPr>
          <w:rFonts w:hint="eastAsia" w:cs="宋体"/>
          <w:color w:val="auto"/>
          <w:spacing w:val="6"/>
          <w:szCs w:val="24"/>
          <w:highlight w:val="none"/>
        </w:rPr>
      </w:pPr>
      <w:r>
        <w:rPr>
          <w:rFonts w:hint="eastAsia" w:cs="宋体"/>
          <w:color w:val="auto"/>
          <w:spacing w:val="6"/>
          <w:szCs w:val="24"/>
          <w:highlight w:val="none"/>
        </w:rPr>
        <w:t xml:space="preserve">1. </w:t>
      </w:r>
      <w:r>
        <w:rPr>
          <w:rFonts w:hint="eastAsia" w:cs="宋体"/>
          <w:color w:val="auto"/>
          <w:spacing w:val="6"/>
          <w:szCs w:val="24"/>
          <w:highlight w:val="none"/>
          <w:u w:val="single"/>
        </w:rPr>
        <w:t xml:space="preserve">（标的名称） </w:t>
      </w:r>
      <w:r>
        <w:rPr>
          <w:rFonts w:hint="eastAsia" w:cs="宋体"/>
          <w:color w:val="auto"/>
          <w:spacing w:val="6"/>
          <w:szCs w:val="24"/>
          <w:highlight w:val="none"/>
        </w:rPr>
        <w:t>，属于</w:t>
      </w:r>
      <w:r>
        <w:rPr>
          <w:rFonts w:hint="eastAsia" w:cs="宋体"/>
          <w:color w:val="auto"/>
          <w:spacing w:val="6"/>
          <w:szCs w:val="24"/>
          <w:highlight w:val="none"/>
          <w:u w:val="single"/>
        </w:rPr>
        <w:t xml:space="preserve"> （采购文件中明确的所属行业） </w:t>
      </w:r>
      <w:r>
        <w:rPr>
          <w:rFonts w:hint="eastAsia" w:cs="宋体"/>
          <w:color w:val="auto"/>
          <w:spacing w:val="6"/>
          <w:szCs w:val="24"/>
          <w:highlight w:val="none"/>
        </w:rPr>
        <w:t>；承接企业为</w:t>
      </w:r>
      <w:r>
        <w:rPr>
          <w:rFonts w:hint="eastAsia" w:cs="宋体"/>
          <w:color w:val="auto"/>
          <w:spacing w:val="6"/>
          <w:szCs w:val="24"/>
          <w:highlight w:val="none"/>
          <w:u w:val="single"/>
        </w:rPr>
        <w:t xml:space="preserve"> （企业名称）  </w:t>
      </w:r>
      <w:r>
        <w:rPr>
          <w:rFonts w:hint="eastAsia" w:cs="宋体"/>
          <w:color w:val="auto"/>
          <w:spacing w:val="6"/>
          <w:szCs w:val="24"/>
          <w:highlight w:val="none"/>
        </w:rPr>
        <w:t>，从业人员</w:t>
      </w:r>
      <w:r>
        <w:rPr>
          <w:rFonts w:hint="eastAsia" w:cs="宋体"/>
          <w:color w:val="auto"/>
          <w:spacing w:val="6"/>
          <w:szCs w:val="24"/>
          <w:highlight w:val="none"/>
          <w:u w:val="single"/>
          <w:lang w:val="en-US" w:eastAsia="zh-CN"/>
        </w:rPr>
        <w:t xml:space="preserve">     </w:t>
      </w:r>
      <w:r>
        <w:rPr>
          <w:rFonts w:hint="eastAsia" w:cs="宋体"/>
          <w:color w:val="auto"/>
          <w:spacing w:val="6"/>
          <w:szCs w:val="24"/>
          <w:highlight w:val="none"/>
        </w:rPr>
        <w:t>人，营业收入为</w:t>
      </w:r>
      <w:r>
        <w:rPr>
          <w:rFonts w:hint="eastAsia" w:cs="宋体"/>
          <w:color w:val="auto"/>
          <w:spacing w:val="6"/>
          <w:szCs w:val="24"/>
          <w:highlight w:val="none"/>
          <w:u w:val="single"/>
          <w:lang w:val="en-US" w:eastAsia="zh-CN"/>
        </w:rPr>
        <w:t xml:space="preserve">       </w:t>
      </w:r>
      <w:r>
        <w:rPr>
          <w:rFonts w:hint="eastAsia" w:cs="宋体"/>
          <w:color w:val="auto"/>
          <w:spacing w:val="6"/>
          <w:szCs w:val="24"/>
          <w:highlight w:val="none"/>
        </w:rPr>
        <w:t>万元，资产总额为</w:t>
      </w:r>
      <w:r>
        <w:rPr>
          <w:rFonts w:hint="eastAsia" w:cs="宋体"/>
          <w:color w:val="auto"/>
          <w:spacing w:val="6"/>
          <w:szCs w:val="24"/>
          <w:highlight w:val="none"/>
          <w:u w:val="single"/>
          <w:lang w:val="en-US" w:eastAsia="zh-CN"/>
        </w:rPr>
        <w:t xml:space="preserve">         </w:t>
      </w:r>
      <w:r>
        <w:rPr>
          <w:rFonts w:hint="eastAsia" w:cs="宋体"/>
          <w:color w:val="auto"/>
          <w:spacing w:val="6"/>
          <w:szCs w:val="24"/>
          <w:highlight w:val="none"/>
        </w:rPr>
        <w:t>万元，属于</w:t>
      </w:r>
      <w:r>
        <w:rPr>
          <w:rFonts w:hint="eastAsia" w:cs="宋体"/>
          <w:color w:val="auto"/>
          <w:spacing w:val="6"/>
          <w:szCs w:val="24"/>
          <w:highlight w:val="none"/>
          <w:u w:val="single"/>
        </w:rPr>
        <w:t>（中型企业、小型企业、微型企业）</w:t>
      </w:r>
      <w:r>
        <w:rPr>
          <w:rFonts w:hint="eastAsia" w:cs="宋体"/>
          <w:color w:val="auto"/>
          <w:spacing w:val="6"/>
          <w:szCs w:val="24"/>
          <w:highlight w:val="none"/>
        </w:rPr>
        <w:t>；</w:t>
      </w:r>
    </w:p>
    <w:p w14:paraId="222AFB4D">
      <w:pPr>
        <w:ind w:firstLine="504" w:firstLineChars="200"/>
        <w:rPr>
          <w:rFonts w:hint="eastAsia" w:cs="宋体"/>
          <w:color w:val="auto"/>
          <w:spacing w:val="6"/>
          <w:szCs w:val="24"/>
          <w:highlight w:val="none"/>
        </w:rPr>
      </w:pPr>
      <w:r>
        <w:rPr>
          <w:rFonts w:hint="eastAsia" w:cs="宋体"/>
          <w:color w:val="auto"/>
          <w:spacing w:val="6"/>
          <w:szCs w:val="24"/>
          <w:highlight w:val="none"/>
        </w:rPr>
        <w:t>2.</w:t>
      </w:r>
      <w:r>
        <w:rPr>
          <w:rFonts w:hint="eastAsia" w:cs="宋体"/>
          <w:color w:val="auto"/>
          <w:spacing w:val="6"/>
          <w:szCs w:val="24"/>
          <w:highlight w:val="none"/>
          <w:u w:val="single"/>
        </w:rPr>
        <w:t xml:space="preserve"> （标的名称）</w:t>
      </w:r>
      <w:r>
        <w:rPr>
          <w:rFonts w:hint="eastAsia" w:cs="宋体"/>
          <w:color w:val="auto"/>
          <w:spacing w:val="6"/>
          <w:szCs w:val="24"/>
          <w:highlight w:val="none"/>
        </w:rPr>
        <w:t xml:space="preserve"> ，属于</w:t>
      </w:r>
      <w:r>
        <w:rPr>
          <w:rFonts w:hint="eastAsia" w:cs="宋体"/>
          <w:color w:val="auto"/>
          <w:spacing w:val="6"/>
          <w:szCs w:val="24"/>
          <w:highlight w:val="none"/>
          <w:u w:val="single"/>
        </w:rPr>
        <w:t xml:space="preserve"> （采购文件中明确的所属行业） </w:t>
      </w:r>
      <w:r>
        <w:rPr>
          <w:rFonts w:hint="eastAsia" w:cs="宋体"/>
          <w:color w:val="auto"/>
          <w:spacing w:val="6"/>
          <w:szCs w:val="24"/>
          <w:highlight w:val="none"/>
        </w:rPr>
        <w:t>；承接企业为</w:t>
      </w:r>
      <w:r>
        <w:rPr>
          <w:rFonts w:hint="eastAsia" w:cs="宋体"/>
          <w:color w:val="auto"/>
          <w:spacing w:val="6"/>
          <w:szCs w:val="24"/>
          <w:highlight w:val="none"/>
          <w:u w:val="single"/>
        </w:rPr>
        <w:t xml:space="preserve"> （企业名称）  </w:t>
      </w:r>
      <w:r>
        <w:rPr>
          <w:rFonts w:hint="eastAsia" w:cs="宋体"/>
          <w:color w:val="auto"/>
          <w:spacing w:val="6"/>
          <w:szCs w:val="24"/>
          <w:highlight w:val="none"/>
        </w:rPr>
        <w:t>，从业人员</w:t>
      </w:r>
      <w:r>
        <w:rPr>
          <w:rFonts w:hint="eastAsia" w:cs="宋体"/>
          <w:color w:val="auto"/>
          <w:spacing w:val="6"/>
          <w:szCs w:val="24"/>
          <w:highlight w:val="none"/>
          <w:u w:val="single"/>
          <w:lang w:val="en-US" w:eastAsia="zh-CN"/>
        </w:rPr>
        <w:t xml:space="preserve">     </w:t>
      </w:r>
      <w:r>
        <w:rPr>
          <w:rFonts w:hint="eastAsia" w:cs="宋体"/>
          <w:color w:val="auto"/>
          <w:spacing w:val="6"/>
          <w:szCs w:val="24"/>
          <w:highlight w:val="none"/>
        </w:rPr>
        <w:t>人，营业收入为</w:t>
      </w:r>
      <w:r>
        <w:rPr>
          <w:rFonts w:hint="eastAsia" w:cs="宋体"/>
          <w:color w:val="auto"/>
          <w:spacing w:val="6"/>
          <w:szCs w:val="24"/>
          <w:highlight w:val="none"/>
          <w:u w:val="single"/>
          <w:lang w:val="en-US" w:eastAsia="zh-CN"/>
        </w:rPr>
        <w:t xml:space="preserve">       </w:t>
      </w:r>
      <w:r>
        <w:rPr>
          <w:rFonts w:hint="eastAsia" w:cs="宋体"/>
          <w:color w:val="auto"/>
          <w:spacing w:val="6"/>
          <w:szCs w:val="24"/>
          <w:highlight w:val="none"/>
        </w:rPr>
        <w:t>万元，资产总额为</w:t>
      </w:r>
      <w:r>
        <w:rPr>
          <w:rFonts w:hint="eastAsia" w:cs="宋体"/>
          <w:color w:val="auto"/>
          <w:spacing w:val="6"/>
          <w:szCs w:val="24"/>
          <w:highlight w:val="none"/>
          <w:u w:val="single"/>
          <w:lang w:val="en-US" w:eastAsia="zh-CN"/>
        </w:rPr>
        <w:t xml:space="preserve">         </w:t>
      </w:r>
      <w:r>
        <w:rPr>
          <w:rFonts w:hint="eastAsia" w:cs="宋体"/>
          <w:color w:val="auto"/>
          <w:spacing w:val="6"/>
          <w:szCs w:val="24"/>
          <w:highlight w:val="none"/>
        </w:rPr>
        <w:t>万元，属于</w:t>
      </w:r>
      <w:r>
        <w:rPr>
          <w:rFonts w:hint="eastAsia" w:cs="宋体"/>
          <w:color w:val="auto"/>
          <w:spacing w:val="6"/>
          <w:szCs w:val="24"/>
          <w:highlight w:val="none"/>
          <w:u w:val="single"/>
        </w:rPr>
        <w:t>（中型企业、小型企业、微型企业）</w:t>
      </w:r>
      <w:r>
        <w:rPr>
          <w:rFonts w:hint="eastAsia" w:cs="宋体"/>
          <w:color w:val="auto"/>
          <w:spacing w:val="6"/>
          <w:szCs w:val="24"/>
          <w:highlight w:val="none"/>
        </w:rPr>
        <w:t>；</w:t>
      </w:r>
    </w:p>
    <w:p w14:paraId="39DCDC52">
      <w:pPr>
        <w:ind w:firstLine="504" w:firstLineChars="200"/>
        <w:rPr>
          <w:rFonts w:hint="eastAsia" w:cs="宋体"/>
          <w:color w:val="auto"/>
          <w:spacing w:val="6"/>
          <w:szCs w:val="24"/>
          <w:highlight w:val="none"/>
        </w:rPr>
      </w:pPr>
      <w:r>
        <w:rPr>
          <w:rFonts w:hint="eastAsia" w:cs="宋体"/>
          <w:color w:val="auto"/>
          <w:spacing w:val="6"/>
          <w:szCs w:val="24"/>
          <w:highlight w:val="none"/>
        </w:rPr>
        <w:t>……</w:t>
      </w:r>
    </w:p>
    <w:p w14:paraId="708F1D10">
      <w:pPr>
        <w:ind w:firstLine="504" w:firstLineChars="200"/>
        <w:rPr>
          <w:rFonts w:hint="eastAsia" w:cs="宋体"/>
          <w:color w:val="auto"/>
          <w:spacing w:val="6"/>
          <w:szCs w:val="24"/>
          <w:highlight w:val="none"/>
        </w:rPr>
      </w:pPr>
      <w:r>
        <w:rPr>
          <w:rFonts w:hint="eastAsia" w:cs="宋体"/>
          <w:color w:val="auto"/>
          <w:spacing w:val="6"/>
          <w:szCs w:val="24"/>
          <w:highlight w:val="none"/>
        </w:rPr>
        <w:t>以上企业，不属于大企业的分支机构，不存在控股股东为大企业的情形，也不存在与大企业的负责人为同一人的情形。</w:t>
      </w:r>
    </w:p>
    <w:p w14:paraId="02D6F1D3">
      <w:pPr>
        <w:ind w:firstLine="504" w:firstLineChars="200"/>
        <w:rPr>
          <w:rFonts w:hint="eastAsia" w:cs="宋体"/>
          <w:color w:val="auto"/>
          <w:spacing w:val="6"/>
          <w:szCs w:val="24"/>
          <w:highlight w:val="none"/>
        </w:rPr>
      </w:pPr>
      <w:r>
        <w:rPr>
          <w:rFonts w:hint="eastAsia" w:cs="宋体"/>
          <w:color w:val="auto"/>
          <w:spacing w:val="6"/>
          <w:szCs w:val="24"/>
          <w:highlight w:val="none"/>
        </w:rPr>
        <w:t>本企业对上述声明内容的真实性负责。如有虚假，将依法承担相应责任。</w:t>
      </w:r>
    </w:p>
    <w:p w14:paraId="1ADB2C8D">
      <w:pPr>
        <w:ind w:firstLine="504" w:firstLineChars="200"/>
        <w:rPr>
          <w:rFonts w:cs="宋体"/>
          <w:color w:val="auto"/>
          <w:spacing w:val="6"/>
          <w:szCs w:val="24"/>
          <w:highlight w:val="none"/>
        </w:rPr>
      </w:pPr>
    </w:p>
    <w:p w14:paraId="5A6D844B">
      <w:pPr>
        <w:ind w:right="1008" w:firstLine="4788" w:firstLineChars="1900"/>
        <w:rPr>
          <w:rFonts w:cs="宋体"/>
          <w:color w:val="auto"/>
          <w:spacing w:val="6"/>
          <w:szCs w:val="24"/>
          <w:highlight w:val="none"/>
        </w:rPr>
      </w:pPr>
    </w:p>
    <w:p w14:paraId="165AEE2D">
      <w:pPr>
        <w:ind w:right="1008" w:firstLine="4284" w:firstLineChars="1700"/>
        <w:rPr>
          <w:rFonts w:cs="宋体"/>
          <w:color w:val="auto"/>
          <w:spacing w:val="6"/>
          <w:szCs w:val="24"/>
          <w:highlight w:val="none"/>
        </w:rPr>
      </w:pPr>
      <w:r>
        <w:rPr>
          <w:rFonts w:hint="eastAsia" w:cs="宋体"/>
          <w:color w:val="auto"/>
          <w:spacing w:val="6"/>
          <w:szCs w:val="24"/>
          <w:highlight w:val="none"/>
          <w:lang w:val="en-US" w:eastAsia="zh-CN"/>
        </w:rPr>
        <w:t>投标人</w:t>
      </w:r>
      <w:r>
        <w:rPr>
          <w:rFonts w:hint="eastAsia" w:cs="宋体"/>
          <w:color w:val="auto"/>
          <w:spacing w:val="6"/>
          <w:szCs w:val="24"/>
          <w:highlight w:val="none"/>
        </w:rPr>
        <w:t>名称</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ascii="宋体" w:hAnsi="宋体" w:cs="宋体"/>
          <w:color w:val="auto"/>
          <w:kern w:val="0"/>
          <w:sz w:val="24"/>
          <w:highlight w:val="none"/>
          <w:lang w:val="zh-CN"/>
        </w:rPr>
        <w:t>)</w:t>
      </w:r>
      <w:r>
        <w:rPr>
          <w:rFonts w:hint="eastAsia" w:cs="宋体"/>
          <w:color w:val="auto"/>
          <w:spacing w:val="6"/>
          <w:szCs w:val="24"/>
          <w:highlight w:val="none"/>
        </w:rPr>
        <w:t>：</w:t>
      </w:r>
    </w:p>
    <w:p w14:paraId="5183E380">
      <w:pPr>
        <w:ind w:right="1008" w:firstLine="4284" w:firstLineChars="1700"/>
        <w:rPr>
          <w:rFonts w:hint="default" w:eastAsia="宋体" w:cs="宋体"/>
          <w:color w:val="auto"/>
          <w:spacing w:val="6"/>
          <w:szCs w:val="24"/>
          <w:highlight w:val="none"/>
          <w:lang w:val="en-US" w:eastAsia="zh-CN"/>
        </w:rPr>
      </w:pPr>
      <w:r>
        <w:rPr>
          <w:rFonts w:hint="eastAsia" w:cs="宋体"/>
          <w:color w:val="auto"/>
          <w:spacing w:val="6"/>
          <w:szCs w:val="24"/>
          <w:highlight w:val="none"/>
        </w:rPr>
        <w:t>日期：</w:t>
      </w:r>
      <w:r>
        <w:rPr>
          <w:rFonts w:hint="eastAsia" w:cs="宋体"/>
          <w:color w:val="auto"/>
          <w:spacing w:val="6"/>
          <w:szCs w:val="24"/>
          <w:highlight w:val="none"/>
          <w:lang w:val="en-US" w:eastAsia="zh-CN"/>
        </w:rPr>
        <w:t xml:space="preserve">   年  月  日</w:t>
      </w:r>
    </w:p>
    <w:p w14:paraId="7BA8C73B">
      <w:pPr>
        <w:ind w:firstLine="504" w:firstLineChars="200"/>
        <w:rPr>
          <w:rFonts w:cs="宋体"/>
          <w:color w:val="auto"/>
          <w:spacing w:val="6"/>
          <w:szCs w:val="24"/>
          <w:highlight w:val="none"/>
        </w:rPr>
      </w:pPr>
    </w:p>
    <w:p w14:paraId="748B4DD4">
      <w:pPr>
        <w:rPr>
          <w:rFonts w:hint="default" w:cs="宋体"/>
          <w:b/>
          <w:bCs/>
          <w:color w:val="auto"/>
          <w:spacing w:val="6"/>
          <w:sz w:val="21"/>
          <w:szCs w:val="21"/>
          <w:highlight w:val="none"/>
          <w:lang w:val="en-US" w:eastAsia="zh-CN"/>
        </w:rPr>
      </w:pPr>
      <w:r>
        <w:rPr>
          <w:rFonts w:hint="eastAsia" w:cs="宋体"/>
          <w:b/>
          <w:bCs/>
          <w:color w:val="auto"/>
          <w:spacing w:val="6"/>
          <w:sz w:val="21"/>
          <w:szCs w:val="21"/>
          <w:highlight w:val="none"/>
        </w:rPr>
        <w:t>说明：</w:t>
      </w:r>
      <w:r>
        <w:rPr>
          <w:rFonts w:hint="eastAsia" w:cs="宋体"/>
          <w:b/>
          <w:bCs/>
          <w:color w:val="auto"/>
          <w:spacing w:val="6"/>
          <w:sz w:val="21"/>
          <w:szCs w:val="21"/>
          <w:highlight w:val="none"/>
          <w:lang w:val="en-US" w:eastAsia="zh-CN"/>
        </w:rPr>
        <w:t>1.重要提示：供应商应仔细阅读本函附件1关于“中小企业声明函”的填写要求及提交要求，否则，因填写或提交等产生的一切不利后果，须自行承担。</w:t>
      </w:r>
    </w:p>
    <w:p w14:paraId="126DF3AF">
      <w:pPr>
        <w:ind w:firstLine="668" w:firstLineChars="300"/>
        <w:rPr>
          <w:rFonts w:cs="宋体"/>
          <w:color w:val="auto"/>
          <w:spacing w:val="6"/>
          <w:sz w:val="21"/>
          <w:szCs w:val="21"/>
          <w:highlight w:val="none"/>
        </w:rPr>
      </w:pPr>
      <w:r>
        <w:rPr>
          <w:rFonts w:hint="eastAsia" w:cs="宋体"/>
          <w:b/>
          <w:bCs/>
          <w:color w:val="auto"/>
          <w:spacing w:val="6"/>
          <w:sz w:val="21"/>
          <w:szCs w:val="21"/>
          <w:highlight w:val="none"/>
          <w:lang w:val="en-US" w:eastAsia="zh-CN"/>
        </w:rPr>
        <w:t>2.</w:t>
      </w:r>
      <w:r>
        <w:rPr>
          <w:rFonts w:hint="eastAsia" w:cs="宋体"/>
          <w:color w:val="auto"/>
          <w:spacing w:val="6"/>
          <w:sz w:val="21"/>
          <w:szCs w:val="21"/>
          <w:highlight w:val="none"/>
        </w:rPr>
        <w:t>从业人员、营业收入、资产总额填报上一年度数据，无上一年度数据的新成立企业可不填报。</w:t>
      </w:r>
    </w:p>
    <w:p w14:paraId="13E0A521">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b/>
          <w:bCs/>
          <w:color w:val="auto"/>
          <w:highlight w:val="none"/>
          <w:lang w:val="en-US" w:eastAsia="zh-CN"/>
        </w:rPr>
      </w:pPr>
    </w:p>
    <w:p w14:paraId="7EA8D882">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b/>
          <w:bCs/>
          <w:color w:val="auto"/>
          <w:highlight w:val="none"/>
          <w:lang w:val="en-US" w:eastAsia="zh-CN"/>
        </w:rPr>
      </w:pPr>
    </w:p>
    <w:p w14:paraId="3EF0BAEB">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b/>
          <w:bCs/>
          <w:color w:val="auto"/>
          <w:highlight w:val="none"/>
          <w:lang w:val="en-US" w:eastAsia="zh-CN"/>
        </w:rPr>
      </w:pPr>
    </w:p>
    <w:p w14:paraId="5190A2DB">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b/>
          <w:bCs/>
          <w:color w:val="auto"/>
          <w:highlight w:val="none"/>
          <w:lang w:val="en-US" w:eastAsia="zh-CN"/>
        </w:rPr>
      </w:pPr>
      <w:r>
        <w:rPr>
          <w:rFonts w:hint="eastAsia"/>
          <w:b/>
          <w:bCs/>
          <w:color w:val="auto"/>
          <w:highlight w:val="none"/>
          <w:lang w:val="en-US" w:eastAsia="zh-CN"/>
        </w:rPr>
        <w:t xml:space="preserve">附件1 </w:t>
      </w:r>
    </w:p>
    <w:p w14:paraId="62EF0AA4">
      <w:pPr>
        <w:keepNext w:val="0"/>
        <w:keepLines w:val="0"/>
        <w:widowControl/>
        <w:suppressLineNumbers w:val="0"/>
        <w:ind w:firstLine="482" w:firstLineChars="200"/>
        <w:jc w:val="left"/>
        <w:rPr>
          <w:rStyle w:val="32"/>
          <w:rFonts w:hint="eastAsia" w:ascii="宋体" w:hAnsi="宋体" w:eastAsia="宋体" w:cs="宋体"/>
          <w:color w:val="auto"/>
          <w:kern w:val="0"/>
          <w:sz w:val="28"/>
          <w:szCs w:val="28"/>
          <w:highlight w:val="none"/>
          <w:lang w:val="en-US" w:eastAsia="zh-CN" w:bidi="ar"/>
        </w:rPr>
      </w:pPr>
      <w:r>
        <w:rPr>
          <w:rStyle w:val="32"/>
          <w:rFonts w:hint="eastAsia" w:ascii="宋体" w:hAnsi="宋体" w:eastAsia="宋体" w:cs="宋体"/>
          <w:color w:val="auto"/>
          <w:kern w:val="0"/>
          <w:sz w:val="24"/>
          <w:szCs w:val="24"/>
          <w:highlight w:val="none"/>
          <w:lang w:val="en-US" w:eastAsia="zh-CN" w:bidi="ar"/>
        </w:rPr>
        <w:t>（一）关于</w:t>
      </w:r>
      <w:r>
        <w:rPr>
          <w:rStyle w:val="32"/>
          <w:rFonts w:hint="eastAsia" w:cs="宋体"/>
          <w:color w:val="auto"/>
          <w:kern w:val="0"/>
          <w:sz w:val="24"/>
          <w:szCs w:val="24"/>
          <w:highlight w:val="none"/>
          <w:lang w:val="en-US" w:eastAsia="zh-CN" w:bidi="ar"/>
        </w:rPr>
        <w:t>“</w:t>
      </w:r>
      <w:r>
        <w:rPr>
          <w:rStyle w:val="32"/>
          <w:rFonts w:hint="eastAsia" w:ascii="宋体" w:hAnsi="宋体" w:eastAsia="宋体" w:cs="宋体"/>
          <w:color w:val="auto"/>
          <w:kern w:val="0"/>
          <w:sz w:val="24"/>
          <w:szCs w:val="24"/>
          <w:highlight w:val="none"/>
          <w:lang w:val="en-US" w:eastAsia="zh-CN" w:bidi="ar"/>
        </w:rPr>
        <w:t>中小企业声明函</w:t>
      </w:r>
      <w:r>
        <w:rPr>
          <w:rStyle w:val="32"/>
          <w:rFonts w:hint="eastAsia" w:cs="宋体"/>
          <w:color w:val="auto"/>
          <w:kern w:val="0"/>
          <w:sz w:val="24"/>
          <w:szCs w:val="24"/>
          <w:highlight w:val="none"/>
          <w:lang w:val="en-US" w:eastAsia="zh-CN" w:bidi="ar"/>
        </w:rPr>
        <w:t>”</w:t>
      </w:r>
      <w:r>
        <w:rPr>
          <w:rStyle w:val="32"/>
          <w:rFonts w:hint="eastAsia" w:ascii="宋体" w:hAnsi="宋体" w:eastAsia="宋体" w:cs="宋体"/>
          <w:color w:val="auto"/>
          <w:kern w:val="0"/>
          <w:sz w:val="24"/>
          <w:szCs w:val="24"/>
          <w:highlight w:val="none"/>
          <w:lang w:val="en-US" w:eastAsia="zh-CN" w:bidi="ar"/>
        </w:rPr>
        <w:t>的填写要求</w:t>
      </w:r>
    </w:p>
    <w:p w14:paraId="6BC4DFBE">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8"/>
          <w:highlight w:val="none"/>
          <w:lang w:val="en-US" w:eastAsia="zh-CN" w:bidi="ar"/>
        </w:rPr>
      </w:pPr>
      <w:r>
        <w:rPr>
          <w:rFonts w:hint="eastAsia" w:cs="宋体"/>
          <w:color w:val="auto"/>
          <w:kern w:val="0"/>
          <w:sz w:val="24"/>
          <w:szCs w:val="28"/>
          <w:highlight w:val="none"/>
          <w:lang w:val="en-US" w:eastAsia="zh-CN" w:bidi="ar"/>
        </w:rPr>
        <w:t>“</w:t>
      </w:r>
      <w:r>
        <w:rPr>
          <w:rFonts w:hint="eastAsia" w:ascii="宋体" w:hAnsi="宋体" w:eastAsia="宋体" w:cs="宋体"/>
          <w:color w:val="auto"/>
          <w:kern w:val="0"/>
          <w:sz w:val="24"/>
          <w:szCs w:val="28"/>
          <w:highlight w:val="none"/>
          <w:lang w:val="en-US" w:eastAsia="zh-CN" w:bidi="ar"/>
        </w:rPr>
        <w:t>中小企业声明函</w:t>
      </w:r>
      <w:r>
        <w:rPr>
          <w:rFonts w:hint="eastAsia" w:cs="宋体"/>
          <w:color w:val="auto"/>
          <w:kern w:val="0"/>
          <w:sz w:val="24"/>
          <w:szCs w:val="28"/>
          <w:highlight w:val="none"/>
          <w:lang w:val="en-US" w:eastAsia="zh-CN" w:bidi="ar"/>
        </w:rPr>
        <w:t>”</w:t>
      </w:r>
      <w:r>
        <w:rPr>
          <w:rFonts w:hint="eastAsia" w:ascii="宋体" w:hAnsi="宋体" w:eastAsia="宋体" w:cs="宋体"/>
          <w:color w:val="auto"/>
          <w:kern w:val="0"/>
          <w:sz w:val="24"/>
          <w:szCs w:val="28"/>
          <w:highlight w:val="none"/>
          <w:lang w:val="en-US" w:eastAsia="zh-CN" w:bidi="ar"/>
        </w:rPr>
        <w:t>具体填写要求如下：</w:t>
      </w:r>
    </w:p>
    <w:p w14:paraId="414BDEE0">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8"/>
          <w:highlight w:val="none"/>
          <w:lang w:val="en-US" w:eastAsia="zh-CN" w:bidi="ar"/>
        </w:rPr>
      </w:pPr>
      <w:r>
        <w:rPr>
          <w:rFonts w:hint="eastAsia" w:ascii="宋体" w:hAnsi="宋体" w:eastAsia="宋体" w:cs="宋体"/>
          <w:color w:val="auto"/>
          <w:kern w:val="0"/>
          <w:sz w:val="24"/>
          <w:szCs w:val="28"/>
          <w:highlight w:val="none"/>
          <w:lang w:val="en-US" w:eastAsia="zh-CN" w:bidi="ar"/>
        </w:rPr>
        <w:t>1.“单位名称”应填写采购人名称。</w:t>
      </w:r>
    </w:p>
    <w:p w14:paraId="3C11145C">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8"/>
          <w:highlight w:val="none"/>
          <w:lang w:val="en-US" w:eastAsia="zh-CN" w:bidi="ar"/>
        </w:rPr>
      </w:pPr>
      <w:r>
        <w:rPr>
          <w:rFonts w:hint="eastAsia" w:ascii="宋体" w:hAnsi="宋体" w:eastAsia="宋体" w:cs="宋体"/>
          <w:color w:val="auto"/>
          <w:kern w:val="0"/>
          <w:sz w:val="24"/>
          <w:szCs w:val="28"/>
          <w:highlight w:val="none"/>
          <w:lang w:val="en-US" w:eastAsia="zh-CN" w:bidi="ar"/>
        </w:rPr>
        <w:t>2.“项目名称”应按照采购文件中确定的项目名称填写。对于分包方式面向中小企业采购的项目，应标明中小企业的具体分包内容；对于以联合体方式面向中小企业采购的项目，应标明联合体中中小企业所承担的具体内容。</w:t>
      </w:r>
    </w:p>
    <w:p w14:paraId="02B61C13">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8"/>
          <w:highlight w:val="none"/>
          <w:lang w:val="en-US" w:eastAsia="zh-CN" w:bidi="ar"/>
        </w:rPr>
      </w:pPr>
      <w:r>
        <w:rPr>
          <w:rFonts w:hint="eastAsia" w:ascii="宋体" w:hAnsi="宋体" w:eastAsia="宋体" w:cs="宋体"/>
          <w:color w:val="auto"/>
          <w:kern w:val="0"/>
          <w:sz w:val="24"/>
          <w:szCs w:val="28"/>
          <w:highlight w:val="none"/>
          <w:lang w:val="en-US" w:eastAsia="zh-CN" w:bidi="ar"/>
        </w:rPr>
        <w:t>3.“标的名称”应填写采购文件中细化载明的采购标的名称。对于分包方式面向中小企业采购的项目，“标的名称”应填写采购文件中注明的分包给中小企业的采购标的名称；对于以联合体方式面向中小企业采购的项目，“标的名称”应填写采购文件中注明的联合体中中小企业承担的采购标的名称。</w:t>
      </w:r>
    </w:p>
    <w:p w14:paraId="29C82323">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8"/>
          <w:highlight w:val="none"/>
          <w:lang w:val="en-US" w:eastAsia="zh-CN" w:bidi="ar"/>
        </w:rPr>
      </w:pPr>
      <w:r>
        <w:rPr>
          <w:rFonts w:hint="eastAsia" w:ascii="宋体" w:hAnsi="宋体" w:eastAsia="宋体" w:cs="宋体"/>
          <w:color w:val="auto"/>
          <w:kern w:val="0"/>
          <w:sz w:val="24"/>
          <w:szCs w:val="28"/>
          <w:highlight w:val="none"/>
          <w:lang w:val="en-US" w:eastAsia="zh-CN" w:bidi="ar"/>
        </w:rPr>
        <w:t>4.“采购文件中明确的所属行业”应填写采购文件中明确的采购标的所属行业，并应确保与采购标的涉及的货物制造商/服务承接商/工程承建商（根据项目属性确定）本身的所属行业保持一致。</w:t>
      </w:r>
    </w:p>
    <w:p w14:paraId="634D6616">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8"/>
          <w:highlight w:val="none"/>
          <w:lang w:val="en-US" w:eastAsia="zh-CN" w:bidi="ar"/>
        </w:rPr>
      </w:pPr>
      <w:r>
        <w:rPr>
          <w:rFonts w:hint="eastAsia" w:ascii="宋体" w:hAnsi="宋体" w:eastAsia="宋体" w:cs="宋体"/>
          <w:color w:val="auto"/>
          <w:kern w:val="0"/>
          <w:sz w:val="24"/>
          <w:szCs w:val="28"/>
          <w:highlight w:val="none"/>
          <w:lang w:val="en-US" w:eastAsia="zh-CN" w:bidi="ar"/>
        </w:rPr>
        <w:t>对于分包方式面向中小企业采购的项目，“采购文件中明确的所属行业”应按照采购文件中注明的分包给中小企业的采购标的所属行业填写，并应确保与该分包部分采购标的涉及的货物制造商/服务承接商/工程承建商（根据项目属性确定）本身的所属行业保持一致。</w:t>
      </w:r>
    </w:p>
    <w:p w14:paraId="3941B3F1">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8"/>
          <w:highlight w:val="none"/>
          <w:lang w:val="en-US" w:eastAsia="zh-CN" w:bidi="ar"/>
        </w:rPr>
      </w:pPr>
      <w:r>
        <w:rPr>
          <w:rFonts w:hint="eastAsia" w:ascii="宋体" w:hAnsi="宋体" w:eastAsia="宋体" w:cs="宋体"/>
          <w:color w:val="auto"/>
          <w:kern w:val="0"/>
          <w:sz w:val="24"/>
          <w:szCs w:val="28"/>
          <w:highlight w:val="none"/>
          <w:lang w:val="en-US" w:eastAsia="zh-CN" w:bidi="ar"/>
        </w:rPr>
        <w:t>对于以联合体方式面向中小企业采购的项目，“采购文件中明确的所属行业”应按照采购文件中注明的联合体中中小企业承担的采购标的所属行业填写，并应确保与该承担部分采购标的涉及的货物制造商/服务承接商/工程承建商（根据项目属性确定）本身的所属行业保持一致。</w:t>
      </w:r>
    </w:p>
    <w:p w14:paraId="3C9C37F1">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8"/>
          <w:highlight w:val="none"/>
          <w:lang w:val="en-US" w:eastAsia="zh-CN" w:bidi="ar"/>
        </w:rPr>
      </w:pPr>
      <w:r>
        <w:rPr>
          <w:rFonts w:hint="eastAsia" w:ascii="宋体" w:hAnsi="宋体" w:eastAsia="宋体" w:cs="宋体"/>
          <w:color w:val="auto"/>
          <w:kern w:val="0"/>
          <w:sz w:val="24"/>
          <w:szCs w:val="28"/>
          <w:highlight w:val="none"/>
          <w:lang w:val="en-US" w:eastAsia="zh-CN" w:bidi="ar"/>
        </w:rPr>
        <w:t>5.“企业名称”应填写投标（响应）的货物制造商/服务承接商/工程承建商（根据项目属性确定）。</w:t>
      </w:r>
    </w:p>
    <w:p w14:paraId="1A04AFA6">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8"/>
          <w:highlight w:val="none"/>
          <w:lang w:val="en-US" w:eastAsia="zh-CN" w:bidi="ar"/>
        </w:rPr>
      </w:pPr>
      <w:r>
        <w:rPr>
          <w:rFonts w:hint="eastAsia" w:ascii="宋体" w:hAnsi="宋体" w:eastAsia="宋体" w:cs="宋体"/>
          <w:color w:val="auto"/>
          <w:kern w:val="0"/>
          <w:sz w:val="24"/>
          <w:szCs w:val="28"/>
          <w:highlight w:val="none"/>
          <w:lang w:val="en-US" w:eastAsia="zh-CN" w:bidi="ar"/>
        </w:rPr>
        <w:t>对于分包方式面向中小企业采购的项目，“企业名称”应填写分包部分采购标的对应的货物制造商/服务承接商/工程承建商（根据项目属性确定）。</w:t>
      </w:r>
    </w:p>
    <w:p w14:paraId="67D0083B">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8"/>
          <w:highlight w:val="none"/>
          <w:lang w:val="en-US" w:eastAsia="zh-CN" w:bidi="ar"/>
        </w:rPr>
      </w:pPr>
      <w:r>
        <w:rPr>
          <w:rFonts w:hint="eastAsia" w:ascii="宋体" w:hAnsi="宋体" w:eastAsia="宋体" w:cs="宋体"/>
          <w:color w:val="auto"/>
          <w:kern w:val="0"/>
          <w:sz w:val="24"/>
          <w:szCs w:val="28"/>
          <w:highlight w:val="none"/>
          <w:lang w:val="en-US" w:eastAsia="zh-CN" w:bidi="ar"/>
        </w:rPr>
        <w:t>对于以联合体方式面向中小企业采购的项目，“企业名称”应填写联合体中中小企业承担采购标的对应的货物制造商/服务承接商/工程承建商（根据项目属性确定）。</w:t>
      </w:r>
    </w:p>
    <w:p w14:paraId="47482CF1">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8"/>
          <w:highlight w:val="none"/>
          <w:lang w:val="en-US" w:eastAsia="zh-CN" w:bidi="ar"/>
        </w:rPr>
      </w:pPr>
      <w:r>
        <w:rPr>
          <w:rFonts w:hint="eastAsia" w:ascii="宋体" w:hAnsi="宋体" w:eastAsia="宋体" w:cs="宋体"/>
          <w:color w:val="auto"/>
          <w:kern w:val="0"/>
          <w:sz w:val="24"/>
          <w:szCs w:val="28"/>
          <w:highlight w:val="none"/>
          <w:lang w:val="en-US" w:eastAsia="zh-CN" w:bidi="ar"/>
        </w:rPr>
        <w:t>6.从业人员、资产总额指标以上年度末数据为依据，营业收入指标以上年度累计数据为依据。无上年度数据的新成立企业可不填报。</w:t>
      </w:r>
    </w:p>
    <w:p w14:paraId="417BBFD2">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8"/>
          <w:highlight w:val="none"/>
          <w:lang w:val="en-US" w:eastAsia="zh-CN" w:bidi="ar"/>
        </w:rPr>
      </w:pPr>
      <w:r>
        <w:rPr>
          <w:rFonts w:hint="eastAsia" w:ascii="宋体" w:hAnsi="宋体" w:eastAsia="宋体" w:cs="宋体"/>
          <w:color w:val="auto"/>
          <w:kern w:val="0"/>
          <w:sz w:val="24"/>
          <w:szCs w:val="28"/>
          <w:highlight w:val="none"/>
          <w:lang w:val="en-US" w:eastAsia="zh-CN" w:bidi="ar"/>
        </w:rPr>
        <w:t>7.“中型企业/小型企业/微型企业”部分，供应商应依据企业上年度从业人员、营业收入、资产总额等指标，按照《中小企业划型标准规定》（工信部联企业〔2011〕300号）、《金融业企业划型标准规定》（银发〔2015〕309号），判断</w:t>
      </w:r>
      <w:r>
        <w:rPr>
          <w:rFonts w:hint="eastAsia" w:cs="宋体"/>
          <w:color w:val="auto"/>
          <w:kern w:val="0"/>
          <w:sz w:val="24"/>
          <w:szCs w:val="28"/>
          <w:highlight w:val="none"/>
          <w:lang w:val="en-US" w:eastAsia="zh-CN" w:bidi="ar"/>
        </w:rPr>
        <w:t>“</w:t>
      </w:r>
      <w:r>
        <w:rPr>
          <w:rFonts w:hint="eastAsia" w:ascii="宋体" w:hAnsi="宋体" w:eastAsia="宋体" w:cs="宋体"/>
          <w:color w:val="auto"/>
          <w:kern w:val="0"/>
          <w:sz w:val="24"/>
          <w:szCs w:val="28"/>
          <w:highlight w:val="none"/>
          <w:lang w:val="en-US" w:eastAsia="zh-CN" w:bidi="ar"/>
        </w:rPr>
        <w:t>中小企业声明函</w:t>
      </w:r>
      <w:r>
        <w:rPr>
          <w:rFonts w:hint="eastAsia" w:cs="宋体"/>
          <w:color w:val="auto"/>
          <w:kern w:val="0"/>
          <w:sz w:val="24"/>
          <w:szCs w:val="28"/>
          <w:highlight w:val="none"/>
          <w:lang w:val="en-US" w:eastAsia="zh-CN" w:bidi="ar"/>
        </w:rPr>
        <w:t>”</w:t>
      </w:r>
      <w:r>
        <w:rPr>
          <w:rFonts w:hint="eastAsia" w:ascii="宋体" w:hAnsi="宋体" w:eastAsia="宋体" w:cs="宋体"/>
          <w:color w:val="auto"/>
          <w:kern w:val="0"/>
          <w:sz w:val="24"/>
          <w:szCs w:val="28"/>
          <w:highlight w:val="none"/>
          <w:lang w:val="en-US" w:eastAsia="zh-CN" w:bidi="ar"/>
        </w:rPr>
        <w:t>载明的货物制造商/服务承接商/工程承建商（根据项目属性确定）是否属于采购文件所属行业的中型企业/小型企业/微型企业。</w:t>
      </w:r>
    </w:p>
    <w:p w14:paraId="0A3DD53E">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8"/>
          <w:highlight w:val="none"/>
          <w:lang w:val="en-US" w:eastAsia="zh-CN" w:bidi="ar"/>
        </w:rPr>
      </w:pPr>
      <w:r>
        <w:rPr>
          <w:rFonts w:hint="eastAsia" w:ascii="宋体" w:hAnsi="宋体" w:eastAsia="宋体" w:cs="宋体"/>
          <w:color w:val="auto"/>
          <w:kern w:val="0"/>
          <w:sz w:val="24"/>
          <w:szCs w:val="28"/>
          <w:highlight w:val="none"/>
          <w:lang w:val="en-US" w:eastAsia="zh-CN" w:bidi="ar"/>
        </w:rPr>
        <w:t>8.对于已纳入统计部门统计范围的企业，所属行业、从业人员、营业收入、资产总额、规模类型应与统计部门报表保持一致。对于未纳入统计部门统计范围的企业，应对照《国民经济行业分类》确定所属行业，当企业从事两种以上的经济活动时，按照企业从事的主要活动确定所属行业；从业人员、营业收入、资产总额应按照上年度末实际情况填报，并应确保在争议纠纷处理时，可提供相关数据的来源依据。</w:t>
      </w:r>
    </w:p>
    <w:p w14:paraId="7BA9439A">
      <w:pPr>
        <w:keepNext w:val="0"/>
        <w:keepLines w:val="0"/>
        <w:widowControl/>
        <w:suppressLineNumbers w:val="0"/>
        <w:ind w:firstLine="482" w:firstLineChars="200"/>
        <w:jc w:val="left"/>
        <w:rPr>
          <w:rStyle w:val="32"/>
          <w:rFonts w:hint="eastAsia" w:ascii="宋体" w:hAnsi="宋体" w:eastAsia="宋体" w:cs="宋体"/>
          <w:color w:val="auto"/>
          <w:kern w:val="0"/>
          <w:sz w:val="24"/>
          <w:szCs w:val="24"/>
          <w:highlight w:val="none"/>
          <w:lang w:val="en-US" w:eastAsia="zh-CN" w:bidi="ar"/>
        </w:rPr>
      </w:pPr>
      <w:r>
        <w:rPr>
          <w:rStyle w:val="32"/>
          <w:rFonts w:hint="eastAsia" w:ascii="宋体" w:hAnsi="宋体" w:eastAsia="宋体" w:cs="宋体"/>
          <w:color w:val="auto"/>
          <w:kern w:val="0"/>
          <w:sz w:val="24"/>
          <w:szCs w:val="24"/>
          <w:highlight w:val="none"/>
          <w:lang w:val="en-US" w:eastAsia="zh-CN" w:bidi="ar"/>
        </w:rPr>
        <w:t>（二）关于“中小企业声明函”的提交要求</w:t>
      </w:r>
    </w:p>
    <w:p w14:paraId="5F29A0D2">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8"/>
          <w:highlight w:val="none"/>
          <w:lang w:val="en-US" w:eastAsia="zh-CN" w:bidi="ar"/>
        </w:rPr>
      </w:pPr>
      <w:r>
        <w:rPr>
          <w:rFonts w:hint="eastAsia" w:ascii="宋体" w:hAnsi="宋体" w:eastAsia="宋体" w:cs="宋体"/>
          <w:color w:val="auto"/>
          <w:kern w:val="0"/>
          <w:sz w:val="24"/>
          <w:szCs w:val="28"/>
          <w:highlight w:val="none"/>
          <w:lang w:val="en-US" w:eastAsia="zh-CN" w:bidi="ar"/>
        </w:rPr>
        <w:t>1.投标（响应）供应商对</w:t>
      </w:r>
      <w:r>
        <w:rPr>
          <w:rFonts w:hint="eastAsia" w:cs="宋体"/>
          <w:color w:val="auto"/>
          <w:kern w:val="0"/>
          <w:sz w:val="24"/>
          <w:szCs w:val="28"/>
          <w:highlight w:val="none"/>
          <w:lang w:val="en-US" w:eastAsia="zh-CN" w:bidi="ar"/>
        </w:rPr>
        <w:t>“</w:t>
      </w:r>
      <w:r>
        <w:rPr>
          <w:rFonts w:hint="eastAsia" w:ascii="宋体" w:hAnsi="宋体" w:eastAsia="宋体" w:cs="宋体"/>
          <w:color w:val="auto"/>
          <w:kern w:val="0"/>
          <w:sz w:val="24"/>
          <w:szCs w:val="28"/>
          <w:highlight w:val="none"/>
          <w:lang w:val="en-US" w:eastAsia="zh-CN" w:bidi="ar"/>
        </w:rPr>
        <w:t>中小企业声明函</w:t>
      </w:r>
      <w:r>
        <w:rPr>
          <w:rFonts w:hint="eastAsia" w:cs="宋体"/>
          <w:color w:val="auto"/>
          <w:kern w:val="0"/>
          <w:sz w:val="24"/>
          <w:szCs w:val="28"/>
          <w:highlight w:val="none"/>
          <w:lang w:val="en-US" w:eastAsia="zh-CN" w:bidi="ar"/>
        </w:rPr>
        <w:t>”</w:t>
      </w:r>
      <w:r>
        <w:rPr>
          <w:rFonts w:hint="eastAsia" w:ascii="宋体" w:hAnsi="宋体" w:eastAsia="宋体" w:cs="宋体"/>
          <w:color w:val="auto"/>
          <w:kern w:val="0"/>
          <w:sz w:val="24"/>
          <w:szCs w:val="28"/>
          <w:highlight w:val="none"/>
          <w:lang w:val="en-US" w:eastAsia="zh-CN" w:bidi="ar"/>
        </w:rPr>
        <w:t>的真实性负责。投标（响应）供应商应当核实投标（响应）的货物制造商/服务承接商/工程承建商（根据项目属性确定）的相关信息，如对相关信息了解不充分，或者不能确定相关信息真实、准确的，不建议出具</w:t>
      </w:r>
      <w:r>
        <w:rPr>
          <w:rFonts w:hint="eastAsia" w:cs="宋体"/>
          <w:color w:val="auto"/>
          <w:kern w:val="0"/>
          <w:sz w:val="24"/>
          <w:szCs w:val="28"/>
          <w:highlight w:val="none"/>
          <w:lang w:val="en-US" w:eastAsia="zh-CN" w:bidi="ar"/>
        </w:rPr>
        <w:t>“</w:t>
      </w:r>
      <w:r>
        <w:rPr>
          <w:rFonts w:hint="eastAsia" w:ascii="宋体" w:hAnsi="宋体" w:eastAsia="宋体" w:cs="宋体"/>
          <w:color w:val="auto"/>
          <w:kern w:val="0"/>
          <w:sz w:val="24"/>
          <w:szCs w:val="28"/>
          <w:highlight w:val="none"/>
          <w:lang w:val="en-US" w:eastAsia="zh-CN" w:bidi="ar"/>
        </w:rPr>
        <w:t>中小企业声明函</w:t>
      </w:r>
      <w:r>
        <w:rPr>
          <w:rFonts w:hint="eastAsia" w:cs="宋体"/>
          <w:color w:val="auto"/>
          <w:kern w:val="0"/>
          <w:sz w:val="24"/>
          <w:szCs w:val="28"/>
          <w:highlight w:val="none"/>
          <w:lang w:val="en-US" w:eastAsia="zh-CN" w:bidi="ar"/>
        </w:rPr>
        <w:t>”</w:t>
      </w:r>
      <w:r>
        <w:rPr>
          <w:rFonts w:hint="eastAsia" w:ascii="宋体" w:hAnsi="宋体" w:eastAsia="宋体" w:cs="宋体"/>
          <w:color w:val="auto"/>
          <w:kern w:val="0"/>
          <w:sz w:val="24"/>
          <w:szCs w:val="28"/>
          <w:highlight w:val="none"/>
          <w:lang w:val="en-US" w:eastAsia="zh-CN" w:bidi="ar"/>
        </w:rPr>
        <w:t>。</w:t>
      </w:r>
    </w:p>
    <w:p w14:paraId="49FFD352">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8"/>
          <w:highlight w:val="none"/>
          <w:lang w:val="en-US" w:eastAsia="zh-CN" w:bidi="ar"/>
        </w:rPr>
      </w:pPr>
      <w:r>
        <w:rPr>
          <w:rFonts w:hint="eastAsia" w:ascii="宋体" w:hAnsi="宋体" w:eastAsia="宋体" w:cs="宋体"/>
          <w:color w:val="auto"/>
          <w:kern w:val="0"/>
          <w:sz w:val="24"/>
          <w:szCs w:val="28"/>
          <w:highlight w:val="none"/>
          <w:lang w:val="en-US" w:eastAsia="zh-CN" w:bidi="ar"/>
        </w:rPr>
        <w:t>2.鼓励供应商在投标（响应）时一并提供对货物制造商、服务承接商、工程承建商相关信息的核实核验情况以及其他佐证材料。</w:t>
      </w:r>
    </w:p>
    <w:p w14:paraId="15483C28">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8"/>
          <w:highlight w:val="none"/>
          <w:lang w:val="en-US" w:eastAsia="zh-CN" w:bidi="ar"/>
        </w:rPr>
      </w:pPr>
      <w:r>
        <w:rPr>
          <w:rFonts w:hint="eastAsia" w:ascii="宋体" w:hAnsi="宋体" w:eastAsia="宋体" w:cs="宋体"/>
          <w:color w:val="auto"/>
          <w:kern w:val="0"/>
          <w:sz w:val="24"/>
          <w:szCs w:val="28"/>
          <w:highlight w:val="none"/>
          <w:lang w:val="en-US" w:eastAsia="zh-CN" w:bidi="ar"/>
        </w:rPr>
        <w:t>3.如供应商提供的</w:t>
      </w:r>
      <w:r>
        <w:rPr>
          <w:rFonts w:hint="eastAsia" w:cs="宋体"/>
          <w:color w:val="auto"/>
          <w:kern w:val="0"/>
          <w:sz w:val="24"/>
          <w:szCs w:val="28"/>
          <w:highlight w:val="none"/>
          <w:lang w:val="en-US" w:eastAsia="zh-CN" w:bidi="ar"/>
        </w:rPr>
        <w:t>“</w:t>
      </w:r>
      <w:r>
        <w:rPr>
          <w:rFonts w:hint="eastAsia" w:ascii="宋体" w:hAnsi="宋体" w:eastAsia="宋体" w:cs="宋体"/>
          <w:color w:val="auto"/>
          <w:kern w:val="0"/>
          <w:sz w:val="24"/>
          <w:szCs w:val="28"/>
          <w:highlight w:val="none"/>
          <w:lang w:val="en-US" w:eastAsia="zh-CN" w:bidi="ar"/>
        </w:rPr>
        <w:t>中小企业声明函</w:t>
      </w:r>
      <w:r>
        <w:rPr>
          <w:rFonts w:hint="eastAsia" w:cs="宋体"/>
          <w:color w:val="auto"/>
          <w:kern w:val="0"/>
          <w:sz w:val="24"/>
          <w:szCs w:val="28"/>
          <w:highlight w:val="none"/>
          <w:lang w:val="en-US" w:eastAsia="zh-CN" w:bidi="ar"/>
        </w:rPr>
        <w:t>”</w:t>
      </w:r>
      <w:r>
        <w:rPr>
          <w:rFonts w:hint="eastAsia" w:ascii="宋体" w:hAnsi="宋体" w:eastAsia="宋体" w:cs="宋体"/>
          <w:color w:val="auto"/>
          <w:kern w:val="0"/>
          <w:sz w:val="24"/>
          <w:szCs w:val="28"/>
          <w:highlight w:val="none"/>
          <w:lang w:val="en-US" w:eastAsia="zh-CN" w:bidi="ar"/>
        </w:rPr>
        <w:t>存在按采购文件所属行业划型不实的，属于提供虚假材料谋取中标、成交，依照《中华人民共和国政府采购法》第七十七条的规定，将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6E224C04">
      <w:pPr>
        <w:rPr>
          <w:rFonts w:cs="宋体"/>
          <w:color w:val="auto"/>
          <w:spacing w:val="6"/>
          <w:sz w:val="21"/>
          <w:szCs w:val="21"/>
          <w:highlight w:val="none"/>
        </w:rPr>
      </w:pPr>
      <w:r>
        <w:rPr>
          <w:rFonts w:cs="宋体"/>
          <w:color w:val="auto"/>
          <w:spacing w:val="6"/>
          <w:sz w:val="21"/>
          <w:szCs w:val="21"/>
          <w:highlight w:val="none"/>
        </w:rPr>
        <w:br w:type="page"/>
      </w:r>
    </w:p>
    <w:p w14:paraId="511B2BB4">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eastAsia="宋体"/>
          <w:b/>
          <w:bCs/>
          <w:color w:val="auto"/>
          <w:highlight w:val="none"/>
          <w:lang w:val="en-US" w:eastAsia="zh-CN"/>
        </w:rPr>
      </w:pPr>
      <w:r>
        <w:rPr>
          <w:rFonts w:hint="eastAsia"/>
          <w:b/>
          <w:bCs/>
          <w:color w:val="auto"/>
          <w:highlight w:val="none"/>
          <w:lang w:val="en-US" w:eastAsia="zh-CN"/>
        </w:rPr>
        <w:t>附件2：</w:t>
      </w:r>
    </w:p>
    <w:p w14:paraId="639A9CC2">
      <w:pPr>
        <w:pStyle w:val="17"/>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val="0"/>
          <w:color w:val="auto"/>
          <w:sz w:val="32"/>
          <w:szCs w:val="32"/>
          <w:highlight w:val="none"/>
        </w:rPr>
      </w:pPr>
      <w:r>
        <w:rPr>
          <w:rFonts w:hint="eastAsia" w:ascii="宋体" w:hAnsi="宋体" w:eastAsia="宋体" w:cs="宋体"/>
          <w:b/>
          <w:bCs w:val="0"/>
          <w:color w:val="auto"/>
          <w:sz w:val="32"/>
          <w:szCs w:val="32"/>
          <w:highlight w:val="none"/>
        </w:rPr>
        <w:t>关于印发中小企业划型标准规定的通知</w:t>
      </w:r>
    </w:p>
    <w:p w14:paraId="2592204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Style w:val="32"/>
          <w:rFonts w:hint="eastAsia" w:ascii="宋体" w:hAnsi="宋体" w:eastAsia="宋体" w:cs="宋体"/>
          <w:b w:val="0"/>
          <w:color w:val="auto"/>
          <w:sz w:val="24"/>
          <w:szCs w:val="24"/>
          <w:highlight w:val="none"/>
        </w:rPr>
      </w:pPr>
      <w:r>
        <w:rPr>
          <w:rStyle w:val="32"/>
          <w:rFonts w:hint="eastAsia" w:ascii="宋体" w:hAnsi="宋体" w:eastAsia="宋体" w:cs="宋体"/>
          <w:b w:val="0"/>
          <w:color w:val="auto"/>
          <w:sz w:val="24"/>
          <w:szCs w:val="24"/>
          <w:highlight w:val="none"/>
        </w:rPr>
        <w:t>工信部联企业〔2011〕300号</w:t>
      </w:r>
    </w:p>
    <w:p w14:paraId="0E959BE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Style w:val="32"/>
          <w:rFonts w:hint="eastAsia" w:ascii="宋体" w:hAnsi="宋体" w:eastAsia="宋体" w:cs="宋体"/>
          <w:b w:val="0"/>
          <w:color w:val="auto"/>
          <w:sz w:val="24"/>
          <w:szCs w:val="24"/>
          <w:highlight w:val="none"/>
        </w:rPr>
      </w:pPr>
    </w:p>
    <w:p w14:paraId="289C59A7">
      <w:pPr>
        <w:keepNext w:val="0"/>
        <w:keepLines w:val="0"/>
        <w:pageBreakBefore w:val="0"/>
        <w:widowControl w:val="0"/>
        <w:kinsoku/>
        <w:wordWrap/>
        <w:overflowPunct/>
        <w:topLinePunct w:val="0"/>
        <w:autoSpaceDE/>
        <w:autoSpaceDN/>
        <w:bidi w:val="0"/>
        <w:adjustRightInd/>
        <w:snapToGrid/>
        <w:spacing w:line="360" w:lineRule="exact"/>
        <w:textAlignment w:val="auto"/>
        <w:rPr>
          <w:rStyle w:val="32"/>
          <w:rFonts w:hint="eastAsia" w:ascii="宋体" w:hAnsi="宋体" w:eastAsia="宋体" w:cs="宋体"/>
          <w:b w:val="0"/>
          <w:color w:val="auto"/>
          <w:sz w:val="24"/>
          <w:szCs w:val="24"/>
          <w:highlight w:val="none"/>
        </w:rPr>
      </w:pPr>
      <w:r>
        <w:rPr>
          <w:rStyle w:val="32"/>
          <w:rFonts w:hint="eastAsia" w:ascii="宋体" w:hAnsi="宋体" w:eastAsia="宋体" w:cs="宋体"/>
          <w:b w:val="0"/>
          <w:color w:val="auto"/>
          <w:sz w:val="24"/>
          <w:szCs w:val="24"/>
          <w:highlight w:val="none"/>
        </w:rPr>
        <w:t>各省、自治区、直辖市人民政府，国务院各部委、各直属机构及有关单位：</w:t>
      </w:r>
    </w:p>
    <w:p w14:paraId="11AACCD7">
      <w:pPr>
        <w:keepNext w:val="0"/>
        <w:keepLines w:val="0"/>
        <w:pageBreakBefore w:val="0"/>
        <w:widowControl w:val="0"/>
        <w:kinsoku/>
        <w:wordWrap/>
        <w:overflowPunct/>
        <w:topLinePunct w:val="0"/>
        <w:autoSpaceDE/>
        <w:autoSpaceDN/>
        <w:bidi w:val="0"/>
        <w:adjustRightInd/>
        <w:snapToGrid/>
        <w:spacing w:line="360" w:lineRule="exact"/>
        <w:textAlignment w:val="auto"/>
        <w:rPr>
          <w:rStyle w:val="32"/>
          <w:rFonts w:hint="eastAsia" w:ascii="宋体" w:hAnsi="宋体" w:eastAsia="宋体" w:cs="宋体"/>
          <w:b w:val="0"/>
          <w:bCs w:val="0"/>
          <w:color w:val="auto"/>
          <w:sz w:val="24"/>
          <w:szCs w:val="24"/>
          <w:highlight w:val="none"/>
        </w:rPr>
      </w:pPr>
      <w:r>
        <w:rPr>
          <w:rStyle w:val="32"/>
          <w:rFonts w:hint="eastAsia" w:ascii="宋体" w:hAnsi="宋体" w:eastAsia="宋体" w:cs="宋体"/>
          <w:b w:val="0"/>
          <w:bCs w:val="0"/>
          <w:color w:val="auto"/>
          <w:sz w:val="24"/>
          <w:szCs w:val="24"/>
          <w:highlight w:val="none"/>
        </w:rPr>
        <w:t>　　为贯彻落实《中华人民共和国中小企业促进法》和《国务院关于进一步促进中小企业发展的若干意见》（国发〔2009〕36号），工业和信息化部、国家统计局、发展改革委、财政部研究制定了《中小企业划型标准规定》。经国务院同意，现印发给你们，请遵照执行。</w:t>
      </w:r>
    </w:p>
    <w:p w14:paraId="69C30634">
      <w:pPr>
        <w:keepNext w:val="0"/>
        <w:keepLines w:val="0"/>
        <w:pageBreakBefore w:val="0"/>
        <w:widowControl w:val="0"/>
        <w:kinsoku/>
        <w:wordWrap/>
        <w:overflowPunct/>
        <w:topLinePunct w:val="0"/>
        <w:autoSpaceDE/>
        <w:autoSpaceDN/>
        <w:bidi w:val="0"/>
        <w:adjustRightInd/>
        <w:snapToGrid/>
        <w:spacing w:line="360" w:lineRule="exact"/>
        <w:jc w:val="right"/>
        <w:textAlignment w:val="auto"/>
        <w:rPr>
          <w:rStyle w:val="32"/>
          <w:rFonts w:hint="eastAsia" w:ascii="宋体" w:hAnsi="宋体" w:eastAsia="宋体" w:cs="宋体"/>
          <w:b w:val="0"/>
          <w:bCs w:val="0"/>
          <w:color w:val="auto"/>
          <w:sz w:val="24"/>
          <w:szCs w:val="24"/>
          <w:highlight w:val="none"/>
        </w:rPr>
      </w:pPr>
      <w:r>
        <w:rPr>
          <w:rStyle w:val="32"/>
          <w:rFonts w:hint="eastAsia" w:ascii="宋体" w:hAnsi="宋体" w:eastAsia="宋体" w:cs="宋体"/>
          <w:b w:val="0"/>
          <w:bCs w:val="0"/>
          <w:color w:val="auto"/>
          <w:sz w:val="24"/>
          <w:szCs w:val="24"/>
          <w:highlight w:val="none"/>
        </w:rPr>
        <w:t>工业和信息化部　国家统计局</w:t>
      </w:r>
    </w:p>
    <w:p w14:paraId="5C55A29B">
      <w:pPr>
        <w:keepNext w:val="0"/>
        <w:keepLines w:val="0"/>
        <w:pageBreakBefore w:val="0"/>
        <w:widowControl w:val="0"/>
        <w:kinsoku/>
        <w:wordWrap/>
        <w:overflowPunct/>
        <w:topLinePunct w:val="0"/>
        <w:autoSpaceDE/>
        <w:autoSpaceDN/>
        <w:bidi w:val="0"/>
        <w:adjustRightInd/>
        <w:snapToGrid/>
        <w:spacing w:line="360" w:lineRule="exact"/>
        <w:jc w:val="right"/>
        <w:textAlignment w:val="auto"/>
        <w:rPr>
          <w:rStyle w:val="32"/>
          <w:rFonts w:hint="eastAsia" w:ascii="宋体" w:hAnsi="宋体" w:eastAsia="宋体" w:cs="宋体"/>
          <w:b w:val="0"/>
          <w:bCs w:val="0"/>
          <w:color w:val="auto"/>
          <w:sz w:val="24"/>
          <w:szCs w:val="24"/>
          <w:highlight w:val="none"/>
        </w:rPr>
      </w:pPr>
      <w:r>
        <w:rPr>
          <w:rStyle w:val="32"/>
          <w:rFonts w:hint="eastAsia" w:ascii="宋体" w:hAnsi="宋体" w:eastAsia="宋体" w:cs="宋体"/>
          <w:b w:val="0"/>
          <w:bCs w:val="0"/>
          <w:color w:val="auto"/>
          <w:sz w:val="24"/>
          <w:szCs w:val="24"/>
          <w:highlight w:val="none"/>
        </w:rPr>
        <w:t>国家发展和改革委员会　财政部</w:t>
      </w:r>
    </w:p>
    <w:p w14:paraId="6F52758A">
      <w:pPr>
        <w:keepNext w:val="0"/>
        <w:keepLines w:val="0"/>
        <w:pageBreakBefore w:val="0"/>
        <w:widowControl w:val="0"/>
        <w:kinsoku/>
        <w:wordWrap/>
        <w:overflowPunct/>
        <w:topLinePunct w:val="0"/>
        <w:autoSpaceDE/>
        <w:autoSpaceDN/>
        <w:bidi w:val="0"/>
        <w:adjustRightInd/>
        <w:snapToGrid/>
        <w:spacing w:line="360" w:lineRule="exact"/>
        <w:jc w:val="right"/>
        <w:textAlignment w:val="auto"/>
        <w:rPr>
          <w:rStyle w:val="32"/>
          <w:rFonts w:hint="eastAsia" w:ascii="宋体" w:hAnsi="宋体" w:eastAsia="宋体" w:cs="宋体"/>
          <w:b w:val="0"/>
          <w:bCs w:val="0"/>
          <w:color w:val="auto"/>
          <w:sz w:val="24"/>
          <w:szCs w:val="24"/>
          <w:highlight w:val="none"/>
        </w:rPr>
      </w:pPr>
      <w:r>
        <w:rPr>
          <w:rStyle w:val="32"/>
          <w:rFonts w:hint="eastAsia" w:ascii="宋体" w:hAnsi="宋体" w:eastAsia="宋体" w:cs="宋体"/>
          <w:b w:val="0"/>
          <w:bCs w:val="0"/>
          <w:color w:val="auto"/>
          <w:sz w:val="24"/>
          <w:szCs w:val="24"/>
          <w:highlight w:val="none"/>
        </w:rPr>
        <w:t>二○一一年六月十八日</w:t>
      </w:r>
    </w:p>
    <w:p w14:paraId="75F0B3C6">
      <w:pPr>
        <w:keepNext w:val="0"/>
        <w:keepLines w:val="0"/>
        <w:pageBreakBefore w:val="0"/>
        <w:widowControl w:val="0"/>
        <w:kinsoku/>
        <w:wordWrap/>
        <w:overflowPunct/>
        <w:topLinePunct w:val="0"/>
        <w:autoSpaceDE/>
        <w:autoSpaceDN/>
        <w:bidi w:val="0"/>
        <w:adjustRightInd/>
        <w:snapToGrid/>
        <w:spacing w:line="360" w:lineRule="exact"/>
        <w:textAlignment w:val="auto"/>
        <w:rPr>
          <w:rStyle w:val="32"/>
          <w:rFonts w:hint="eastAsia" w:ascii="宋体" w:hAnsi="宋体" w:eastAsia="宋体" w:cs="宋体"/>
          <w:b w:val="0"/>
          <w:bCs w:val="0"/>
          <w:color w:val="auto"/>
          <w:sz w:val="24"/>
          <w:szCs w:val="24"/>
          <w:highlight w:val="none"/>
        </w:rPr>
      </w:pPr>
      <w:r>
        <w:rPr>
          <w:rStyle w:val="32"/>
          <w:rFonts w:hint="eastAsia" w:ascii="宋体" w:hAnsi="宋体" w:eastAsia="宋体" w:cs="宋体"/>
          <w:b w:val="0"/>
          <w:bCs w:val="0"/>
          <w:color w:val="auto"/>
          <w:sz w:val="24"/>
          <w:szCs w:val="24"/>
          <w:highlight w:val="none"/>
        </w:rPr>
        <w:t xml:space="preserve"> </w:t>
      </w:r>
    </w:p>
    <w:p w14:paraId="3E2FDBA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Style w:val="32"/>
          <w:rFonts w:hint="eastAsia" w:ascii="宋体" w:hAnsi="宋体" w:eastAsia="宋体" w:cs="宋体"/>
          <w:b/>
          <w:bCs w:val="0"/>
          <w:color w:val="auto"/>
          <w:sz w:val="28"/>
          <w:szCs w:val="28"/>
          <w:highlight w:val="none"/>
        </w:rPr>
      </w:pPr>
      <w:r>
        <w:rPr>
          <w:rStyle w:val="32"/>
          <w:rFonts w:hint="eastAsia" w:ascii="宋体" w:hAnsi="宋体" w:eastAsia="宋体" w:cs="宋体"/>
          <w:b/>
          <w:bCs w:val="0"/>
          <w:color w:val="auto"/>
          <w:sz w:val="28"/>
          <w:szCs w:val="28"/>
          <w:highlight w:val="none"/>
        </w:rPr>
        <w:t>中小企业划型标准规定</w:t>
      </w:r>
    </w:p>
    <w:p w14:paraId="7440C465">
      <w:pPr>
        <w:keepNext w:val="0"/>
        <w:keepLines w:val="0"/>
        <w:pageBreakBefore w:val="0"/>
        <w:widowControl w:val="0"/>
        <w:kinsoku/>
        <w:wordWrap/>
        <w:overflowPunct/>
        <w:topLinePunct w:val="0"/>
        <w:autoSpaceDE/>
        <w:autoSpaceDN/>
        <w:bidi w:val="0"/>
        <w:adjustRightInd/>
        <w:snapToGrid/>
        <w:spacing w:line="400" w:lineRule="exact"/>
        <w:textAlignment w:val="auto"/>
        <w:rPr>
          <w:rStyle w:val="32"/>
          <w:rFonts w:hint="eastAsia" w:ascii="宋体" w:hAnsi="宋体" w:eastAsia="宋体" w:cs="宋体"/>
          <w:b w:val="0"/>
          <w:bCs w:val="0"/>
          <w:color w:val="auto"/>
          <w:sz w:val="24"/>
          <w:szCs w:val="24"/>
          <w:highlight w:val="none"/>
        </w:rPr>
      </w:pPr>
      <w:r>
        <w:rPr>
          <w:rStyle w:val="32"/>
          <w:rFonts w:hint="eastAsia" w:ascii="宋体" w:hAnsi="宋体" w:eastAsia="宋体" w:cs="宋体"/>
          <w:b w:val="0"/>
          <w:bCs w:val="0"/>
          <w:color w:val="auto"/>
          <w:sz w:val="24"/>
          <w:szCs w:val="24"/>
          <w:highlight w:val="none"/>
        </w:rPr>
        <w:t>　　一、根据《中华人民共和国中小企业促进法》和《国务院关于进一步促进中小企业发展的若干意见》(国发〔2009〕36号)，制定本规定。</w:t>
      </w:r>
    </w:p>
    <w:p w14:paraId="507AD261">
      <w:pPr>
        <w:keepNext w:val="0"/>
        <w:keepLines w:val="0"/>
        <w:pageBreakBefore w:val="0"/>
        <w:widowControl w:val="0"/>
        <w:kinsoku/>
        <w:wordWrap/>
        <w:overflowPunct/>
        <w:topLinePunct w:val="0"/>
        <w:autoSpaceDE/>
        <w:autoSpaceDN/>
        <w:bidi w:val="0"/>
        <w:adjustRightInd/>
        <w:snapToGrid/>
        <w:spacing w:line="400" w:lineRule="exact"/>
        <w:textAlignment w:val="auto"/>
        <w:rPr>
          <w:rStyle w:val="32"/>
          <w:rFonts w:hint="eastAsia" w:ascii="宋体" w:hAnsi="宋体" w:eastAsia="宋体" w:cs="宋体"/>
          <w:b w:val="0"/>
          <w:bCs w:val="0"/>
          <w:color w:val="auto"/>
          <w:sz w:val="24"/>
          <w:szCs w:val="24"/>
          <w:highlight w:val="none"/>
        </w:rPr>
      </w:pPr>
      <w:r>
        <w:rPr>
          <w:rStyle w:val="32"/>
          <w:rFonts w:hint="eastAsia" w:ascii="宋体" w:hAnsi="宋体" w:eastAsia="宋体" w:cs="宋体"/>
          <w:b w:val="0"/>
          <w:bCs w:val="0"/>
          <w:color w:val="auto"/>
          <w:sz w:val="24"/>
          <w:szCs w:val="24"/>
          <w:highlight w:val="none"/>
        </w:rPr>
        <w:t>　　二、中小企业划分为中型、小型、微型三种类型，具体标准根据企业从业人员、营业收入、资产总额等指标，结合行业特点制定。</w:t>
      </w:r>
    </w:p>
    <w:p w14:paraId="58A39619">
      <w:pPr>
        <w:keepNext w:val="0"/>
        <w:keepLines w:val="0"/>
        <w:pageBreakBefore w:val="0"/>
        <w:widowControl w:val="0"/>
        <w:kinsoku/>
        <w:wordWrap/>
        <w:overflowPunct/>
        <w:topLinePunct w:val="0"/>
        <w:autoSpaceDE/>
        <w:autoSpaceDN/>
        <w:bidi w:val="0"/>
        <w:adjustRightInd/>
        <w:snapToGrid/>
        <w:spacing w:line="400" w:lineRule="exact"/>
        <w:textAlignment w:val="auto"/>
        <w:rPr>
          <w:rStyle w:val="32"/>
          <w:rFonts w:hint="eastAsia" w:ascii="宋体" w:hAnsi="宋体" w:eastAsia="宋体" w:cs="宋体"/>
          <w:b w:val="0"/>
          <w:bCs w:val="0"/>
          <w:color w:val="auto"/>
          <w:sz w:val="24"/>
          <w:szCs w:val="24"/>
          <w:highlight w:val="none"/>
        </w:rPr>
      </w:pPr>
      <w:r>
        <w:rPr>
          <w:rStyle w:val="32"/>
          <w:rFonts w:hint="eastAsia" w:ascii="宋体" w:hAnsi="宋体" w:eastAsia="宋体" w:cs="宋体"/>
          <w:b w:val="0"/>
          <w:bCs w:val="0"/>
          <w:color w:val="auto"/>
          <w:sz w:val="24"/>
          <w:szCs w:val="24"/>
          <w:highlight w:val="none"/>
        </w:rPr>
        <w:t>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7F5AE90D">
      <w:pPr>
        <w:keepNext w:val="0"/>
        <w:keepLines w:val="0"/>
        <w:pageBreakBefore w:val="0"/>
        <w:widowControl w:val="0"/>
        <w:kinsoku/>
        <w:wordWrap/>
        <w:overflowPunct/>
        <w:topLinePunct w:val="0"/>
        <w:autoSpaceDE/>
        <w:autoSpaceDN/>
        <w:bidi w:val="0"/>
        <w:adjustRightInd/>
        <w:snapToGrid/>
        <w:spacing w:line="400" w:lineRule="exact"/>
        <w:textAlignment w:val="auto"/>
        <w:rPr>
          <w:rStyle w:val="32"/>
          <w:rFonts w:hint="eastAsia" w:ascii="宋体" w:hAnsi="宋体" w:eastAsia="宋体" w:cs="宋体"/>
          <w:b w:val="0"/>
          <w:bCs w:val="0"/>
          <w:color w:val="auto"/>
          <w:sz w:val="24"/>
          <w:szCs w:val="24"/>
          <w:highlight w:val="none"/>
        </w:rPr>
      </w:pPr>
      <w:r>
        <w:rPr>
          <w:rStyle w:val="32"/>
          <w:rFonts w:hint="eastAsia" w:ascii="宋体" w:hAnsi="宋体" w:eastAsia="宋体" w:cs="宋体"/>
          <w:b w:val="0"/>
          <w:bCs w:val="0"/>
          <w:color w:val="auto"/>
          <w:sz w:val="24"/>
          <w:szCs w:val="24"/>
          <w:highlight w:val="none"/>
        </w:rPr>
        <w:t>　　四、各行业划型标准为：</w:t>
      </w:r>
    </w:p>
    <w:p w14:paraId="6B4E2D0C">
      <w:pPr>
        <w:keepNext w:val="0"/>
        <w:keepLines w:val="0"/>
        <w:pageBreakBefore w:val="0"/>
        <w:widowControl w:val="0"/>
        <w:kinsoku/>
        <w:wordWrap/>
        <w:overflowPunct/>
        <w:topLinePunct w:val="0"/>
        <w:autoSpaceDE/>
        <w:autoSpaceDN/>
        <w:bidi w:val="0"/>
        <w:adjustRightInd/>
        <w:snapToGrid/>
        <w:spacing w:line="400" w:lineRule="exact"/>
        <w:textAlignment w:val="auto"/>
        <w:rPr>
          <w:rStyle w:val="32"/>
          <w:rFonts w:hint="eastAsia" w:ascii="宋体" w:hAnsi="宋体" w:eastAsia="宋体" w:cs="宋体"/>
          <w:b w:val="0"/>
          <w:bCs w:val="0"/>
          <w:color w:val="auto"/>
          <w:sz w:val="24"/>
          <w:szCs w:val="24"/>
          <w:highlight w:val="none"/>
        </w:rPr>
      </w:pPr>
      <w:r>
        <w:rPr>
          <w:rStyle w:val="32"/>
          <w:rFonts w:hint="eastAsia" w:ascii="宋体" w:hAnsi="宋体" w:eastAsia="宋体" w:cs="宋体"/>
          <w:b w:val="0"/>
          <w:bCs w:val="0"/>
          <w:color w:val="auto"/>
          <w:sz w:val="24"/>
          <w:szCs w:val="24"/>
          <w:highlight w:val="none"/>
        </w:rPr>
        <w:t>　　（一）农、林、牧、渔业。营业收入20000万元以下的为中小微型企业。其中，营业收入500万元及以上的为中型企业，营业收入50万元及以上的为小型企业，营业收入50万元以下的为微型企业。</w:t>
      </w:r>
    </w:p>
    <w:p w14:paraId="79E2F5AC">
      <w:pPr>
        <w:keepNext w:val="0"/>
        <w:keepLines w:val="0"/>
        <w:pageBreakBefore w:val="0"/>
        <w:widowControl w:val="0"/>
        <w:kinsoku/>
        <w:wordWrap/>
        <w:overflowPunct/>
        <w:topLinePunct w:val="0"/>
        <w:autoSpaceDE/>
        <w:autoSpaceDN/>
        <w:bidi w:val="0"/>
        <w:adjustRightInd/>
        <w:snapToGrid/>
        <w:spacing w:line="400" w:lineRule="exact"/>
        <w:textAlignment w:val="auto"/>
        <w:rPr>
          <w:rStyle w:val="32"/>
          <w:rFonts w:hint="eastAsia" w:ascii="宋体" w:hAnsi="宋体" w:eastAsia="宋体" w:cs="宋体"/>
          <w:b w:val="0"/>
          <w:bCs w:val="0"/>
          <w:color w:val="auto"/>
          <w:sz w:val="24"/>
          <w:szCs w:val="24"/>
          <w:highlight w:val="none"/>
        </w:rPr>
      </w:pPr>
      <w:r>
        <w:rPr>
          <w:rStyle w:val="32"/>
          <w:rFonts w:hint="eastAsia" w:ascii="宋体" w:hAnsi="宋体" w:eastAsia="宋体" w:cs="宋体"/>
          <w:b w:val="0"/>
          <w:bCs w:val="0"/>
          <w:color w:val="auto"/>
          <w:sz w:val="24"/>
          <w:szCs w:val="24"/>
          <w:highlight w:val="none"/>
        </w:rPr>
        <w:t>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3AA582AE">
      <w:pPr>
        <w:keepNext w:val="0"/>
        <w:keepLines w:val="0"/>
        <w:pageBreakBefore w:val="0"/>
        <w:widowControl w:val="0"/>
        <w:kinsoku/>
        <w:wordWrap/>
        <w:overflowPunct/>
        <w:topLinePunct w:val="0"/>
        <w:autoSpaceDE/>
        <w:autoSpaceDN/>
        <w:bidi w:val="0"/>
        <w:adjustRightInd/>
        <w:snapToGrid/>
        <w:spacing w:line="400" w:lineRule="exact"/>
        <w:textAlignment w:val="auto"/>
        <w:rPr>
          <w:rStyle w:val="32"/>
          <w:rFonts w:hint="eastAsia" w:ascii="宋体" w:hAnsi="宋体" w:eastAsia="宋体" w:cs="宋体"/>
          <w:b w:val="0"/>
          <w:bCs w:val="0"/>
          <w:color w:val="auto"/>
          <w:sz w:val="24"/>
          <w:szCs w:val="24"/>
          <w:highlight w:val="none"/>
        </w:rPr>
      </w:pPr>
      <w:r>
        <w:rPr>
          <w:rStyle w:val="32"/>
          <w:rFonts w:hint="eastAsia" w:ascii="宋体" w:hAnsi="宋体" w:eastAsia="宋体" w:cs="宋体"/>
          <w:b w:val="0"/>
          <w:bCs w:val="0"/>
          <w:color w:val="auto"/>
          <w:sz w:val="24"/>
          <w:szCs w:val="24"/>
          <w:highlight w:val="none"/>
        </w:rPr>
        <w:t>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521D138B">
      <w:pPr>
        <w:keepNext w:val="0"/>
        <w:keepLines w:val="0"/>
        <w:pageBreakBefore w:val="0"/>
        <w:widowControl w:val="0"/>
        <w:kinsoku/>
        <w:wordWrap/>
        <w:overflowPunct/>
        <w:topLinePunct w:val="0"/>
        <w:autoSpaceDE/>
        <w:autoSpaceDN/>
        <w:bidi w:val="0"/>
        <w:adjustRightInd/>
        <w:snapToGrid/>
        <w:spacing w:line="400" w:lineRule="exact"/>
        <w:textAlignment w:val="auto"/>
        <w:rPr>
          <w:rStyle w:val="32"/>
          <w:rFonts w:hint="eastAsia" w:ascii="宋体" w:hAnsi="宋体" w:eastAsia="宋体" w:cs="宋体"/>
          <w:b w:val="0"/>
          <w:bCs w:val="0"/>
          <w:color w:val="auto"/>
          <w:sz w:val="24"/>
          <w:szCs w:val="24"/>
          <w:highlight w:val="none"/>
        </w:rPr>
      </w:pPr>
      <w:r>
        <w:rPr>
          <w:rStyle w:val="32"/>
          <w:rFonts w:hint="eastAsia" w:ascii="宋体" w:hAnsi="宋体" w:eastAsia="宋体" w:cs="宋体"/>
          <w:b w:val="0"/>
          <w:bCs w:val="0"/>
          <w:color w:val="auto"/>
          <w:sz w:val="24"/>
          <w:szCs w:val="24"/>
          <w:highlight w:val="none"/>
        </w:rPr>
        <w:t>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217EB3B7">
      <w:pPr>
        <w:keepNext w:val="0"/>
        <w:keepLines w:val="0"/>
        <w:pageBreakBefore w:val="0"/>
        <w:widowControl w:val="0"/>
        <w:kinsoku/>
        <w:wordWrap/>
        <w:overflowPunct/>
        <w:topLinePunct w:val="0"/>
        <w:autoSpaceDE/>
        <w:autoSpaceDN/>
        <w:bidi w:val="0"/>
        <w:adjustRightInd/>
        <w:snapToGrid/>
        <w:spacing w:line="400" w:lineRule="exact"/>
        <w:textAlignment w:val="auto"/>
        <w:rPr>
          <w:rStyle w:val="32"/>
          <w:rFonts w:hint="eastAsia" w:ascii="宋体" w:hAnsi="宋体" w:eastAsia="宋体" w:cs="宋体"/>
          <w:b w:val="0"/>
          <w:bCs w:val="0"/>
          <w:color w:val="auto"/>
          <w:sz w:val="24"/>
          <w:szCs w:val="24"/>
          <w:highlight w:val="none"/>
        </w:rPr>
      </w:pPr>
      <w:r>
        <w:rPr>
          <w:rStyle w:val="32"/>
          <w:rFonts w:hint="eastAsia" w:ascii="宋体" w:hAnsi="宋体" w:eastAsia="宋体" w:cs="宋体"/>
          <w:b w:val="0"/>
          <w:bCs w:val="0"/>
          <w:color w:val="auto"/>
          <w:sz w:val="24"/>
          <w:szCs w:val="24"/>
          <w:highlight w:val="none"/>
        </w:rPr>
        <w:t>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1FEB118A">
      <w:pPr>
        <w:keepNext w:val="0"/>
        <w:keepLines w:val="0"/>
        <w:pageBreakBefore w:val="0"/>
        <w:widowControl w:val="0"/>
        <w:kinsoku/>
        <w:wordWrap/>
        <w:overflowPunct/>
        <w:topLinePunct w:val="0"/>
        <w:autoSpaceDE/>
        <w:autoSpaceDN/>
        <w:bidi w:val="0"/>
        <w:adjustRightInd/>
        <w:snapToGrid/>
        <w:spacing w:line="400" w:lineRule="exact"/>
        <w:textAlignment w:val="auto"/>
        <w:rPr>
          <w:rStyle w:val="32"/>
          <w:rFonts w:hint="eastAsia" w:ascii="宋体" w:hAnsi="宋体" w:eastAsia="宋体" w:cs="宋体"/>
          <w:b w:val="0"/>
          <w:bCs w:val="0"/>
          <w:color w:val="auto"/>
          <w:sz w:val="24"/>
          <w:szCs w:val="24"/>
          <w:highlight w:val="none"/>
        </w:rPr>
      </w:pPr>
      <w:r>
        <w:rPr>
          <w:rStyle w:val="32"/>
          <w:rFonts w:hint="eastAsia" w:ascii="宋体" w:hAnsi="宋体" w:eastAsia="宋体" w:cs="宋体"/>
          <w:b w:val="0"/>
          <w:bCs w:val="0"/>
          <w:color w:val="auto"/>
          <w:sz w:val="24"/>
          <w:szCs w:val="24"/>
          <w:highlight w:val="none"/>
        </w:rPr>
        <w:t>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7514A6D2">
      <w:pPr>
        <w:keepNext w:val="0"/>
        <w:keepLines w:val="0"/>
        <w:pageBreakBefore w:val="0"/>
        <w:widowControl w:val="0"/>
        <w:kinsoku/>
        <w:wordWrap/>
        <w:overflowPunct/>
        <w:topLinePunct w:val="0"/>
        <w:autoSpaceDE/>
        <w:autoSpaceDN/>
        <w:bidi w:val="0"/>
        <w:adjustRightInd/>
        <w:snapToGrid/>
        <w:spacing w:line="400" w:lineRule="exact"/>
        <w:textAlignment w:val="auto"/>
        <w:rPr>
          <w:rStyle w:val="32"/>
          <w:rFonts w:hint="eastAsia" w:ascii="宋体" w:hAnsi="宋体" w:eastAsia="宋体" w:cs="宋体"/>
          <w:b w:val="0"/>
          <w:bCs w:val="0"/>
          <w:color w:val="auto"/>
          <w:sz w:val="24"/>
          <w:szCs w:val="24"/>
          <w:highlight w:val="none"/>
        </w:rPr>
      </w:pPr>
      <w:r>
        <w:rPr>
          <w:rStyle w:val="32"/>
          <w:rFonts w:hint="eastAsia" w:ascii="宋体" w:hAnsi="宋体" w:eastAsia="宋体" w:cs="宋体"/>
          <w:b w:val="0"/>
          <w:bCs w:val="0"/>
          <w:color w:val="auto"/>
          <w:sz w:val="24"/>
          <w:szCs w:val="24"/>
          <w:highlight w:val="none"/>
        </w:rPr>
        <w:t>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3EFCEC98">
      <w:pPr>
        <w:keepNext w:val="0"/>
        <w:keepLines w:val="0"/>
        <w:pageBreakBefore w:val="0"/>
        <w:widowControl w:val="0"/>
        <w:kinsoku/>
        <w:wordWrap/>
        <w:overflowPunct/>
        <w:topLinePunct w:val="0"/>
        <w:autoSpaceDE/>
        <w:autoSpaceDN/>
        <w:bidi w:val="0"/>
        <w:adjustRightInd/>
        <w:snapToGrid/>
        <w:spacing w:line="400" w:lineRule="exact"/>
        <w:textAlignment w:val="auto"/>
        <w:rPr>
          <w:rStyle w:val="32"/>
          <w:rFonts w:hint="eastAsia" w:ascii="宋体" w:hAnsi="宋体" w:eastAsia="宋体" w:cs="宋体"/>
          <w:b w:val="0"/>
          <w:bCs w:val="0"/>
          <w:color w:val="auto"/>
          <w:sz w:val="24"/>
          <w:szCs w:val="24"/>
          <w:highlight w:val="none"/>
        </w:rPr>
      </w:pPr>
      <w:r>
        <w:rPr>
          <w:rStyle w:val="32"/>
          <w:rFonts w:hint="eastAsia" w:ascii="宋体" w:hAnsi="宋体" w:eastAsia="宋体" w:cs="宋体"/>
          <w:b w:val="0"/>
          <w:bCs w:val="0"/>
          <w:color w:val="auto"/>
          <w:sz w:val="24"/>
          <w:szCs w:val="24"/>
          <w:highlight w:val="none"/>
        </w:rPr>
        <w:t>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6D4D3E4D">
      <w:pPr>
        <w:keepNext w:val="0"/>
        <w:keepLines w:val="0"/>
        <w:pageBreakBefore w:val="0"/>
        <w:widowControl w:val="0"/>
        <w:kinsoku/>
        <w:wordWrap/>
        <w:overflowPunct/>
        <w:topLinePunct w:val="0"/>
        <w:autoSpaceDE/>
        <w:autoSpaceDN/>
        <w:bidi w:val="0"/>
        <w:adjustRightInd/>
        <w:snapToGrid/>
        <w:spacing w:line="400" w:lineRule="exact"/>
        <w:textAlignment w:val="auto"/>
        <w:rPr>
          <w:rStyle w:val="32"/>
          <w:rFonts w:hint="eastAsia" w:ascii="宋体" w:hAnsi="宋体" w:eastAsia="宋体" w:cs="宋体"/>
          <w:b w:val="0"/>
          <w:bCs w:val="0"/>
          <w:color w:val="auto"/>
          <w:sz w:val="24"/>
          <w:szCs w:val="24"/>
          <w:highlight w:val="none"/>
        </w:rPr>
      </w:pPr>
      <w:r>
        <w:rPr>
          <w:rStyle w:val="32"/>
          <w:rFonts w:hint="eastAsia" w:ascii="宋体" w:hAnsi="宋体" w:eastAsia="宋体" w:cs="宋体"/>
          <w:b w:val="0"/>
          <w:bCs w:val="0"/>
          <w:color w:val="auto"/>
          <w:sz w:val="24"/>
          <w:szCs w:val="24"/>
          <w:highlight w:val="none"/>
        </w:rPr>
        <w:t>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6A462725">
      <w:pPr>
        <w:keepNext w:val="0"/>
        <w:keepLines w:val="0"/>
        <w:pageBreakBefore w:val="0"/>
        <w:widowControl w:val="0"/>
        <w:kinsoku/>
        <w:wordWrap/>
        <w:overflowPunct/>
        <w:topLinePunct w:val="0"/>
        <w:autoSpaceDE/>
        <w:autoSpaceDN/>
        <w:bidi w:val="0"/>
        <w:adjustRightInd/>
        <w:snapToGrid/>
        <w:spacing w:line="400" w:lineRule="exact"/>
        <w:textAlignment w:val="auto"/>
        <w:rPr>
          <w:rStyle w:val="32"/>
          <w:rFonts w:hint="eastAsia" w:ascii="宋体" w:hAnsi="宋体" w:eastAsia="宋体" w:cs="宋体"/>
          <w:b w:val="0"/>
          <w:bCs w:val="0"/>
          <w:color w:val="auto"/>
          <w:sz w:val="24"/>
          <w:szCs w:val="24"/>
          <w:highlight w:val="none"/>
        </w:rPr>
      </w:pPr>
      <w:r>
        <w:rPr>
          <w:rStyle w:val="32"/>
          <w:rFonts w:hint="eastAsia" w:ascii="宋体" w:hAnsi="宋体" w:eastAsia="宋体" w:cs="宋体"/>
          <w:b w:val="0"/>
          <w:bCs w:val="0"/>
          <w:color w:val="auto"/>
          <w:sz w:val="24"/>
          <w:szCs w:val="24"/>
          <w:highlight w:val="none"/>
        </w:rPr>
        <w:t>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537CBAA6">
      <w:pPr>
        <w:keepNext w:val="0"/>
        <w:keepLines w:val="0"/>
        <w:pageBreakBefore w:val="0"/>
        <w:widowControl w:val="0"/>
        <w:kinsoku/>
        <w:wordWrap/>
        <w:overflowPunct/>
        <w:topLinePunct w:val="0"/>
        <w:autoSpaceDE/>
        <w:autoSpaceDN/>
        <w:bidi w:val="0"/>
        <w:adjustRightInd/>
        <w:snapToGrid/>
        <w:spacing w:line="400" w:lineRule="exact"/>
        <w:textAlignment w:val="auto"/>
        <w:rPr>
          <w:rStyle w:val="32"/>
          <w:rFonts w:hint="eastAsia" w:ascii="宋体" w:hAnsi="宋体" w:eastAsia="宋体" w:cs="宋体"/>
          <w:b w:val="0"/>
          <w:bCs w:val="0"/>
          <w:color w:val="auto"/>
          <w:sz w:val="24"/>
          <w:szCs w:val="24"/>
          <w:highlight w:val="none"/>
        </w:rPr>
      </w:pPr>
      <w:r>
        <w:rPr>
          <w:rStyle w:val="32"/>
          <w:rFonts w:hint="eastAsia" w:ascii="宋体" w:hAnsi="宋体" w:eastAsia="宋体" w:cs="宋体"/>
          <w:b w:val="0"/>
          <w:bCs w:val="0"/>
          <w:color w:val="auto"/>
          <w:sz w:val="24"/>
          <w:szCs w:val="24"/>
          <w:highlight w:val="none"/>
        </w:rPr>
        <w:t>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710AAA96">
      <w:pPr>
        <w:keepNext w:val="0"/>
        <w:keepLines w:val="0"/>
        <w:pageBreakBefore w:val="0"/>
        <w:widowControl w:val="0"/>
        <w:kinsoku/>
        <w:wordWrap/>
        <w:overflowPunct/>
        <w:topLinePunct w:val="0"/>
        <w:autoSpaceDE/>
        <w:autoSpaceDN/>
        <w:bidi w:val="0"/>
        <w:adjustRightInd/>
        <w:snapToGrid/>
        <w:spacing w:line="400" w:lineRule="exact"/>
        <w:textAlignment w:val="auto"/>
        <w:rPr>
          <w:rStyle w:val="32"/>
          <w:rFonts w:hint="eastAsia" w:ascii="宋体" w:hAnsi="宋体" w:eastAsia="宋体" w:cs="宋体"/>
          <w:b w:val="0"/>
          <w:bCs w:val="0"/>
          <w:color w:val="auto"/>
          <w:sz w:val="24"/>
          <w:szCs w:val="24"/>
          <w:highlight w:val="none"/>
        </w:rPr>
      </w:pPr>
      <w:r>
        <w:rPr>
          <w:rStyle w:val="32"/>
          <w:rFonts w:hint="eastAsia" w:ascii="宋体" w:hAnsi="宋体" w:eastAsia="宋体" w:cs="宋体"/>
          <w:b w:val="0"/>
          <w:bCs w:val="0"/>
          <w:color w:val="auto"/>
          <w:sz w:val="24"/>
          <w:szCs w:val="24"/>
          <w:highlight w:val="none"/>
        </w:rPr>
        <w:t>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1EC394A7">
      <w:pPr>
        <w:keepNext w:val="0"/>
        <w:keepLines w:val="0"/>
        <w:pageBreakBefore w:val="0"/>
        <w:widowControl w:val="0"/>
        <w:kinsoku/>
        <w:wordWrap/>
        <w:overflowPunct/>
        <w:topLinePunct w:val="0"/>
        <w:autoSpaceDE/>
        <w:autoSpaceDN/>
        <w:bidi w:val="0"/>
        <w:adjustRightInd/>
        <w:snapToGrid/>
        <w:spacing w:line="400" w:lineRule="exact"/>
        <w:textAlignment w:val="auto"/>
        <w:rPr>
          <w:rStyle w:val="32"/>
          <w:rFonts w:hint="eastAsia" w:ascii="宋体" w:hAnsi="宋体" w:eastAsia="宋体" w:cs="宋体"/>
          <w:b w:val="0"/>
          <w:bCs w:val="0"/>
          <w:color w:val="auto"/>
          <w:sz w:val="24"/>
          <w:szCs w:val="24"/>
          <w:highlight w:val="none"/>
        </w:rPr>
      </w:pPr>
      <w:r>
        <w:rPr>
          <w:rStyle w:val="32"/>
          <w:rFonts w:hint="eastAsia" w:ascii="宋体" w:hAnsi="宋体" w:eastAsia="宋体" w:cs="宋体"/>
          <w:b w:val="0"/>
          <w:bCs w:val="0"/>
          <w:color w:val="auto"/>
          <w:sz w:val="24"/>
          <w:szCs w:val="24"/>
          <w:highlight w:val="none"/>
        </w:rPr>
        <w:t>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61121D1E">
      <w:pPr>
        <w:keepNext w:val="0"/>
        <w:keepLines w:val="0"/>
        <w:pageBreakBefore w:val="0"/>
        <w:widowControl w:val="0"/>
        <w:kinsoku/>
        <w:wordWrap/>
        <w:overflowPunct/>
        <w:topLinePunct w:val="0"/>
        <w:autoSpaceDE/>
        <w:autoSpaceDN/>
        <w:bidi w:val="0"/>
        <w:adjustRightInd/>
        <w:snapToGrid/>
        <w:spacing w:line="400" w:lineRule="exact"/>
        <w:textAlignment w:val="auto"/>
        <w:rPr>
          <w:rStyle w:val="32"/>
          <w:rFonts w:hint="eastAsia" w:ascii="宋体" w:hAnsi="宋体" w:eastAsia="宋体" w:cs="宋体"/>
          <w:b w:val="0"/>
          <w:bCs w:val="0"/>
          <w:color w:val="auto"/>
          <w:sz w:val="24"/>
          <w:szCs w:val="24"/>
          <w:highlight w:val="none"/>
        </w:rPr>
      </w:pPr>
      <w:r>
        <w:rPr>
          <w:rStyle w:val="32"/>
          <w:rFonts w:hint="eastAsia" w:ascii="宋体" w:hAnsi="宋体" w:eastAsia="宋体" w:cs="宋体"/>
          <w:b w:val="0"/>
          <w:bCs w:val="0"/>
          <w:color w:val="auto"/>
          <w:sz w:val="24"/>
          <w:szCs w:val="24"/>
          <w:highlight w:val="none"/>
        </w:rPr>
        <w:t>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46AB8718">
      <w:pPr>
        <w:keepNext w:val="0"/>
        <w:keepLines w:val="0"/>
        <w:pageBreakBefore w:val="0"/>
        <w:widowControl w:val="0"/>
        <w:kinsoku/>
        <w:wordWrap/>
        <w:overflowPunct/>
        <w:topLinePunct w:val="0"/>
        <w:autoSpaceDE/>
        <w:autoSpaceDN/>
        <w:bidi w:val="0"/>
        <w:adjustRightInd/>
        <w:snapToGrid/>
        <w:spacing w:line="400" w:lineRule="exact"/>
        <w:textAlignment w:val="auto"/>
        <w:rPr>
          <w:rStyle w:val="32"/>
          <w:rFonts w:hint="eastAsia" w:ascii="宋体" w:hAnsi="宋体" w:eastAsia="宋体" w:cs="宋体"/>
          <w:b w:val="0"/>
          <w:bCs w:val="0"/>
          <w:color w:val="auto"/>
          <w:sz w:val="24"/>
          <w:szCs w:val="24"/>
          <w:highlight w:val="none"/>
        </w:rPr>
      </w:pPr>
      <w:r>
        <w:rPr>
          <w:rStyle w:val="32"/>
          <w:rFonts w:hint="eastAsia" w:ascii="宋体" w:hAnsi="宋体" w:eastAsia="宋体" w:cs="宋体"/>
          <w:b w:val="0"/>
          <w:bCs w:val="0"/>
          <w:color w:val="auto"/>
          <w:sz w:val="24"/>
          <w:szCs w:val="24"/>
          <w:highlight w:val="none"/>
        </w:rPr>
        <w:t>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40881398">
      <w:pPr>
        <w:keepNext w:val="0"/>
        <w:keepLines w:val="0"/>
        <w:pageBreakBefore w:val="0"/>
        <w:widowControl w:val="0"/>
        <w:kinsoku/>
        <w:wordWrap/>
        <w:overflowPunct/>
        <w:topLinePunct w:val="0"/>
        <w:autoSpaceDE/>
        <w:autoSpaceDN/>
        <w:bidi w:val="0"/>
        <w:adjustRightInd/>
        <w:snapToGrid/>
        <w:spacing w:line="400" w:lineRule="exact"/>
        <w:textAlignment w:val="auto"/>
        <w:rPr>
          <w:rStyle w:val="32"/>
          <w:rFonts w:hint="eastAsia" w:ascii="宋体" w:hAnsi="宋体" w:eastAsia="宋体" w:cs="宋体"/>
          <w:b w:val="0"/>
          <w:bCs w:val="0"/>
          <w:color w:val="auto"/>
          <w:sz w:val="24"/>
          <w:szCs w:val="24"/>
          <w:highlight w:val="none"/>
        </w:rPr>
      </w:pPr>
      <w:r>
        <w:rPr>
          <w:rStyle w:val="32"/>
          <w:rFonts w:hint="eastAsia" w:ascii="宋体" w:hAnsi="宋体" w:eastAsia="宋体" w:cs="宋体"/>
          <w:b w:val="0"/>
          <w:bCs w:val="0"/>
          <w:color w:val="auto"/>
          <w:sz w:val="24"/>
          <w:szCs w:val="24"/>
          <w:highlight w:val="none"/>
        </w:rPr>
        <w:t>（十六）其他未列明行业。从业人员300人以下的为中小微型企业。其中，从业人员100人及以上的为中型企业；从业人员10人及以上的为小型企业；从业人员10人以下的为微型企业。　　</w:t>
      </w:r>
    </w:p>
    <w:p w14:paraId="509B953B">
      <w:pPr>
        <w:keepNext w:val="0"/>
        <w:keepLines w:val="0"/>
        <w:pageBreakBefore w:val="0"/>
        <w:widowControl w:val="0"/>
        <w:kinsoku/>
        <w:wordWrap/>
        <w:overflowPunct/>
        <w:topLinePunct w:val="0"/>
        <w:autoSpaceDE/>
        <w:autoSpaceDN/>
        <w:bidi w:val="0"/>
        <w:adjustRightInd/>
        <w:snapToGrid/>
        <w:spacing w:line="400" w:lineRule="exact"/>
        <w:textAlignment w:val="auto"/>
        <w:rPr>
          <w:rStyle w:val="32"/>
          <w:rFonts w:hint="eastAsia" w:ascii="宋体" w:hAnsi="宋体" w:eastAsia="宋体" w:cs="宋体"/>
          <w:b w:val="0"/>
          <w:bCs w:val="0"/>
          <w:color w:val="auto"/>
          <w:sz w:val="24"/>
          <w:szCs w:val="24"/>
          <w:highlight w:val="none"/>
        </w:rPr>
      </w:pPr>
      <w:r>
        <w:rPr>
          <w:rStyle w:val="32"/>
          <w:rFonts w:hint="eastAsia" w:ascii="宋体" w:hAnsi="宋体" w:eastAsia="宋体" w:cs="宋体"/>
          <w:b w:val="0"/>
          <w:bCs w:val="0"/>
          <w:color w:val="auto"/>
          <w:sz w:val="24"/>
          <w:szCs w:val="24"/>
          <w:highlight w:val="none"/>
        </w:rPr>
        <w:t>五、企业类型的划分以统计部门的统计数据为依据。</w:t>
      </w:r>
    </w:p>
    <w:p w14:paraId="77228C0D">
      <w:pPr>
        <w:keepNext w:val="0"/>
        <w:keepLines w:val="0"/>
        <w:pageBreakBefore w:val="0"/>
        <w:widowControl w:val="0"/>
        <w:kinsoku/>
        <w:wordWrap/>
        <w:overflowPunct/>
        <w:topLinePunct w:val="0"/>
        <w:autoSpaceDE/>
        <w:autoSpaceDN/>
        <w:bidi w:val="0"/>
        <w:adjustRightInd/>
        <w:snapToGrid/>
        <w:spacing w:line="400" w:lineRule="exact"/>
        <w:textAlignment w:val="auto"/>
        <w:rPr>
          <w:rStyle w:val="32"/>
          <w:rFonts w:hint="eastAsia" w:ascii="宋体" w:hAnsi="宋体" w:eastAsia="宋体" w:cs="宋体"/>
          <w:b w:val="0"/>
          <w:bCs w:val="0"/>
          <w:color w:val="auto"/>
          <w:sz w:val="24"/>
          <w:szCs w:val="24"/>
          <w:highlight w:val="none"/>
        </w:rPr>
      </w:pPr>
      <w:r>
        <w:rPr>
          <w:rStyle w:val="32"/>
          <w:rFonts w:hint="eastAsia" w:ascii="宋体" w:hAnsi="宋体" w:eastAsia="宋体" w:cs="宋体"/>
          <w:b w:val="0"/>
          <w:bCs w:val="0"/>
          <w:color w:val="auto"/>
          <w:sz w:val="24"/>
          <w:szCs w:val="24"/>
          <w:highlight w:val="none"/>
        </w:rPr>
        <w:t>　　六、本规定适用于在中华人民共和国境内依法设立的各类所有制和各种组织形式的企业。个体工商户和本规定以外的行业，参照本规定进行划型。</w:t>
      </w:r>
    </w:p>
    <w:p w14:paraId="5F4BB8EA">
      <w:pPr>
        <w:keepNext w:val="0"/>
        <w:keepLines w:val="0"/>
        <w:pageBreakBefore w:val="0"/>
        <w:widowControl w:val="0"/>
        <w:kinsoku/>
        <w:wordWrap/>
        <w:overflowPunct/>
        <w:topLinePunct w:val="0"/>
        <w:autoSpaceDE/>
        <w:autoSpaceDN/>
        <w:bidi w:val="0"/>
        <w:adjustRightInd/>
        <w:snapToGrid/>
        <w:spacing w:line="400" w:lineRule="exact"/>
        <w:textAlignment w:val="auto"/>
        <w:rPr>
          <w:rStyle w:val="32"/>
          <w:rFonts w:hint="eastAsia" w:ascii="宋体" w:hAnsi="宋体" w:eastAsia="宋体" w:cs="宋体"/>
          <w:b w:val="0"/>
          <w:bCs w:val="0"/>
          <w:color w:val="auto"/>
          <w:sz w:val="24"/>
          <w:szCs w:val="24"/>
          <w:highlight w:val="none"/>
        </w:rPr>
      </w:pPr>
      <w:r>
        <w:rPr>
          <w:rStyle w:val="32"/>
          <w:rFonts w:hint="eastAsia" w:ascii="宋体" w:hAnsi="宋体" w:eastAsia="宋体" w:cs="宋体"/>
          <w:b w:val="0"/>
          <w:bCs w:val="0"/>
          <w:color w:val="auto"/>
          <w:sz w:val="24"/>
          <w:szCs w:val="24"/>
          <w:highlight w:val="none"/>
        </w:rPr>
        <w:t>　　七、本规定的中型企业标准上限即为大型企业标准的下限，国家统计部门据此制定大中小微型企业的统计分类。国务院有关部门据此进行相关数据分析，不得制定与本规定不一致的企业划型标准。</w:t>
      </w:r>
    </w:p>
    <w:p w14:paraId="0450AEC1">
      <w:pPr>
        <w:keepNext w:val="0"/>
        <w:keepLines w:val="0"/>
        <w:pageBreakBefore w:val="0"/>
        <w:widowControl w:val="0"/>
        <w:kinsoku/>
        <w:wordWrap/>
        <w:overflowPunct/>
        <w:topLinePunct w:val="0"/>
        <w:autoSpaceDE/>
        <w:autoSpaceDN/>
        <w:bidi w:val="0"/>
        <w:adjustRightInd/>
        <w:snapToGrid/>
        <w:spacing w:line="400" w:lineRule="exact"/>
        <w:textAlignment w:val="auto"/>
        <w:rPr>
          <w:rStyle w:val="32"/>
          <w:rFonts w:hint="eastAsia" w:ascii="宋体" w:hAnsi="宋体" w:eastAsia="宋体" w:cs="宋体"/>
          <w:b w:val="0"/>
          <w:bCs w:val="0"/>
          <w:color w:val="auto"/>
          <w:sz w:val="24"/>
          <w:szCs w:val="24"/>
          <w:highlight w:val="none"/>
        </w:rPr>
      </w:pPr>
      <w:r>
        <w:rPr>
          <w:rStyle w:val="32"/>
          <w:rFonts w:hint="eastAsia" w:ascii="宋体" w:hAnsi="宋体" w:eastAsia="宋体" w:cs="宋体"/>
          <w:b w:val="0"/>
          <w:bCs w:val="0"/>
          <w:color w:val="auto"/>
          <w:sz w:val="24"/>
          <w:szCs w:val="24"/>
          <w:highlight w:val="none"/>
        </w:rPr>
        <w:t>　　八、本规定由工业和信息化部、国家统计局会同有关部门根据《国民经济行业分类》修订情况和企业发展变化情况适时修订。</w:t>
      </w:r>
    </w:p>
    <w:p w14:paraId="69D789A4">
      <w:pPr>
        <w:keepNext w:val="0"/>
        <w:keepLines w:val="0"/>
        <w:pageBreakBefore w:val="0"/>
        <w:widowControl w:val="0"/>
        <w:kinsoku/>
        <w:wordWrap/>
        <w:overflowPunct/>
        <w:topLinePunct w:val="0"/>
        <w:autoSpaceDE/>
        <w:autoSpaceDN/>
        <w:bidi w:val="0"/>
        <w:adjustRightInd/>
        <w:snapToGrid/>
        <w:spacing w:line="400" w:lineRule="exact"/>
        <w:textAlignment w:val="auto"/>
        <w:rPr>
          <w:rStyle w:val="32"/>
          <w:rFonts w:hint="eastAsia" w:ascii="宋体" w:hAnsi="宋体" w:eastAsia="宋体" w:cs="宋体"/>
          <w:b w:val="0"/>
          <w:bCs w:val="0"/>
          <w:color w:val="auto"/>
          <w:sz w:val="24"/>
          <w:szCs w:val="24"/>
          <w:highlight w:val="none"/>
        </w:rPr>
      </w:pPr>
      <w:r>
        <w:rPr>
          <w:rStyle w:val="32"/>
          <w:rFonts w:hint="eastAsia" w:ascii="宋体" w:hAnsi="宋体" w:eastAsia="宋体" w:cs="宋体"/>
          <w:b w:val="0"/>
          <w:bCs w:val="0"/>
          <w:color w:val="auto"/>
          <w:sz w:val="24"/>
          <w:szCs w:val="24"/>
          <w:highlight w:val="none"/>
        </w:rPr>
        <w:t>　　九、本规定由工业和信息化部、国家统计局会同有关部门负责解释。</w:t>
      </w:r>
    </w:p>
    <w:p w14:paraId="4299A031">
      <w:pPr>
        <w:keepNext w:val="0"/>
        <w:keepLines w:val="0"/>
        <w:pageBreakBefore w:val="0"/>
        <w:widowControl w:val="0"/>
        <w:kinsoku/>
        <w:wordWrap/>
        <w:overflowPunct/>
        <w:topLinePunct w:val="0"/>
        <w:autoSpaceDE/>
        <w:autoSpaceDN/>
        <w:bidi w:val="0"/>
        <w:adjustRightInd/>
        <w:snapToGrid/>
        <w:spacing w:line="400" w:lineRule="exact"/>
        <w:textAlignment w:val="auto"/>
        <w:rPr>
          <w:rStyle w:val="32"/>
          <w:rFonts w:hint="eastAsia" w:ascii="宋体" w:hAnsi="宋体" w:eastAsia="宋体" w:cs="宋体"/>
          <w:b w:val="0"/>
          <w:bCs w:val="0"/>
          <w:color w:val="auto"/>
          <w:sz w:val="24"/>
          <w:szCs w:val="24"/>
          <w:highlight w:val="none"/>
        </w:rPr>
      </w:pPr>
      <w:r>
        <w:rPr>
          <w:rStyle w:val="32"/>
          <w:rFonts w:hint="eastAsia" w:ascii="宋体" w:hAnsi="宋体" w:eastAsia="宋体" w:cs="宋体"/>
          <w:b w:val="0"/>
          <w:bCs w:val="0"/>
          <w:color w:val="auto"/>
          <w:sz w:val="24"/>
          <w:szCs w:val="24"/>
          <w:highlight w:val="none"/>
        </w:rPr>
        <w:t>十、本规定自发布之日起执行，原国家经贸委、原国家计委、财政部和国家统计局2003年颁布的《中小企业标准暂行规定》同时废止。</w:t>
      </w:r>
    </w:p>
    <w:p w14:paraId="5BCE9D64">
      <w:pPr>
        <w:rPr>
          <w:rFonts w:cs="宋体"/>
          <w:color w:val="auto"/>
          <w:spacing w:val="6"/>
          <w:sz w:val="21"/>
          <w:szCs w:val="21"/>
          <w:highlight w:val="none"/>
        </w:rPr>
      </w:pPr>
      <w:r>
        <w:rPr>
          <w:rFonts w:cs="宋体"/>
          <w:color w:val="auto"/>
          <w:spacing w:val="6"/>
          <w:sz w:val="21"/>
          <w:szCs w:val="21"/>
          <w:highlight w:val="none"/>
        </w:rPr>
        <w:br w:type="page"/>
      </w:r>
    </w:p>
    <w:p w14:paraId="07DD5967">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eastAsia="宋体"/>
          <w:b/>
          <w:bCs/>
          <w:color w:val="auto"/>
          <w:highlight w:val="none"/>
          <w:lang w:val="en-US" w:eastAsia="zh-CN"/>
        </w:rPr>
      </w:pPr>
      <w:bookmarkStart w:id="634" w:name="_Toc163492940"/>
      <w:r>
        <w:rPr>
          <w:rFonts w:hint="eastAsia"/>
          <w:b/>
          <w:bCs/>
          <w:color w:val="auto"/>
          <w:highlight w:val="none"/>
          <w:lang w:val="en-US" w:eastAsia="zh-CN"/>
        </w:rPr>
        <w:t>附件3：</w:t>
      </w:r>
    </w:p>
    <w:p w14:paraId="754A877D">
      <w:pPr>
        <w:rPr>
          <w:rFonts w:hint="eastAsia" w:cs="宋体"/>
          <w:color w:val="auto"/>
          <w:spacing w:val="6"/>
          <w:sz w:val="21"/>
          <w:szCs w:val="21"/>
          <w:highlight w:val="none"/>
        </w:rPr>
      </w:pPr>
    </w:p>
    <w:p w14:paraId="36D4DB1B">
      <w:pPr>
        <w:pStyle w:val="17"/>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val="0"/>
          <w:color w:val="auto"/>
          <w:sz w:val="32"/>
          <w:szCs w:val="32"/>
          <w:highlight w:val="none"/>
        </w:rPr>
      </w:pPr>
      <w:r>
        <w:rPr>
          <w:rFonts w:hint="eastAsia" w:ascii="宋体" w:hAnsi="宋体" w:eastAsia="宋体" w:cs="宋体"/>
          <w:b/>
          <w:bCs w:val="0"/>
          <w:color w:val="auto"/>
          <w:sz w:val="32"/>
          <w:szCs w:val="32"/>
          <w:highlight w:val="none"/>
        </w:rPr>
        <w:t>关于印发《金融业企业划型标准规定》的通知</w:t>
      </w:r>
    </w:p>
    <w:p w14:paraId="46F847F3">
      <w:pPr>
        <w:jc w:val="center"/>
        <w:rPr>
          <w:rStyle w:val="32"/>
          <w:rFonts w:hint="eastAsia" w:ascii="宋体" w:hAnsi="宋体" w:eastAsia="宋体" w:cs="宋体"/>
          <w:b w:val="0"/>
          <w:color w:val="auto"/>
          <w:sz w:val="24"/>
          <w:szCs w:val="24"/>
          <w:highlight w:val="none"/>
        </w:rPr>
      </w:pPr>
      <w:r>
        <w:rPr>
          <w:rStyle w:val="32"/>
          <w:rFonts w:hint="eastAsia" w:ascii="宋体" w:hAnsi="宋体" w:eastAsia="宋体" w:cs="宋体"/>
          <w:b w:val="0"/>
          <w:color w:val="auto"/>
          <w:sz w:val="24"/>
          <w:szCs w:val="24"/>
          <w:highlight w:val="none"/>
        </w:rPr>
        <w:t>银发〔2015〕309号</w:t>
      </w:r>
    </w:p>
    <w:p w14:paraId="6EBA1AEF">
      <w:pPr>
        <w:keepNext w:val="0"/>
        <w:keepLines w:val="0"/>
        <w:pageBreakBefore w:val="0"/>
        <w:widowControl w:val="0"/>
        <w:kinsoku/>
        <w:wordWrap/>
        <w:overflowPunct/>
        <w:topLinePunct w:val="0"/>
        <w:autoSpaceDE/>
        <w:autoSpaceDN/>
        <w:bidi w:val="0"/>
        <w:adjustRightInd/>
        <w:snapToGrid/>
        <w:spacing w:line="460" w:lineRule="exact"/>
        <w:ind w:firstLine="483"/>
        <w:textAlignment w:val="auto"/>
        <w:rPr>
          <w:rStyle w:val="32"/>
          <w:rFonts w:hint="eastAsia" w:ascii="宋体" w:hAnsi="宋体" w:eastAsia="宋体" w:cs="宋体"/>
          <w:b w:val="0"/>
          <w:bCs w:val="0"/>
          <w:color w:val="auto"/>
          <w:sz w:val="24"/>
          <w:szCs w:val="24"/>
          <w:highlight w:val="none"/>
        </w:rPr>
      </w:pPr>
      <w:r>
        <w:rPr>
          <w:rStyle w:val="32"/>
          <w:rFonts w:hint="eastAsia" w:ascii="宋体" w:hAnsi="宋体" w:eastAsia="宋体" w:cs="宋体"/>
          <w:b w:val="0"/>
          <w:bCs w:val="0"/>
          <w:color w:val="auto"/>
          <w:sz w:val="24"/>
          <w:szCs w:val="24"/>
          <w:highlight w:val="none"/>
        </w:rPr>
        <w:t>为进一步贯彻落实《中华人民共和国中小企业促进法》、《国务院关于进一步促进中小企业发展的若干意见》（国发〔2009〕36号）、《国务院办公厅关于金融支持小微企业发展的实施意见》（国办发〔2013〕87号），推动中小金融机构健康发展，加大金融对实体经济的支持，人民银行会同银监会、证监会、保监会和国家统计局联合研究制定了《金融业企业划型标准规定》（见附件）。经国务院同意，现印发给你们，请遵照执行。</w:t>
      </w:r>
    </w:p>
    <w:p w14:paraId="12B6BFCB">
      <w:pPr>
        <w:keepNext w:val="0"/>
        <w:keepLines w:val="0"/>
        <w:pageBreakBefore w:val="0"/>
        <w:widowControl w:val="0"/>
        <w:kinsoku/>
        <w:wordWrap/>
        <w:overflowPunct/>
        <w:topLinePunct w:val="0"/>
        <w:autoSpaceDE/>
        <w:autoSpaceDN/>
        <w:bidi w:val="0"/>
        <w:adjustRightInd/>
        <w:snapToGrid/>
        <w:spacing w:line="460" w:lineRule="exact"/>
        <w:ind w:firstLine="483"/>
        <w:textAlignment w:val="auto"/>
        <w:rPr>
          <w:rStyle w:val="32"/>
          <w:rFonts w:hint="eastAsia" w:ascii="宋体" w:hAnsi="宋体" w:eastAsia="宋体" w:cs="宋体"/>
          <w:b w:val="0"/>
          <w:bCs w:val="0"/>
          <w:color w:val="auto"/>
          <w:sz w:val="24"/>
          <w:szCs w:val="24"/>
          <w:highlight w:val="none"/>
        </w:rPr>
      </w:pPr>
      <w:r>
        <w:rPr>
          <w:rStyle w:val="32"/>
          <w:rFonts w:hint="eastAsia" w:ascii="宋体" w:hAnsi="宋体" w:eastAsia="宋体" w:cs="宋体"/>
          <w:b w:val="0"/>
          <w:bCs w:val="0"/>
          <w:color w:val="auto"/>
          <w:sz w:val="24"/>
          <w:szCs w:val="24"/>
          <w:highlight w:val="none"/>
        </w:rPr>
        <w:t>请人民银行上海总部，各分行、营业管理部、省会（首府）城市中心支行、副省级城市中心支行会同所在省（区、市）银监局、证监局、保监局、统计局将本通知联合转发至辖内相关机构。</w:t>
      </w:r>
    </w:p>
    <w:p w14:paraId="53F6A9E3">
      <w:pPr>
        <w:keepNext w:val="0"/>
        <w:keepLines w:val="0"/>
        <w:pageBreakBefore w:val="0"/>
        <w:widowControl w:val="0"/>
        <w:kinsoku/>
        <w:wordWrap/>
        <w:overflowPunct/>
        <w:topLinePunct w:val="0"/>
        <w:autoSpaceDE/>
        <w:autoSpaceDN/>
        <w:bidi w:val="0"/>
        <w:adjustRightInd/>
        <w:snapToGrid/>
        <w:spacing w:line="460" w:lineRule="exact"/>
        <w:ind w:firstLine="483"/>
        <w:textAlignment w:val="auto"/>
        <w:rPr>
          <w:rStyle w:val="32"/>
          <w:rFonts w:hint="eastAsia" w:ascii="宋体" w:hAnsi="宋体" w:eastAsia="宋体" w:cs="宋体"/>
          <w:b w:val="0"/>
          <w:bCs w:val="0"/>
          <w:color w:val="auto"/>
          <w:sz w:val="24"/>
          <w:szCs w:val="24"/>
          <w:highlight w:val="none"/>
        </w:rPr>
      </w:pPr>
    </w:p>
    <w:p w14:paraId="5AE5F476">
      <w:pPr>
        <w:keepNext w:val="0"/>
        <w:keepLines w:val="0"/>
        <w:pageBreakBefore w:val="0"/>
        <w:widowControl w:val="0"/>
        <w:kinsoku/>
        <w:wordWrap/>
        <w:overflowPunct/>
        <w:topLinePunct w:val="0"/>
        <w:autoSpaceDE/>
        <w:autoSpaceDN/>
        <w:bidi w:val="0"/>
        <w:adjustRightInd/>
        <w:snapToGrid/>
        <w:spacing w:line="460" w:lineRule="exact"/>
        <w:ind w:firstLine="483"/>
        <w:textAlignment w:val="auto"/>
        <w:rPr>
          <w:rStyle w:val="32"/>
          <w:rFonts w:hint="eastAsia" w:ascii="宋体" w:hAnsi="宋体" w:eastAsia="宋体" w:cs="宋体"/>
          <w:b w:val="0"/>
          <w:bCs w:val="0"/>
          <w:color w:val="auto"/>
          <w:sz w:val="24"/>
          <w:szCs w:val="24"/>
          <w:highlight w:val="none"/>
        </w:rPr>
      </w:pPr>
      <w:r>
        <w:rPr>
          <w:rStyle w:val="32"/>
          <w:rFonts w:hint="eastAsia" w:ascii="宋体" w:hAnsi="宋体" w:eastAsia="宋体" w:cs="宋体"/>
          <w:b w:val="0"/>
          <w:bCs w:val="0"/>
          <w:color w:val="auto"/>
          <w:sz w:val="24"/>
          <w:szCs w:val="24"/>
          <w:highlight w:val="none"/>
        </w:rPr>
        <w:t>附件：金融业企业划型标准规定</w:t>
      </w:r>
    </w:p>
    <w:p w14:paraId="575D4BF4">
      <w:pPr>
        <w:keepNext w:val="0"/>
        <w:keepLines w:val="0"/>
        <w:pageBreakBefore w:val="0"/>
        <w:widowControl w:val="0"/>
        <w:kinsoku/>
        <w:wordWrap/>
        <w:overflowPunct/>
        <w:topLinePunct w:val="0"/>
        <w:autoSpaceDE/>
        <w:autoSpaceDN/>
        <w:bidi w:val="0"/>
        <w:adjustRightInd/>
        <w:snapToGrid/>
        <w:spacing w:line="460" w:lineRule="exact"/>
        <w:textAlignment w:val="auto"/>
        <w:rPr>
          <w:rStyle w:val="32"/>
          <w:rFonts w:hint="eastAsia" w:ascii="宋体" w:hAnsi="宋体" w:eastAsia="宋体" w:cs="宋体"/>
          <w:b w:val="0"/>
          <w:bCs w:val="0"/>
          <w:color w:val="auto"/>
          <w:sz w:val="24"/>
          <w:szCs w:val="24"/>
          <w:highlight w:val="none"/>
        </w:rPr>
      </w:pPr>
      <w:r>
        <w:rPr>
          <w:rFonts w:hint="eastAsia" w:cs="宋体"/>
          <w:color w:val="auto"/>
          <w:spacing w:val="6"/>
          <w:sz w:val="24"/>
          <w:szCs w:val="24"/>
          <w:highlight w:val="none"/>
        </w:rPr>
        <w:t>                                      </w:t>
      </w:r>
      <w:r>
        <w:rPr>
          <w:rStyle w:val="32"/>
          <w:rFonts w:hint="eastAsia" w:ascii="宋体" w:hAnsi="宋体" w:eastAsia="宋体" w:cs="宋体"/>
          <w:b w:val="0"/>
          <w:bCs w:val="0"/>
          <w:color w:val="auto"/>
          <w:sz w:val="24"/>
          <w:szCs w:val="24"/>
          <w:highlight w:val="none"/>
        </w:rPr>
        <w:t>       </w:t>
      </w:r>
      <w:r>
        <w:rPr>
          <w:rStyle w:val="32"/>
          <w:rFonts w:hint="eastAsia" w:cs="宋体"/>
          <w:b w:val="0"/>
          <w:bCs w:val="0"/>
          <w:color w:val="auto"/>
          <w:sz w:val="24"/>
          <w:szCs w:val="24"/>
          <w:highlight w:val="none"/>
          <w:lang w:val="en-US" w:eastAsia="zh-CN"/>
        </w:rPr>
        <w:t xml:space="preserve">                            </w:t>
      </w:r>
      <w:r>
        <w:rPr>
          <w:rStyle w:val="32"/>
          <w:rFonts w:hint="eastAsia" w:ascii="宋体" w:hAnsi="宋体" w:eastAsia="宋体" w:cs="宋体"/>
          <w:b w:val="0"/>
          <w:bCs w:val="0"/>
          <w:color w:val="auto"/>
          <w:sz w:val="24"/>
          <w:szCs w:val="24"/>
          <w:highlight w:val="none"/>
        </w:rPr>
        <w:t>中国人民银行</w:t>
      </w:r>
    </w:p>
    <w:p w14:paraId="0E162F05">
      <w:pPr>
        <w:keepNext w:val="0"/>
        <w:keepLines w:val="0"/>
        <w:pageBreakBefore w:val="0"/>
        <w:widowControl w:val="0"/>
        <w:kinsoku/>
        <w:wordWrap/>
        <w:overflowPunct/>
        <w:topLinePunct w:val="0"/>
        <w:autoSpaceDE/>
        <w:autoSpaceDN/>
        <w:bidi w:val="0"/>
        <w:adjustRightInd/>
        <w:snapToGrid/>
        <w:spacing w:line="460" w:lineRule="exact"/>
        <w:ind w:firstLine="2400" w:firstLineChars="1000"/>
        <w:textAlignment w:val="auto"/>
        <w:rPr>
          <w:rStyle w:val="32"/>
          <w:rFonts w:hint="eastAsia" w:ascii="宋体" w:hAnsi="宋体" w:eastAsia="宋体" w:cs="宋体"/>
          <w:b w:val="0"/>
          <w:bCs w:val="0"/>
          <w:color w:val="auto"/>
          <w:sz w:val="24"/>
          <w:szCs w:val="24"/>
          <w:highlight w:val="none"/>
        </w:rPr>
      </w:pPr>
      <w:r>
        <w:rPr>
          <w:rStyle w:val="32"/>
          <w:rFonts w:hint="eastAsia" w:ascii="宋体" w:hAnsi="宋体" w:eastAsia="宋体" w:cs="宋体"/>
          <w:b w:val="0"/>
          <w:bCs w:val="0"/>
          <w:color w:val="auto"/>
          <w:sz w:val="24"/>
          <w:szCs w:val="24"/>
          <w:highlight w:val="none"/>
        </w:rPr>
        <w:t>          中国银行业监督管理委员会</w:t>
      </w:r>
    </w:p>
    <w:p w14:paraId="644A820C">
      <w:pPr>
        <w:keepNext w:val="0"/>
        <w:keepLines w:val="0"/>
        <w:pageBreakBefore w:val="0"/>
        <w:widowControl w:val="0"/>
        <w:kinsoku/>
        <w:wordWrap/>
        <w:overflowPunct/>
        <w:topLinePunct w:val="0"/>
        <w:autoSpaceDE/>
        <w:autoSpaceDN/>
        <w:bidi w:val="0"/>
        <w:adjustRightInd/>
        <w:snapToGrid/>
        <w:spacing w:line="460" w:lineRule="exact"/>
        <w:ind w:firstLine="2400" w:firstLineChars="1000"/>
        <w:textAlignment w:val="auto"/>
        <w:rPr>
          <w:rStyle w:val="32"/>
          <w:rFonts w:hint="eastAsia" w:ascii="宋体" w:hAnsi="宋体" w:eastAsia="宋体" w:cs="宋体"/>
          <w:b w:val="0"/>
          <w:bCs w:val="0"/>
          <w:color w:val="auto"/>
          <w:sz w:val="24"/>
          <w:szCs w:val="24"/>
          <w:highlight w:val="none"/>
        </w:rPr>
      </w:pPr>
      <w:r>
        <w:rPr>
          <w:rStyle w:val="32"/>
          <w:rFonts w:hint="eastAsia" w:ascii="宋体" w:hAnsi="宋体" w:eastAsia="宋体" w:cs="宋体"/>
          <w:b w:val="0"/>
          <w:bCs w:val="0"/>
          <w:color w:val="auto"/>
          <w:sz w:val="24"/>
          <w:szCs w:val="24"/>
          <w:highlight w:val="none"/>
        </w:rPr>
        <w:t>           中国证券监督管理委员会</w:t>
      </w:r>
    </w:p>
    <w:p w14:paraId="13427FED">
      <w:pPr>
        <w:keepNext w:val="0"/>
        <w:keepLines w:val="0"/>
        <w:pageBreakBefore w:val="0"/>
        <w:widowControl w:val="0"/>
        <w:kinsoku/>
        <w:wordWrap/>
        <w:overflowPunct/>
        <w:topLinePunct w:val="0"/>
        <w:autoSpaceDE/>
        <w:autoSpaceDN/>
        <w:bidi w:val="0"/>
        <w:adjustRightInd/>
        <w:snapToGrid/>
        <w:spacing w:line="460" w:lineRule="exact"/>
        <w:ind w:firstLine="2400" w:firstLineChars="1000"/>
        <w:textAlignment w:val="auto"/>
        <w:rPr>
          <w:rStyle w:val="32"/>
          <w:rFonts w:hint="eastAsia" w:ascii="宋体" w:hAnsi="宋体" w:eastAsia="宋体" w:cs="宋体"/>
          <w:b w:val="0"/>
          <w:bCs w:val="0"/>
          <w:color w:val="auto"/>
          <w:sz w:val="24"/>
          <w:szCs w:val="24"/>
          <w:highlight w:val="none"/>
        </w:rPr>
      </w:pPr>
      <w:r>
        <w:rPr>
          <w:rStyle w:val="32"/>
          <w:rFonts w:hint="eastAsia" w:ascii="宋体" w:hAnsi="宋体" w:eastAsia="宋体" w:cs="宋体"/>
          <w:b w:val="0"/>
          <w:bCs w:val="0"/>
          <w:color w:val="auto"/>
          <w:sz w:val="24"/>
          <w:szCs w:val="24"/>
          <w:highlight w:val="none"/>
        </w:rPr>
        <w:t>           中国保险监督管理委员会</w:t>
      </w:r>
    </w:p>
    <w:p w14:paraId="189E390E">
      <w:pPr>
        <w:keepNext w:val="0"/>
        <w:keepLines w:val="0"/>
        <w:pageBreakBefore w:val="0"/>
        <w:widowControl w:val="0"/>
        <w:kinsoku/>
        <w:wordWrap/>
        <w:overflowPunct/>
        <w:topLinePunct w:val="0"/>
        <w:autoSpaceDE/>
        <w:autoSpaceDN/>
        <w:bidi w:val="0"/>
        <w:adjustRightInd/>
        <w:snapToGrid/>
        <w:spacing w:line="460" w:lineRule="exact"/>
        <w:ind w:firstLine="2160" w:firstLineChars="900"/>
        <w:textAlignment w:val="auto"/>
        <w:rPr>
          <w:rStyle w:val="32"/>
          <w:rFonts w:hint="eastAsia" w:ascii="宋体" w:hAnsi="宋体" w:eastAsia="宋体" w:cs="宋体"/>
          <w:b w:val="0"/>
          <w:bCs w:val="0"/>
          <w:color w:val="auto"/>
          <w:sz w:val="24"/>
          <w:szCs w:val="24"/>
          <w:highlight w:val="none"/>
        </w:rPr>
      </w:pPr>
      <w:r>
        <w:rPr>
          <w:rStyle w:val="32"/>
          <w:rFonts w:hint="eastAsia" w:ascii="宋体" w:hAnsi="宋体" w:eastAsia="宋体" w:cs="宋体"/>
          <w:b w:val="0"/>
          <w:bCs w:val="0"/>
          <w:color w:val="auto"/>
          <w:sz w:val="24"/>
          <w:szCs w:val="24"/>
          <w:highlight w:val="none"/>
        </w:rPr>
        <w:t>           中华人民共和国国家统计局</w:t>
      </w:r>
    </w:p>
    <w:p w14:paraId="35EB1163">
      <w:pPr>
        <w:keepNext w:val="0"/>
        <w:keepLines w:val="0"/>
        <w:pageBreakBefore w:val="0"/>
        <w:widowControl w:val="0"/>
        <w:kinsoku/>
        <w:wordWrap/>
        <w:overflowPunct/>
        <w:topLinePunct w:val="0"/>
        <w:autoSpaceDE/>
        <w:autoSpaceDN/>
        <w:bidi w:val="0"/>
        <w:adjustRightInd/>
        <w:snapToGrid/>
        <w:spacing w:line="460" w:lineRule="exact"/>
        <w:textAlignment w:val="auto"/>
        <w:rPr>
          <w:rStyle w:val="32"/>
          <w:rFonts w:hint="eastAsia" w:ascii="宋体" w:hAnsi="宋体" w:eastAsia="宋体" w:cs="宋体"/>
          <w:b w:val="0"/>
          <w:bCs w:val="0"/>
          <w:color w:val="auto"/>
          <w:sz w:val="24"/>
          <w:szCs w:val="24"/>
          <w:highlight w:val="none"/>
        </w:rPr>
      </w:pPr>
      <w:r>
        <w:rPr>
          <w:rStyle w:val="32"/>
          <w:rFonts w:hint="eastAsia" w:ascii="宋体" w:hAnsi="宋体" w:eastAsia="宋体" w:cs="宋体"/>
          <w:b w:val="0"/>
          <w:bCs w:val="0"/>
          <w:color w:val="auto"/>
          <w:sz w:val="24"/>
          <w:szCs w:val="24"/>
          <w:highlight w:val="none"/>
        </w:rPr>
        <w:t>                                                     </w:t>
      </w:r>
      <w:r>
        <w:rPr>
          <w:rStyle w:val="32"/>
          <w:rFonts w:hint="eastAsia" w:cs="宋体"/>
          <w:b w:val="0"/>
          <w:bCs w:val="0"/>
          <w:color w:val="auto"/>
          <w:sz w:val="24"/>
          <w:szCs w:val="24"/>
          <w:highlight w:val="none"/>
          <w:lang w:val="en-US" w:eastAsia="zh-CN"/>
        </w:rPr>
        <w:t xml:space="preserve">     </w:t>
      </w:r>
      <w:r>
        <w:rPr>
          <w:rStyle w:val="32"/>
          <w:rFonts w:hint="eastAsia" w:ascii="宋体" w:hAnsi="宋体" w:eastAsia="宋体" w:cs="宋体"/>
          <w:b w:val="0"/>
          <w:bCs w:val="0"/>
          <w:color w:val="auto"/>
          <w:sz w:val="24"/>
          <w:szCs w:val="24"/>
          <w:highlight w:val="none"/>
        </w:rPr>
        <w:t> 2015年9月28日</w:t>
      </w:r>
    </w:p>
    <w:p w14:paraId="2D875BF0">
      <w:pPr>
        <w:rPr>
          <w:rFonts w:hint="eastAsia" w:cs="宋体"/>
          <w:color w:val="auto"/>
          <w:spacing w:val="6"/>
          <w:sz w:val="21"/>
          <w:szCs w:val="21"/>
          <w:highlight w:val="none"/>
        </w:rPr>
      </w:pPr>
    </w:p>
    <w:p w14:paraId="3D3E2F07">
      <w:pPr>
        <w:rPr>
          <w:rFonts w:hint="eastAsia" w:cs="宋体"/>
          <w:color w:val="auto"/>
          <w:spacing w:val="6"/>
          <w:sz w:val="21"/>
          <w:szCs w:val="21"/>
          <w:highlight w:val="none"/>
          <w:lang w:val="en-US" w:eastAsia="zh-CN"/>
        </w:rPr>
      </w:pPr>
    </w:p>
    <w:p w14:paraId="7D55D2C4">
      <w:pPr>
        <w:rPr>
          <w:rFonts w:hint="eastAsia" w:cs="宋体"/>
          <w:color w:val="auto"/>
          <w:spacing w:val="6"/>
          <w:sz w:val="21"/>
          <w:szCs w:val="21"/>
          <w:highlight w:val="none"/>
          <w:lang w:val="en-US" w:eastAsia="zh-CN"/>
        </w:rPr>
      </w:pPr>
    </w:p>
    <w:p w14:paraId="535B7B3C">
      <w:pPr>
        <w:rPr>
          <w:rFonts w:hint="eastAsia" w:cs="宋体"/>
          <w:color w:val="auto"/>
          <w:spacing w:val="6"/>
          <w:sz w:val="21"/>
          <w:szCs w:val="21"/>
          <w:highlight w:val="none"/>
          <w:lang w:val="en-US" w:eastAsia="zh-CN"/>
        </w:rPr>
      </w:pPr>
    </w:p>
    <w:p w14:paraId="0003DA46">
      <w:pPr>
        <w:rPr>
          <w:rFonts w:hint="eastAsia" w:cs="宋体"/>
          <w:color w:val="auto"/>
          <w:spacing w:val="6"/>
          <w:sz w:val="21"/>
          <w:szCs w:val="21"/>
          <w:highlight w:val="none"/>
          <w:lang w:val="en-US" w:eastAsia="zh-CN"/>
        </w:rPr>
      </w:pPr>
    </w:p>
    <w:p w14:paraId="2EB5298D">
      <w:pPr>
        <w:rPr>
          <w:rFonts w:hint="eastAsia" w:cs="宋体"/>
          <w:color w:val="auto"/>
          <w:spacing w:val="6"/>
          <w:sz w:val="21"/>
          <w:szCs w:val="21"/>
          <w:highlight w:val="none"/>
          <w:lang w:val="en-US" w:eastAsia="zh-CN"/>
        </w:rPr>
      </w:pPr>
    </w:p>
    <w:p w14:paraId="22DC8AB1">
      <w:pPr>
        <w:rPr>
          <w:rFonts w:hint="eastAsia" w:cs="宋体"/>
          <w:color w:val="auto"/>
          <w:spacing w:val="6"/>
          <w:sz w:val="21"/>
          <w:szCs w:val="21"/>
          <w:highlight w:val="none"/>
          <w:lang w:val="en-US" w:eastAsia="zh-CN"/>
        </w:rPr>
      </w:pPr>
    </w:p>
    <w:p w14:paraId="62A6A0C9">
      <w:pPr>
        <w:rPr>
          <w:rFonts w:hint="eastAsia" w:cs="宋体"/>
          <w:color w:val="auto"/>
          <w:spacing w:val="6"/>
          <w:sz w:val="21"/>
          <w:szCs w:val="21"/>
          <w:highlight w:val="none"/>
          <w:lang w:val="en-US" w:eastAsia="zh-CN"/>
        </w:rPr>
      </w:pPr>
    </w:p>
    <w:p w14:paraId="10A8E63C">
      <w:pPr>
        <w:rPr>
          <w:rFonts w:hint="eastAsia" w:cs="宋体"/>
          <w:color w:val="auto"/>
          <w:spacing w:val="6"/>
          <w:sz w:val="21"/>
          <w:szCs w:val="21"/>
          <w:highlight w:val="none"/>
          <w:lang w:val="en-US" w:eastAsia="zh-CN"/>
        </w:rPr>
      </w:pPr>
    </w:p>
    <w:p w14:paraId="422FF70F">
      <w:pPr>
        <w:rPr>
          <w:rFonts w:hint="eastAsia" w:cs="宋体"/>
          <w:color w:val="auto"/>
          <w:spacing w:val="6"/>
          <w:sz w:val="21"/>
          <w:szCs w:val="21"/>
          <w:highlight w:val="none"/>
        </w:rPr>
      </w:pPr>
      <w:r>
        <w:rPr>
          <w:rFonts w:hint="eastAsia" w:cs="宋体"/>
          <w:color w:val="auto"/>
          <w:spacing w:val="6"/>
          <w:sz w:val="21"/>
          <w:szCs w:val="21"/>
          <w:highlight w:val="none"/>
          <w:lang w:val="en-US" w:eastAsia="zh-CN"/>
        </w:rPr>
        <w:t>附件</w:t>
      </w:r>
      <w:r>
        <w:rPr>
          <w:rFonts w:hint="eastAsia" w:cs="宋体"/>
          <w:color w:val="auto"/>
          <w:spacing w:val="6"/>
          <w:sz w:val="21"/>
          <w:szCs w:val="21"/>
          <w:highlight w:val="none"/>
        </w:rPr>
        <w:t>              </w:t>
      </w:r>
    </w:p>
    <w:p w14:paraId="3E48D324">
      <w:pPr>
        <w:pStyle w:val="17"/>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val="0"/>
          <w:color w:val="auto"/>
          <w:sz w:val="28"/>
          <w:szCs w:val="28"/>
          <w:highlight w:val="none"/>
        </w:rPr>
      </w:pPr>
      <w:r>
        <w:rPr>
          <w:rFonts w:hint="eastAsia" w:ascii="宋体" w:hAnsi="宋体" w:eastAsia="宋体" w:cs="宋体"/>
          <w:b/>
          <w:bCs w:val="0"/>
          <w:color w:val="auto"/>
          <w:sz w:val="28"/>
          <w:szCs w:val="28"/>
          <w:highlight w:val="none"/>
        </w:rPr>
        <w:t>金融业企业划型标准规定</w:t>
      </w:r>
    </w:p>
    <w:p w14:paraId="5AB18E43">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2"/>
          <w:rFonts w:hint="eastAsia" w:ascii="宋体" w:hAnsi="宋体" w:eastAsia="宋体" w:cs="宋体"/>
          <w:b w:val="0"/>
          <w:bCs w:val="0"/>
          <w:color w:val="auto"/>
          <w:sz w:val="24"/>
          <w:szCs w:val="24"/>
          <w:highlight w:val="none"/>
        </w:rPr>
      </w:pPr>
      <w:r>
        <w:rPr>
          <w:rStyle w:val="32"/>
          <w:rFonts w:hint="eastAsia" w:ascii="宋体" w:hAnsi="宋体" w:eastAsia="宋体" w:cs="宋体"/>
          <w:b w:val="0"/>
          <w:bCs w:val="0"/>
          <w:color w:val="auto"/>
          <w:sz w:val="24"/>
          <w:szCs w:val="24"/>
          <w:highlight w:val="none"/>
        </w:rPr>
        <w:t>一、根据《中华人民共和国中小企业促进法》、《国务院关于进一步促进中小企业发展的若干意见》（国发〔2009〕36号）和《国务院办公厅关于金融支持小微企业发展的实施意见》（国办发〔2013〕87号），制定本规定。</w:t>
      </w:r>
    </w:p>
    <w:p w14:paraId="4D87CEE4">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2"/>
          <w:rFonts w:hint="eastAsia" w:ascii="宋体" w:hAnsi="宋体" w:eastAsia="宋体" w:cs="宋体"/>
          <w:b w:val="0"/>
          <w:bCs w:val="0"/>
          <w:color w:val="auto"/>
          <w:sz w:val="24"/>
          <w:szCs w:val="24"/>
          <w:highlight w:val="none"/>
        </w:rPr>
      </w:pPr>
      <w:r>
        <w:rPr>
          <w:rStyle w:val="32"/>
          <w:rFonts w:hint="eastAsia" w:ascii="宋体" w:hAnsi="宋体" w:eastAsia="宋体" w:cs="宋体"/>
          <w:b w:val="0"/>
          <w:bCs w:val="0"/>
          <w:color w:val="auto"/>
          <w:sz w:val="24"/>
          <w:szCs w:val="24"/>
          <w:highlight w:val="none"/>
        </w:rPr>
        <w:t>二、适用范围。本规定适用于从事《国民经济行业分类》（GB/T4754-2011）中J门类（金融业）活动的企业。</w:t>
      </w:r>
    </w:p>
    <w:p w14:paraId="405839B7">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2"/>
          <w:rFonts w:hint="eastAsia" w:ascii="宋体" w:hAnsi="宋体" w:eastAsia="宋体" w:cs="宋体"/>
          <w:b w:val="0"/>
          <w:bCs w:val="0"/>
          <w:color w:val="auto"/>
          <w:sz w:val="24"/>
          <w:szCs w:val="24"/>
          <w:highlight w:val="none"/>
        </w:rPr>
      </w:pPr>
      <w:r>
        <w:rPr>
          <w:rStyle w:val="32"/>
          <w:rFonts w:hint="eastAsia" w:ascii="宋体" w:hAnsi="宋体" w:eastAsia="宋体" w:cs="宋体"/>
          <w:b w:val="0"/>
          <w:bCs w:val="0"/>
          <w:color w:val="auto"/>
          <w:sz w:val="24"/>
          <w:szCs w:val="24"/>
          <w:highlight w:val="none"/>
        </w:rPr>
        <w:t>三、行业分类。采用复合分类方法对金融业企业进行分类。首先，按《国民经济行业分类》将金融业企业分为货币金融服务、资本市场服务、保险业、其他金融业四大类。其次，将货币金融服务分为货币银行服务和非货币银行服务两类，将其他金融业分为金融信托与管理服务、控股公司服务和其他未包括的金融业三类。最后，按经济性质将货币银行服务类金融企业划为银行业存款类金融机构；将非货币银行服务类金融业企业分为银行业非存款类金融机构，贷款公司、小额贷款公司及典当行；将资本市场服务类金融业企业划为证券业金融机构；将保险业金融企业划为保险业金融机构；将其他金融业企业分为信托公司，金融控股公司和除贷款公司、小额贷款公司、典当行以外的其他金融机构。</w:t>
      </w:r>
    </w:p>
    <w:p w14:paraId="199C178F">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2"/>
          <w:rFonts w:hint="eastAsia" w:ascii="宋体" w:hAnsi="宋体" w:eastAsia="宋体" w:cs="宋体"/>
          <w:b w:val="0"/>
          <w:bCs w:val="0"/>
          <w:color w:val="auto"/>
          <w:sz w:val="24"/>
          <w:szCs w:val="24"/>
          <w:highlight w:val="none"/>
        </w:rPr>
      </w:pPr>
      <w:r>
        <w:rPr>
          <w:rStyle w:val="32"/>
          <w:rFonts w:hint="eastAsia" w:ascii="宋体" w:hAnsi="宋体" w:eastAsia="宋体" w:cs="宋体"/>
          <w:b w:val="0"/>
          <w:bCs w:val="0"/>
          <w:color w:val="auto"/>
          <w:sz w:val="24"/>
          <w:szCs w:val="24"/>
          <w:highlight w:val="none"/>
        </w:rPr>
        <w:t>四、划型标准指标。采用一个完整会计年度中四个季度末法人并表口径的资产总额（信托公司为信托资产）平均值作为划型指标，该指标以监管部门数据为准。</w:t>
      </w:r>
    </w:p>
    <w:p w14:paraId="7793BE62">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2"/>
          <w:rFonts w:hint="eastAsia" w:ascii="宋体" w:hAnsi="宋体" w:eastAsia="宋体" w:cs="宋体"/>
          <w:b w:val="0"/>
          <w:bCs w:val="0"/>
          <w:color w:val="auto"/>
          <w:sz w:val="24"/>
          <w:szCs w:val="24"/>
          <w:highlight w:val="none"/>
        </w:rPr>
      </w:pPr>
      <w:r>
        <w:rPr>
          <w:rStyle w:val="32"/>
          <w:rFonts w:hint="eastAsia" w:ascii="宋体" w:hAnsi="宋体" w:eastAsia="宋体" w:cs="宋体"/>
          <w:b w:val="0"/>
          <w:bCs w:val="0"/>
          <w:color w:val="auto"/>
          <w:sz w:val="24"/>
          <w:szCs w:val="24"/>
          <w:highlight w:val="none"/>
        </w:rPr>
        <w:t>五、指标标准值。依据指标标准值，将各类金融业企业划分为大、中、小、微四个规模类型，中型企业标准上限及以上的为大型企业。</w:t>
      </w:r>
    </w:p>
    <w:p w14:paraId="520E443E">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2"/>
          <w:rFonts w:hint="eastAsia" w:ascii="宋体" w:hAnsi="宋体" w:eastAsia="宋体" w:cs="宋体"/>
          <w:b w:val="0"/>
          <w:bCs w:val="0"/>
          <w:color w:val="auto"/>
          <w:sz w:val="24"/>
          <w:szCs w:val="24"/>
          <w:highlight w:val="none"/>
        </w:rPr>
      </w:pPr>
      <w:r>
        <w:rPr>
          <w:rStyle w:val="32"/>
          <w:rFonts w:hint="eastAsia" w:ascii="宋体" w:hAnsi="宋体" w:eastAsia="宋体" w:cs="宋体"/>
          <w:b w:val="0"/>
          <w:bCs w:val="0"/>
          <w:color w:val="auto"/>
          <w:sz w:val="24"/>
          <w:szCs w:val="24"/>
          <w:highlight w:val="none"/>
        </w:rPr>
        <w:t>（一）银行业存款类金融机构。资产总额40000亿元以下的为中小微型企业。其中，资产总额5000亿元及以上的为中型企业，资产总额50亿元及以上的为小型企业，资产总额50亿元以下的为微型企业。</w:t>
      </w:r>
    </w:p>
    <w:p w14:paraId="3C947BA4">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2"/>
          <w:rFonts w:hint="eastAsia" w:ascii="宋体" w:hAnsi="宋体" w:eastAsia="宋体" w:cs="宋体"/>
          <w:b w:val="0"/>
          <w:bCs w:val="0"/>
          <w:color w:val="auto"/>
          <w:sz w:val="24"/>
          <w:szCs w:val="24"/>
          <w:highlight w:val="none"/>
        </w:rPr>
      </w:pPr>
      <w:r>
        <w:rPr>
          <w:rStyle w:val="32"/>
          <w:rFonts w:hint="eastAsia" w:ascii="宋体" w:hAnsi="宋体" w:eastAsia="宋体" w:cs="宋体"/>
          <w:b w:val="0"/>
          <w:bCs w:val="0"/>
          <w:color w:val="auto"/>
          <w:sz w:val="24"/>
          <w:szCs w:val="24"/>
          <w:highlight w:val="none"/>
        </w:rPr>
        <w:t>（二）银行业非存款类金融机构。资产总额1000亿元以下的为中小微企业。其中，资产总额200亿元及以上的为中型企业，资产总额50亿元及以上的为小型企业，资产总额50亿元以下的为微型企业。</w:t>
      </w:r>
    </w:p>
    <w:p w14:paraId="6D9795B3">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2"/>
          <w:rFonts w:hint="eastAsia" w:ascii="宋体" w:hAnsi="宋体" w:eastAsia="宋体" w:cs="宋体"/>
          <w:b w:val="0"/>
          <w:bCs w:val="0"/>
          <w:color w:val="auto"/>
          <w:sz w:val="24"/>
          <w:szCs w:val="24"/>
          <w:highlight w:val="none"/>
        </w:rPr>
      </w:pPr>
      <w:r>
        <w:rPr>
          <w:rStyle w:val="32"/>
          <w:rFonts w:hint="eastAsia" w:ascii="宋体" w:hAnsi="宋体" w:eastAsia="宋体" w:cs="宋体"/>
          <w:b w:val="0"/>
          <w:bCs w:val="0"/>
          <w:color w:val="auto"/>
          <w:sz w:val="24"/>
          <w:szCs w:val="24"/>
          <w:highlight w:val="none"/>
        </w:rPr>
        <w:t>（三）贷款公司、小额贷款公司及典当行。资产总额1000亿元以下的为中小微型企业。其中，资产总额200亿元及以上的为中型企业，资产总额50亿元及以上的为小型企业，资产总额50亿元以下的为微型企业。</w:t>
      </w:r>
    </w:p>
    <w:p w14:paraId="76FAEF44">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2"/>
          <w:rFonts w:hint="eastAsia" w:ascii="宋体" w:hAnsi="宋体" w:eastAsia="宋体" w:cs="宋体"/>
          <w:b w:val="0"/>
          <w:bCs w:val="0"/>
          <w:color w:val="auto"/>
          <w:sz w:val="24"/>
          <w:szCs w:val="24"/>
          <w:highlight w:val="none"/>
        </w:rPr>
      </w:pPr>
      <w:r>
        <w:rPr>
          <w:rStyle w:val="32"/>
          <w:rFonts w:hint="eastAsia" w:ascii="宋体" w:hAnsi="宋体" w:eastAsia="宋体" w:cs="宋体"/>
          <w:b w:val="0"/>
          <w:bCs w:val="0"/>
          <w:color w:val="auto"/>
          <w:sz w:val="24"/>
          <w:szCs w:val="24"/>
          <w:highlight w:val="none"/>
        </w:rPr>
        <w:t>（四）证券业金融机构。资产总额1000亿元以下的为中小微型企业。其中，资产总额100亿元及以上的为中型企业，资产总额10亿元及以上的为小型企业，资产总额10亿元以下的为微型企业。</w:t>
      </w:r>
    </w:p>
    <w:p w14:paraId="09CAA279">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2"/>
          <w:rFonts w:hint="eastAsia" w:ascii="宋体" w:hAnsi="宋体" w:eastAsia="宋体" w:cs="宋体"/>
          <w:b w:val="0"/>
          <w:bCs w:val="0"/>
          <w:color w:val="auto"/>
          <w:sz w:val="24"/>
          <w:szCs w:val="24"/>
          <w:highlight w:val="none"/>
        </w:rPr>
      </w:pPr>
      <w:r>
        <w:rPr>
          <w:rStyle w:val="32"/>
          <w:rFonts w:hint="eastAsia" w:ascii="宋体" w:hAnsi="宋体" w:eastAsia="宋体" w:cs="宋体"/>
          <w:b w:val="0"/>
          <w:bCs w:val="0"/>
          <w:color w:val="auto"/>
          <w:sz w:val="24"/>
          <w:szCs w:val="24"/>
          <w:highlight w:val="none"/>
        </w:rPr>
        <w:t>（五）保险业金融机构。资产总额5000亿元以下的为中小微型企业。其中，资产总额400亿元及以上的为中型企业，资产总额20亿元及以上的为小型企业，资产总额20亿元以下的为微型企业。</w:t>
      </w:r>
    </w:p>
    <w:p w14:paraId="1C3C0055">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2"/>
          <w:rFonts w:hint="eastAsia" w:ascii="宋体" w:hAnsi="宋体" w:eastAsia="宋体" w:cs="宋体"/>
          <w:b w:val="0"/>
          <w:bCs w:val="0"/>
          <w:color w:val="auto"/>
          <w:sz w:val="24"/>
          <w:szCs w:val="24"/>
          <w:highlight w:val="none"/>
        </w:rPr>
      </w:pPr>
      <w:r>
        <w:rPr>
          <w:rStyle w:val="32"/>
          <w:rFonts w:hint="eastAsia" w:ascii="宋体" w:hAnsi="宋体" w:eastAsia="宋体" w:cs="宋体"/>
          <w:b w:val="0"/>
          <w:bCs w:val="0"/>
          <w:color w:val="auto"/>
          <w:sz w:val="24"/>
          <w:szCs w:val="24"/>
          <w:highlight w:val="none"/>
        </w:rPr>
        <w:t>（六）信托公司。信托资产1000亿元以下的为中小微型企业。其中，信托资产400亿元及以上的为中型企业，信托资产20亿元及以上的为小型企业，信托资产20亿元以下的为微型企业。</w:t>
      </w:r>
    </w:p>
    <w:p w14:paraId="158B91FE">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2"/>
          <w:rFonts w:hint="eastAsia" w:ascii="宋体" w:hAnsi="宋体" w:eastAsia="宋体" w:cs="宋体"/>
          <w:b w:val="0"/>
          <w:bCs w:val="0"/>
          <w:color w:val="auto"/>
          <w:sz w:val="24"/>
          <w:szCs w:val="24"/>
          <w:highlight w:val="none"/>
        </w:rPr>
      </w:pPr>
      <w:r>
        <w:rPr>
          <w:rStyle w:val="32"/>
          <w:rFonts w:hint="eastAsia" w:ascii="宋体" w:hAnsi="宋体" w:eastAsia="宋体" w:cs="宋体"/>
          <w:b w:val="0"/>
          <w:bCs w:val="0"/>
          <w:color w:val="auto"/>
          <w:sz w:val="24"/>
          <w:szCs w:val="24"/>
          <w:highlight w:val="none"/>
        </w:rPr>
        <w:t>（七）金融控股公司。资产总额40000亿元以下的为中小微企业。其中，资产总额5000亿元及以上的为中型企业，资产总额50亿元及以上的为小型企业，资产总额50亿元以下的为微型企业。、</w:t>
      </w:r>
    </w:p>
    <w:p w14:paraId="78FD5B10">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2"/>
          <w:rFonts w:hint="eastAsia" w:ascii="宋体" w:hAnsi="宋体" w:eastAsia="宋体" w:cs="宋体"/>
          <w:b w:val="0"/>
          <w:bCs w:val="0"/>
          <w:color w:val="auto"/>
          <w:sz w:val="24"/>
          <w:szCs w:val="24"/>
          <w:highlight w:val="none"/>
          <w:lang w:eastAsia="zh-CN"/>
        </w:rPr>
      </w:pPr>
      <w:r>
        <w:rPr>
          <w:rStyle w:val="32"/>
          <w:rFonts w:hint="eastAsia" w:ascii="宋体" w:hAnsi="宋体" w:eastAsia="宋体" w:cs="宋体"/>
          <w:b w:val="0"/>
          <w:bCs w:val="0"/>
          <w:color w:val="auto"/>
          <w:sz w:val="24"/>
          <w:szCs w:val="24"/>
          <w:highlight w:val="none"/>
        </w:rPr>
        <w:t>(八)除贷款公司、小额贷款公司、典当行以外的其他金融机构。资产总额1000亿元以下的为中小微型企业。其中，资产总额200亿元及以上的为中型企业，资产总额50亿元及以上的为小型企业，资产总额50亿元以下的为微型企业</w:t>
      </w:r>
      <w:r>
        <w:rPr>
          <w:rStyle w:val="32"/>
          <w:rFonts w:hint="eastAsia" w:cs="宋体"/>
          <w:b w:val="0"/>
          <w:bCs w:val="0"/>
          <w:color w:val="auto"/>
          <w:sz w:val="24"/>
          <w:szCs w:val="24"/>
          <w:highlight w:val="none"/>
          <w:lang w:eastAsia="zh-CN"/>
        </w:rPr>
        <w:t>。</w:t>
      </w:r>
    </w:p>
    <w:p w14:paraId="064C9A6D">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2"/>
          <w:rFonts w:hint="eastAsia" w:ascii="宋体" w:hAnsi="宋体" w:eastAsia="宋体" w:cs="宋体"/>
          <w:b w:val="0"/>
          <w:bCs w:val="0"/>
          <w:color w:val="auto"/>
          <w:sz w:val="24"/>
          <w:szCs w:val="24"/>
          <w:highlight w:val="none"/>
        </w:rPr>
      </w:pPr>
      <w:r>
        <w:rPr>
          <w:rStyle w:val="32"/>
          <w:rFonts w:hint="eastAsia" w:ascii="宋体" w:hAnsi="宋体" w:eastAsia="宋体" w:cs="宋体"/>
          <w:b w:val="0"/>
          <w:bCs w:val="0"/>
          <w:color w:val="auto"/>
          <w:sz w:val="24"/>
          <w:szCs w:val="24"/>
          <w:highlight w:val="none"/>
        </w:rPr>
        <w:t>六、组织实施。由人民银行会同银监会、证监会、保监会和统计局联合组成金融业企业划型标准工作组，负责金融业企业划型标准的实施、后期评估和调整工作，按年组织金融业企业规模认定，并在人民银行建立的《金融业机构信息管理系统》中增加相应的字段模块。经过认定的金融业企业在系统中进行规模登记</w:t>
      </w:r>
      <w:r>
        <w:rPr>
          <w:rStyle w:val="32"/>
          <w:rFonts w:hint="eastAsia" w:cs="宋体"/>
          <w:b w:val="0"/>
          <w:bCs w:val="0"/>
          <w:color w:val="auto"/>
          <w:sz w:val="24"/>
          <w:szCs w:val="24"/>
          <w:highlight w:val="none"/>
          <w:lang w:eastAsia="zh-CN"/>
        </w:rPr>
        <w:t>，</w:t>
      </w:r>
      <w:r>
        <w:rPr>
          <w:rStyle w:val="32"/>
          <w:rFonts w:hint="eastAsia" w:ascii="宋体" w:hAnsi="宋体" w:eastAsia="宋体" w:cs="宋体"/>
          <w:b w:val="0"/>
          <w:bCs w:val="0"/>
          <w:color w:val="auto"/>
          <w:sz w:val="24"/>
          <w:szCs w:val="24"/>
          <w:highlight w:val="none"/>
        </w:rPr>
        <w:t>方便政府部门和社会各界查询使用。</w:t>
      </w:r>
    </w:p>
    <w:p w14:paraId="2C50E64F">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2"/>
          <w:rFonts w:hint="eastAsia" w:ascii="宋体" w:hAnsi="宋体" w:eastAsia="宋体" w:cs="宋体"/>
          <w:b w:val="0"/>
          <w:bCs w:val="0"/>
          <w:color w:val="auto"/>
          <w:sz w:val="24"/>
          <w:szCs w:val="24"/>
          <w:highlight w:val="none"/>
        </w:rPr>
      </w:pPr>
      <w:r>
        <w:rPr>
          <w:rStyle w:val="32"/>
          <w:rFonts w:hint="eastAsia" w:ascii="宋体" w:hAnsi="宋体" w:eastAsia="宋体" w:cs="宋体"/>
          <w:b w:val="0"/>
          <w:bCs w:val="0"/>
          <w:color w:val="auto"/>
          <w:sz w:val="24"/>
          <w:szCs w:val="24"/>
          <w:highlight w:val="none"/>
        </w:rPr>
        <w:t>七、标准值的评估和调整。金融业企业划型标准工作组每五年对划型标准值受经济发展与通货膨胀等因素的影响程度进行评估和调整。</w:t>
      </w:r>
    </w:p>
    <w:p w14:paraId="350BE408">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2"/>
          <w:rFonts w:hint="eastAsia" w:ascii="宋体" w:hAnsi="宋体" w:eastAsia="宋体" w:cs="宋体"/>
          <w:b w:val="0"/>
          <w:bCs w:val="0"/>
          <w:color w:val="auto"/>
          <w:sz w:val="24"/>
          <w:szCs w:val="24"/>
          <w:highlight w:val="none"/>
          <w:lang w:eastAsia="zh-CN"/>
        </w:rPr>
      </w:pPr>
      <w:r>
        <w:rPr>
          <w:rStyle w:val="32"/>
          <w:rFonts w:hint="eastAsia" w:ascii="宋体" w:hAnsi="宋体" w:eastAsia="宋体" w:cs="宋体"/>
          <w:b w:val="0"/>
          <w:bCs w:val="0"/>
          <w:color w:val="auto"/>
          <w:sz w:val="24"/>
          <w:szCs w:val="24"/>
          <w:highlight w:val="none"/>
        </w:rPr>
        <w:t>八、本规定的中型金融业企业标准上限即为大型金融业企业下限。国务院有关部门据此进行相关数据的统计分析，不得制定与本规定不一致的金融业企业划型标准</w:t>
      </w:r>
      <w:r>
        <w:rPr>
          <w:rStyle w:val="32"/>
          <w:rFonts w:hint="eastAsia" w:cs="宋体"/>
          <w:b w:val="0"/>
          <w:bCs w:val="0"/>
          <w:color w:val="auto"/>
          <w:sz w:val="24"/>
          <w:szCs w:val="24"/>
          <w:highlight w:val="none"/>
          <w:lang w:eastAsia="zh-CN"/>
        </w:rPr>
        <w:t>。</w:t>
      </w:r>
    </w:p>
    <w:p w14:paraId="61D82EC5">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2"/>
          <w:rFonts w:hint="eastAsia" w:ascii="宋体" w:hAnsi="宋体" w:eastAsia="宋体" w:cs="宋体"/>
          <w:b w:val="0"/>
          <w:bCs w:val="0"/>
          <w:color w:val="auto"/>
          <w:sz w:val="24"/>
          <w:szCs w:val="24"/>
          <w:highlight w:val="none"/>
          <w:lang w:eastAsia="zh-CN"/>
        </w:rPr>
      </w:pPr>
      <w:r>
        <w:rPr>
          <w:rStyle w:val="32"/>
          <w:rFonts w:hint="eastAsia" w:ascii="宋体" w:hAnsi="宋体" w:eastAsia="宋体" w:cs="宋体"/>
          <w:b w:val="0"/>
          <w:bCs w:val="0"/>
          <w:color w:val="auto"/>
          <w:sz w:val="24"/>
          <w:szCs w:val="24"/>
          <w:highlight w:val="none"/>
        </w:rPr>
        <w:t>九、融资担保公司参照本规定中“除贷款公司、小额贷款公司、典当行以外的其他金融机构”标准划型</w:t>
      </w:r>
      <w:r>
        <w:rPr>
          <w:rStyle w:val="32"/>
          <w:rFonts w:hint="eastAsia" w:cs="宋体"/>
          <w:b w:val="0"/>
          <w:bCs w:val="0"/>
          <w:color w:val="auto"/>
          <w:sz w:val="24"/>
          <w:szCs w:val="24"/>
          <w:highlight w:val="none"/>
          <w:lang w:eastAsia="zh-CN"/>
        </w:rPr>
        <w:t>。</w:t>
      </w:r>
    </w:p>
    <w:p w14:paraId="63FF3481">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2"/>
          <w:rFonts w:hint="eastAsia" w:ascii="宋体" w:hAnsi="宋体" w:eastAsia="宋体" w:cs="宋体"/>
          <w:b w:val="0"/>
          <w:bCs w:val="0"/>
          <w:color w:val="auto"/>
          <w:sz w:val="24"/>
          <w:szCs w:val="24"/>
          <w:highlight w:val="none"/>
        </w:rPr>
      </w:pPr>
      <w:r>
        <w:rPr>
          <w:rStyle w:val="32"/>
          <w:rFonts w:hint="eastAsia" w:ascii="宋体" w:hAnsi="宋体" w:eastAsia="宋体" w:cs="宋体"/>
          <w:b w:val="0"/>
          <w:bCs w:val="0"/>
          <w:color w:val="auto"/>
          <w:sz w:val="24"/>
          <w:szCs w:val="24"/>
          <w:highlight w:val="none"/>
        </w:rPr>
        <w:t>十、本规定由人民银行会同银监会、证监会、保监会和统计局负责解释。</w:t>
      </w:r>
    </w:p>
    <w:p w14:paraId="0114765C">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2"/>
          <w:rFonts w:hint="eastAsia" w:ascii="宋体" w:hAnsi="宋体" w:eastAsia="宋体" w:cs="宋体"/>
          <w:b w:val="0"/>
          <w:bCs w:val="0"/>
          <w:color w:val="auto"/>
          <w:sz w:val="24"/>
          <w:szCs w:val="24"/>
          <w:highlight w:val="none"/>
          <w:lang w:eastAsia="zh-CN"/>
        </w:rPr>
      </w:pPr>
      <w:r>
        <w:rPr>
          <w:rStyle w:val="32"/>
          <w:rFonts w:hint="eastAsia" w:ascii="宋体" w:hAnsi="宋体" w:eastAsia="宋体" w:cs="宋体"/>
          <w:b w:val="0"/>
          <w:bCs w:val="0"/>
          <w:color w:val="auto"/>
          <w:sz w:val="24"/>
          <w:szCs w:val="24"/>
          <w:highlight w:val="none"/>
        </w:rPr>
        <w:t>十一、本规定自发布之日起实施</w:t>
      </w:r>
      <w:r>
        <w:rPr>
          <w:rStyle w:val="32"/>
          <w:rFonts w:hint="eastAsia" w:cs="宋体"/>
          <w:b w:val="0"/>
          <w:bCs w:val="0"/>
          <w:color w:val="auto"/>
          <w:sz w:val="24"/>
          <w:szCs w:val="24"/>
          <w:highlight w:val="none"/>
          <w:lang w:eastAsia="zh-CN"/>
        </w:rPr>
        <w:t>。</w:t>
      </w:r>
    </w:p>
    <w:p w14:paraId="74D817B1">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2"/>
          <w:rFonts w:hint="eastAsia" w:ascii="宋体" w:hAnsi="宋体" w:eastAsia="宋体" w:cs="宋体"/>
          <w:b w:val="0"/>
          <w:bCs w:val="0"/>
          <w:color w:val="auto"/>
          <w:sz w:val="24"/>
          <w:szCs w:val="24"/>
          <w:highlight w:val="none"/>
        </w:rPr>
      </w:pPr>
    </w:p>
    <w:p w14:paraId="4033EFE1">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2"/>
          <w:rFonts w:hint="eastAsia" w:ascii="宋体" w:hAnsi="宋体" w:eastAsia="宋体" w:cs="宋体"/>
          <w:b w:val="0"/>
          <w:bCs w:val="0"/>
          <w:color w:val="auto"/>
          <w:sz w:val="24"/>
          <w:szCs w:val="24"/>
          <w:highlight w:val="none"/>
        </w:rPr>
      </w:pPr>
      <w:r>
        <w:rPr>
          <w:rStyle w:val="32"/>
          <w:rFonts w:hint="eastAsia" w:ascii="宋体" w:hAnsi="宋体" w:eastAsia="宋体" w:cs="宋体"/>
          <w:b w:val="0"/>
          <w:bCs w:val="0"/>
          <w:color w:val="auto"/>
          <w:sz w:val="24"/>
          <w:szCs w:val="24"/>
          <w:highlight w:val="none"/>
        </w:rPr>
        <w:t>附:金融业企业划型标准</w:t>
      </w:r>
    </w:p>
    <w:p w14:paraId="4CB94869">
      <w:pPr>
        <w:rPr>
          <w:rFonts w:cs="宋体"/>
          <w:color w:val="auto"/>
          <w:spacing w:val="6"/>
          <w:sz w:val="21"/>
          <w:szCs w:val="21"/>
          <w:highlight w:val="none"/>
        </w:rPr>
      </w:pPr>
    </w:p>
    <w:p w14:paraId="018058A8">
      <w:pPr>
        <w:rPr>
          <w:rFonts w:hint="eastAsia" w:cs="宋体"/>
          <w:color w:val="auto"/>
          <w:spacing w:val="6"/>
          <w:sz w:val="24"/>
          <w:szCs w:val="24"/>
          <w:highlight w:val="none"/>
          <w:lang w:val="en-US" w:eastAsia="zh-CN"/>
        </w:rPr>
      </w:pPr>
    </w:p>
    <w:p w14:paraId="5023B69E">
      <w:pPr>
        <w:rPr>
          <w:rFonts w:hint="eastAsia" w:cs="宋体"/>
          <w:color w:val="auto"/>
          <w:spacing w:val="6"/>
          <w:sz w:val="24"/>
          <w:szCs w:val="24"/>
          <w:highlight w:val="none"/>
          <w:lang w:val="en-US" w:eastAsia="zh-CN"/>
        </w:rPr>
      </w:pPr>
    </w:p>
    <w:p w14:paraId="5F7D4B83">
      <w:pPr>
        <w:rPr>
          <w:rFonts w:hint="eastAsia" w:cs="宋体"/>
          <w:color w:val="auto"/>
          <w:spacing w:val="6"/>
          <w:sz w:val="24"/>
          <w:szCs w:val="24"/>
          <w:highlight w:val="none"/>
          <w:lang w:val="en-US" w:eastAsia="zh-CN"/>
        </w:rPr>
      </w:pPr>
    </w:p>
    <w:p w14:paraId="20B74F82">
      <w:pPr>
        <w:rPr>
          <w:rFonts w:hint="eastAsia" w:cs="宋体"/>
          <w:color w:val="auto"/>
          <w:spacing w:val="6"/>
          <w:sz w:val="24"/>
          <w:szCs w:val="24"/>
          <w:highlight w:val="none"/>
          <w:lang w:val="en-US" w:eastAsia="zh-CN"/>
        </w:rPr>
      </w:pPr>
    </w:p>
    <w:p w14:paraId="568CB75F">
      <w:pPr>
        <w:rPr>
          <w:rFonts w:hint="eastAsia" w:cs="宋体"/>
          <w:color w:val="auto"/>
          <w:spacing w:val="6"/>
          <w:sz w:val="24"/>
          <w:szCs w:val="24"/>
          <w:highlight w:val="none"/>
          <w:lang w:val="en-US" w:eastAsia="zh-CN"/>
        </w:rPr>
      </w:pPr>
    </w:p>
    <w:p w14:paraId="46228B00">
      <w:pPr>
        <w:rPr>
          <w:rFonts w:hint="eastAsia" w:cs="宋体"/>
          <w:color w:val="auto"/>
          <w:spacing w:val="6"/>
          <w:sz w:val="24"/>
          <w:szCs w:val="24"/>
          <w:highlight w:val="none"/>
          <w:lang w:val="en-US" w:eastAsia="zh-CN"/>
        </w:rPr>
      </w:pPr>
    </w:p>
    <w:p w14:paraId="70123D58">
      <w:pPr>
        <w:rPr>
          <w:rFonts w:hint="eastAsia" w:cs="宋体"/>
          <w:color w:val="auto"/>
          <w:spacing w:val="6"/>
          <w:sz w:val="24"/>
          <w:szCs w:val="24"/>
          <w:highlight w:val="none"/>
          <w:lang w:val="en-US" w:eastAsia="zh-CN"/>
        </w:rPr>
      </w:pPr>
      <w:r>
        <w:rPr>
          <w:rFonts w:hint="eastAsia" w:cs="宋体"/>
          <w:color w:val="auto"/>
          <w:spacing w:val="6"/>
          <w:sz w:val="24"/>
          <w:szCs w:val="24"/>
          <w:highlight w:val="none"/>
          <w:lang w:val="en-US" w:eastAsia="zh-CN"/>
        </w:rPr>
        <w:t>附</w:t>
      </w:r>
    </w:p>
    <w:p w14:paraId="7EB97DB1">
      <w:pPr>
        <w:pStyle w:val="17"/>
        <w:keepNext w:val="0"/>
        <w:keepLines w:val="0"/>
        <w:pageBreakBefore w:val="0"/>
        <w:widowControl w:val="0"/>
        <w:kinsoku/>
        <w:wordWrap/>
        <w:overflowPunct/>
        <w:topLinePunct w:val="0"/>
        <w:autoSpaceDE/>
        <w:autoSpaceDN/>
        <w:bidi w:val="0"/>
        <w:adjustRightInd/>
        <w:snapToGrid/>
        <w:spacing w:before="100" w:after="100" w:line="240" w:lineRule="auto"/>
        <w:jc w:val="center"/>
        <w:textAlignment w:val="auto"/>
        <w:rPr>
          <w:rFonts w:hint="eastAsia" w:ascii="宋体" w:hAnsi="宋体" w:eastAsia="宋体" w:cs="宋体"/>
          <w:b/>
          <w:bCs w:val="0"/>
          <w:color w:val="auto"/>
          <w:sz w:val="28"/>
          <w:szCs w:val="28"/>
          <w:highlight w:val="none"/>
        </w:rPr>
      </w:pPr>
      <w:r>
        <w:rPr>
          <w:rFonts w:hint="eastAsia" w:ascii="宋体" w:hAnsi="宋体" w:eastAsia="宋体" w:cs="宋体"/>
          <w:b/>
          <w:bCs w:val="0"/>
          <w:color w:val="auto"/>
          <w:sz w:val="28"/>
          <w:szCs w:val="28"/>
          <w:highlight w:val="none"/>
        </w:rPr>
        <w:t>金融业企业划型标准</w:t>
      </w:r>
    </w:p>
    <w:tbl>
      <w:tblPr>
        <w:tblStyle w:val="30"/>
        <w:tblW w:w="8498" w:type="dxa"/>
        <w:tblInd w:w="1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19"/>
        <w:gridCol w:w="1168"/>
        <w:gridCol w:w="1817"/>
        <w:gridCol w:w="1143"/>
        <w:gridCol w:w="3251"/>
      </w:tblGrid>
      <w:tr w14:paraId="26CBCA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9" w:hRule="atLeast"/>
        </w:trPr>
        <w:tc>
          <w:tcPr>
            <w:tcW w:w="2287" w:type="dxa"/>
            <w:gridSpan w:val="2"/>
            <w:vAlign w:val="center"/>
          </w:tcPr>
          <w:p w14:paraId="25F9841A">
            <w:pPr>
              <w:spacing w:line="240" w:lineRule="auto"/>
              <w:jc w:val="center"/>
              <w:rPr>
                <w:rFonts w:hint="eastAsia" w:ascii="宋体" w:hAnsi="宋体" w:eastAsia="宋体" w:cs="宋体"/>
                <w:b/>
                <w:color w:val="auto"/>
                <w:spacing w:val="6"/>
                <w:sz w:val="21"/>
                <w:szCs w:val="21"/>
                <w:highlight w:val="none"/>
                <w:vertAlign w:val="baseline"/>
                <w:lang w:val="en-US" w:eastAsia="zh-CN"/>
              </w:rPr>
            </w:pPr>
            <w:r>
              <w:rPr>
                <w:rFonts w:hint="eastAsia" w:ascii="宋体" w:hAnsi="宋体" w:eastAsia="宋体" w:cs="宋体"/>
                <w:b/>
                <w:color w:val="auto"/>
                <w:spacing w:val="6"/>
                <w:sz w:val="21"/>
                <w:szCs w:val="21"/>
                <w:highlight w:val="none"/>
                <w:vertAlign w:val="baseline"/>
                <w:lang w:val="en-US" w:eastAsia="zh-CN"/>
              </w:rPr>
              <w:t>行业</w:t>
            </w:r>
          </w:p>
        </w:tc>
        <w:tc>
          <w:tcPr>
            <w:tcW w:w="1817" w:type="dxa"/>
            <w:vAlign w:val="center"/>
          </w:tcPr>
          <w:p w14:paraId="3B4008BC">
            <w:pPr>
              <w:spacing w:line="240" w:lineRule="auto"/>
              <w:jc w:val="center"/>
              <w:rPr>
                <w:rFonts w:hint="eastAsia" w:ascii="宋体" w:hAnsi="宋体" w:eastAsia="宋体" w:cs="宋体"/>
                <w:b/>
                <w:color w:val="auto"/>
                <w:spacing w:val="6"/>
                <w:sz w:val="21"/>
                <w:szCs w:val="21"/>
                <w:highlight w:val="none"/>
                <w:vertAlign w:val="baseline"/>
                <w:lang w:val="en-US" w:eastAsia="zh-CN"/>
              </w:rPr>
            </w:pPr>
            <w:r>
              <w:rPr>
                <w:rFonts w:hint="eastAsia" w:ascii="宋体" w:hAnsi="宋体" w:eastAsia="宋体" w:cs="宋体"/>
                <w:b/>
                <w:color w:val="auto"/>
                <w:spacing w:val="6"/>
                <w:sz w:val="21"/>
                <w:szCs w:val="21"/>
                <w:highlight w:val="none"/>
                <w:vertAlign w:val="baseline"/>
                <w:lang w:val="en-US" w:eastAsia="zh-CN"/>
              </w:rPr>
              <w:t>类别</w:t>
            </w:r>
          </w:p>
        </w:tc>
        <w:tc>
          <w:tcPr>
            <w:tcW w:w="1143" w:type="dxa"/>
            <w:vAlign w:val="center"/>
          </w:tcPr>
          <w:p w14:paraId="199F0882">
            <w:pPr>
              <w:spacing w:line="240" w:lineRule="auto"/>
              <w:jc w:val="center"/>
              <w:rPr>
                <w:rFonts w:hint="eastAsia" w:ascii="宋体" w:hAnsi="宋体" w:eastAsia="宋体" w:cs="宋体"/>
                <w:b/>
                <w:color w:val="auto"/>
                <w:spacing w:val="6"/>
                <w:sz w:val="21"/>
                <w:szCs w:val="21"/>
                <w:highlight w:val="none"/>
                <w:vertAlign w:val="baseline"/>
                <w:lang w:val="en-US" w:eastAsia="zh-CN"/>
              </w:rPr>
            </w:pPr>
            <w:r>
              <w:rPr>
                <w:rFonts w:hint="eastAsia" w:ascii="宋体" w:hAnsi="宋体" w:eastAsia="宋体" w:cs="宋体"/>
                <w:b/>
                <w:color w:val="auto"/>
                <w:spacing w:val="6"/>
                <w:sz w:val="21"/>
                <w:szCs w:val="21"/>
                <w:highlight w:val="none"/>
                <w:vertAlign w:val="baseline"/>
                <w:lang w:val="en-US" w:eastAsia="zh-CN"/>
              </w:rPr>
              <w:t>类型</w:t>
            </w:r>
          </w:p>
        </w:tc>
        <w:tc>
          <w:tcPr>
            <w:tcW w:w="3251" w:type="dxa"/>
            <w:vAlign w:val="center"/>
          </w:tcPr>
          <w:p w14:paraId="715E5C3B">
            <w:pPr>
              <w:spacing w:line="240" w:lineRule="auto"/>
              <w:jc w:val="center"/>
              <w:rPr>
                <w:rFonts w:hint="eastAsia" w:ascii="宋体" w:hAnsi="宋体" w:eastAsia="宋体" w:cs="宋体"/>
                <w:b/>
                <w:color w:val="auto"/>
                <w:spacing w:val="6"/>
                <w:sz w:val="21"/>
                <w:szCs w:val="21"/>
                <w:highlight w:val="none"/>
                <w:vertAlign w:val="baseline"/>
                <w:lang w:val="en-US" w:eastAsia="zh-CN"/>
              </w:rPr>
            </w:pPr>
            <w:r>
              <w:rPr>
                <w:rFonts w:hint="eastAsia" w:ascii="宋体" w:hAnsi="宋体" w:eastAsia="宋体" w:cs="宋体"/>
                <w:b/>
                <w:color w:val="auto"/>
                <w:spacing w:val="6"/>
                <w:sz w:val="21"/>
                <w:szCs w:val="21"/>
                <w:highlight w:val="none"/>
                <w:vertAlign w:val="baseline"/>
                <w:lang w:val="en-US" w:eastAsia="zh-CN"/>
              </w:rPr>
              <w:t>资产总额</w:t>
            </w:r>
          </w:p>
        </w:tc>
      </w:tr>
      <w:tr w14:paraId="471A87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restart"/>
            <w:vAlign w:val="center"/>
          </w:tcPr>
          <w:p w14:paraId="1233504D">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货币金融服务</w:t>
            </w:r>
          </w:p>
        </w:tc>
        <w:tc>
          <w:tcPr>
            <w:tcW w:w="1168" w:type="dxa"/>
            <w:vMerge w:val="restart"/>
            <w:vAlign w:val="center"/>
          </w:tcPr>
          <w:p w14:paraId="4350DE89">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货币银行服务</w:t>
            </w:r>
          </w:p>
        </w:tc>
        <w:tc>
          <w:tcPr>
            <w:tcW w:w="1817" w:type="dxa"/>
            <w:vMerge w:val="restart"/>
            <w:vAlign w:val="center"/>
          </w:tcPr>
          <w:p w14:paraId="6D5CDA82">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银行业存款类金融机构</w:t>
            </w:r>
          </w:p>
        </w:tc>
        <w:tc>
          <w:tcPr>
            <w:tcW w:w="1143" w:type="dxa"/>
            <w:vAlign w:val="center"/>
          </w:tcPr>
          <w:p w14:paraId="18DA8CED">
            <w:pPr>
              <w:spacing w:line="240" w:lineRule="auto"/>
              <w:jc w:val="center"/>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中型</w:t>
            </w:r>
          </w:p>
        </w:tc>
        <w:tc>
          <w:tcPr>
            <w:tcW w:w="3251" w:type="dxa"/>
            <w:vAlign w:val="center"/>
          </w:tcPr>
          <w:p w14:paraId="6553EDDF">
            <w:pPr>
              <w:spacing w:line="240" w:lineRule="auto"/>
              <w:jc w:val="center"/>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5000亿元（含）至40000亿元</w:t>
            </w:r>
          </w:p>
        </w:tc>
      </w:tr>
      <w:tr w14:paraId="7DDCE2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25D803A9">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continue"/>
            <w:vAlign w:val="center"/>
          </w:tcPr>
          <w:p w14:paraId="45CFC2BC">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vAlign w:val="center"/>
          </w:tcPr>
          <w:p w14:paraId="392AD96A">
            <w:pPr>
              <w:spacing w:line="240" w:lineRule="auto"/>
              <w:jc w:val="both"/>
              <w:rPr>
                <w:rFonts w:hint="eastAsia" w:ascii="宋体" w:hAnsi="宋体" w:eastAsia="宋体" w:cs="宋体"/>
                <w:color w:val="auto"/>
                <w:spacing w:val="6"/>
                <w:sz w:val="21"/>
                <w:szCs w:val="21"/>
                <w:highlight w:val="none"/>
                <w:vertAlign w:val="baseline"/>
              </w:rPr>
            </w:pPr>
          </w:p>
        </w:tc>
        <w:tc>
          <w:tcPr>
            <w:tcW w:w="1143" w:type="dxa"/>
            <w:vAlign w:val="center"/>
          </w:tcPr>
          <w:p w14:paraId="146F4352">
            <w:pPr>
              <w:spacing w:line="240" w:lineRule="auto"/>
              <w:jc w:val="center"/>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小型</w:t>
            </w:r>
          </w:p>
        </w:tc>
        <w:tc>
          <w:tcPr>
            <w:tcW w:w="3251" w:type="dxa"/>
            <w:shd w:val="clear" w:color="auto" w:fill="auto"/>
            <w:vAlign w:val="center"/>
          </w:tcPr>
          <w:p w14:paraId="0C955763">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50亿元（含）至5000亿元</w:t>
            </w:r>
          </w:p>
        </w:tc>
      </w:tr>
      <w:tr w14:paraId="73826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244DEC46">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continue"/>
            <w:vAlign w:val="center"/>
          </w:tcPr>
          <w:p w14:paraId="147E3A4E">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vAlign w:val="center"/>
          </w:tcPr>
          <w:p w14:paraId="543C1290">
            <w:pPr>
              <w:spacing w:line="240" w:lineRule="auto"/>
              <w:jc w:val="both"/>
              <w:rPr>
                <w:rFonts w:hint="eastAsia" w:ascii="宋体" w:hAnsi="宋体" w:eastAsia="宋体" w:cs="宋体"/>
                <w:color w:val="auto"/>
                <w:spacing w:val="6"/>
                <w:sz w:val="21"/>
                <w:szCs w:val="21"/>
                <w:highlight w:val="none"/>
                <w:vertAlign w:val="baseline"/>
              </w:rPr>
            </w:pPr>
          </w:p>
        </w:tc>
        <w:tc>
          <w:tcPr>
            <w:tcW w:w="1143" w:type="dxa"/>
            <w:vAlign w:val="center"/>
          </w:tcPr>
          <w:p w14:paraId="0A8569B9">
            <w:pPr>
              <w:spacing w:line="240" w:lineRule="auto"/>
              <w:jc w:val="center"/>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微型</w:t>
            </w:r>
          </w:p>
        </w:tc>
        <w:tc>
          <w:tcPr>
            <w:tcW w:w="3251" w:type="dxa"/>
            <w:vAlign w:val="center"/>
          </w:tcPr>
          <w:p w14:paraId="29C9E0F4">
            <w:pPr>
              <w:spacing w:line="240" w:lineRule="auto"/>
              <w:jc w:val="center"/>
              <w:rPr>
                <w:rFonts w:hint="eastAsia" w:ascii="宋体" w:hAnsi="宋体" w:eastAsia="宋体" w:cs="宋体"/>
                <w:color w:val="auto"/>
                <w:spacing w:val="6"/>
                <w:sz w:val="21"/>
                <w:szCs w:val="21"/>
                <w:highlight w:val="none"/>
                <w:vertAlign w:val="baseline"/>
                <w:lang w:val="en-US"/>
              </w:rPr>
            </w:pPr>
            <w:r>
              <w:rPr>
                <w:rFonts w:hint="eastAsia" w:ascii="宋体" w:hAnsi="宋体" w:eastAsia="宋体" w:cs="宋体"/>
                <w:color w:val="auto"/>
                <w:spacing w:val="6"/>
                <w:sz w:val="21"/>
                <w:szCs w:val="21"/>
                <w:highlight w:val="none"/>
                <w:vertAlign w:val="baseline"/>
                <w:lang w:val="en-US" w:eastAsia="zh-CN"/>
              </w:rPr>
              <w:t>50亿元以下</w:t>
            </w:r>
          </w:p>
        </w:tc>
      </w:tr>
      <w:tr w14:paraId="1C15D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22A12E1E">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restart"/>
            <w:vAlign w:val="center"/>
          </w:tcPr>
          <w:p w14:paraId="56574B6D">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非货币银行服务</w:t>
            </w:r>
          </w:p>
        </w:tc>
        <w:tc>
          <w:tcPr>
            <w:tcW w:w="1817" w:type="dxa"/>
            <w:vMerge w:val="restart"/>
            <w:vAlign w:val="center"/>
          </w:tcPr>
          <w:p w14:paraId="7DD2F497">
            <w:pPr>
              <w:spacing w:line="240" w:lineRule="auto"/>
              <w:jc w:val="both"/>
              <w:rPr>
                <w:rFonts w:hint="eastAsia" w:ascii="宋体" w:hAnsi="宋体" w:eastAsia="宋体" w:cs="宋体"/>
                <w:color w:val="auto"/>
                <w:spacing w:val="6"/>
                <w:sz w:val="21"/>
                <w:szCs w:val="21"/>
                <w:highlight w:val="none"/>
                <w:vertAlign w:val="baseline"/>
              </w:rPr>
            </w:pPr>
            <w:r>
              <w:rPr>
                <w:rFonts w:hint="eastAsia" w:ascii="宋体" w:hAnsi="宋体" w:eastAsia="宋体" w:cs="宋体"/>
                <w:color w:val="auto"/>
                <w:spacing w:val="6"/>
                <w:sz w:val="21"/>
                <w:szCs w:val="21"/>
                <w:highlight w:val="none"/>
                <w:vertAlign w:val="baseline"/>
                <w:lang w:val="en-US" w:eastAsia="zh-CN"/>
              </w:rPr>
              <w:t>银行业非存款类金融机构</w:t>
            </w:r>
          </w:p>
        </w:tc>
        <w:tc>
          <w:tcPr>
            <w:tcW w:w="1143" w:type="dxa"/>
            <w:shd w:val="clear" w:color="auto" w:fill="auto"/>
            <w:vAlign w:val="center"/>
          </w:tcPr>
          <w:p w14:paraId="46609FB8">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中型</w:t>
            </w:r>
          </w:p>
        </w:tc>
        <w:tc>
          <w:tcPr>
            <w:tcW w:w="3251" w:type="dxa"/>
            <w:shd w:val="clear" w:color="auto" w:fill="auto"/>
            <w:vAlign w:val="center"/>
          </w:tcPr>
          <w:p w14:paraId="288F5BE5">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200亿元（含）至1000亿元</w:t>
            </w:r>
          </w:p>
        </w:tc>
      </w:tr>
      <w:tr w14:paraId="29DE0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40CFE49B">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continue"/>
            <w:vAlign w:val="center"/>
          </w:tcPr>
          <w:p w14:paraId="1EF9025F">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vAlign w:val="center"/>
          </w:tcPr>
          <w:p w14:paraId="6CC015F9">
            <w:pPr>
              <w:spacing w:line="240" w:lineRule="auto"/>
              <w:jc w:val="both"/>
              <w:rPr>
                <w:rFonts w:hint="eastAsia" w:ascii="宋体" w:hAnsi="宋体" w:eastAsia="宋体" w:cs="宋体"/>
                <w:color w:val="auto"/>
                <w:spacing w:val="6"/>
                <w:sz w:val="21"/>
                <w:szCs w:val="21"/>
                <w:highlight w:val="none"/>
                <w:vertAlign w:val="baseline"/>
              </w:rPr>
            </w:pPr>
          </w:p>
        </w:tc>
        <w:tc>
          <w:tcPr>
            <w:tcW w:w="1143" w:type="dxa"/>
            <w:shd w:val="clear" w:color="auto" w:fill="auto"/>
            <w:vAlign w:val="center"/>
          </w:tcPr>
          <w:p w14:paraId="0699B1D7">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小型</w:t>
            </w:r>
          </w:p>
        </w:tc>
        <w:tc>
          <w:tcPr>
            <w:tcW w:w="3251" w:type="dxa"/>
            <w:shd w:val="clear" w:color="auto" w:fill="auto"/>
            <w:vAlign w:val="center"/>
          </w:tcPr>
          <w:p w14:paraId="56E78EC6">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50亿元（含）至200亿元</w:t>
            </w:r>
          </w:p>
        </w:tc>
      </w:tr>
      <w:tr w14:paraId="0CA590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6EE674B4">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continue"/>
            <w:vAlign w:val="center"/>
          </w:tcPr>
          <w:p w14:paraId="217EDCC4">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vAlign w:val="center"/>
          </w:tcPr>
          <w:p w14:paraId="7DEB5E22">
            <w:pPr>
              <w:spacing w:line="240" w:lineRule="auto"/>
              <w:jc w:val="both"/>
              <w:rPr>
                <w:rFonts w:hint="eastAsia" w:ascii="宋体" w:hAnsi="宋体" w:eastAsia="宋体" w:cs="宋体"/>
                <w:color w:val="auto"/>
                <w:spacing w:val="6"/>
                <w:sz w:val="21"/>
                <w:szCs w:val="21"/>
                <w:highlight w:val="none"/>
                <w:vertAlign w:val="baseline"/>
              </w:rPr>
            </w:pPr>
          </w:p>
        </w:tc>
        <w:tc>
          <w:tcPr>
            <w:tcW w:w="1143" w:type="dxa"/>
            <w:shd w:val="clear" w:color="auto" w:fill="auto"/>
            <w:vAlign w:val="center"/>
          </w:tcPr>
          <w:p w14:paraId="24E9D4A7">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微型</w:t>
            </w:r>
          </w:p>
        </w:tc>
        <w:tc>
          <w:tcPr>
            <w:tcW w:w="3251" w:type="dxa"/>
            <w:vAlign w:val="center"/>
          </w:tcPr>
          <w:p w14:paraId="00D701CA">
            <w:pPr>
              <w:spacing w:line="240" w:lineRule="auto"/>
              <w:jc w:val="center"/>
              <w:rPr>
                <w:rFonts w:hint="eastAsia" w:ascii="宋体" w:hAnsi="宋体" w:eastAsia="宋体" w:cs="宋体"/>
                <w:color w:val="auto"/>
                <w:spacing w:val="6"/>
                <w:sz w:val="21"/>
                <w:szCs w:val="21"/>
                <w:highlight w:val="none"/>
                <w:vertAlign w:val="baseline"/>
              </w:rPr>
            </w:pPr>
            <w:r>
              <w:rPr>
                <w:rFonts w:hint="eastAsia" w:ascii="宋体" w:hAnsi="宋体" w:eastAsia="宋体" w:cs="宋体"/>
                <w:color w:val="auto"/>
                <w:spacing w:val="6"/>
                <w:sz w:val="21"/>
                <w:szCs w:val="21"/>
                <w:highlight w:val="none"/>
                <w:vertAlign w:val="baseline"/>
                <w:lang w:val="en-US" w:eastAsia="zh-CN"/>
              </w:rPr>
              <w:t>50亿元以下</w:t>
            </w:r>
          </w:p>
        </w:tc>
      </w:tr>
      <w:tr w14:paraId="4B5348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6D041F7C">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continue"/>
            <w:vAlign w:val="center"/>
          </w:tcPr>
          <w:p w14:paraId="295688AF">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restart"/>
            <w:vAlign w:val="center"/>
          </w:tcPr>
          <w:p w14:paraId="2420EBEF">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贷款公司、小额贷款公司及典当行</w:t>
            </w:r>
          </w:p>
        </w:tc>
        <w:tc>
          <w:tcPr>
            <w:tcW w:w="1143" w:type="dxa"/>
            <w:shd w:val="clear" w:color="auto" w:fill="auto"/>
            <w:vAlign w:val="center"/>
          </w:tcPr>
          <w:p w14:paraId="705DE846">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中型</w:t>
            </w:r>
          </w:p>
        </w:tc>
        <w:tc>
          <w:tcPr>
            <w:tcW w:w="3251" w:type="dxa"/>
            <w:shd w:val="clear" w:color="auto" w:fill="auto"/>
            <w:vAlign w:val="center"/>
          </w:tcPr>
          <w:p w14:paraId="007BBC2E">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200亿元（含）至1000亿元</w:t>
            </w:r>
          </w:p>
        </w:tc>
      </w:tr>
      <w:tr w14:paraId="39E6E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1180FDC1">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continue"/>
            <w:vAlign w:val="center"/>
          </w:tcPr>
          <w:p w14:paraId="078270CB">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vAlign w:val="center"/>
          </w:tcPr>
          <w:p w14:paraId="0CBA7696">
            <w:pPr>
              <w:spacing w:line="240" w:lineRule="auto"/>
              <w:jc w:val="both"/>
              <w:rPr>
                <w:rFonts w:hint="eastAsia" w:ascii="宋体" w:hAnsi="宋体" w:eastAsia="宋体" w:cs="宋体"/>
                <w:color w:val="auto"/>
                <w:spacing w:val="6"/>
                <w:sz w:val="21"/>
                <w:szCs w:val="21"/>
                <w:highlight w:val="none"/>
                <w:vertAlign w:val="baseline"/>
              </w:rPr>
            </w:pPr>
          </w:p>
        </w:tc>
        <w:tc>
          <w:tcPr>
            <w:tcW w:w="1143" w:type="dxa"/>
            <w:shd w:val="clear" w:color="auto" w:fill="auto"/>
            <w:vAlign w:val="center"/>
          </w:tcPr>
          <w:p w14:paraId="2EA1A43D">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小型</w:t>
            </w:r>
          </w:p>
        </w:tc>
        <w:tc>
          <w:tcPr>
            <w:tcW w:w="3251" w:type="dxa"/>
            <w:shd w:val="clear" w:color="auto" w:fill="auto"/>
            <w:vAlign w:val="center"/>
          </w:tcPr>
          <w:p w14:paraId="220FC05B">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50亿元（含）至200亿元</w:t>
            </w:r>
          </w:p>
        </w:tc>
      </w:tr>
      <w:tr w14:paraId="7A6B2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1C9F23C9">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continue"/>
            <w:vAlign w:val="center"/>
          </w:tcPr>
          <w:p w14:paraId="693061F1">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vAlign w:val="center"/>
          </w:tcPr>
          <w:p w14:paraId="7241FB1E">
            <w:pPr>
              <w:spacing w:line="240" w:lineRule="auto"/>
              <w:jc w:val="both"/>
              <w:rPr>
                <w:rFonts w:hint="eastAsia" w:ascii="宋体" w:hAnsi="宋体" w:eastAsia="宋体" w:cs="宋体"/>
                <w:color w:val="auto"/>
                <w:spacing w:val="6"/>
                <w:sz w:val="21"/>
                <w:szCs w:val="21"/>
                <w:highlight w:val="none"/>
                <w:vertAlign w:val="baseline"/>
              </w:rPr>
            </w:pPr>
          </w:p>
        </w:tc>
        <w:tc>
          <w:tcPr>
            <w:tcW w:w="1143" w:type="dxa"/>
            <w:shd w:val="clear" w:color="auto" w:fill="auto"/>
            <w:vAlign w:val="center"/>
          </w:tcPr>
          <w:p w14:paraId="6076913A">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微型</w:t>
            </w:r>
          </w:p>
        </w:tc>
        <w:tc>
          <w:tcPr>
            <w:tcW w:w="3251" w:type="dxa"/>
            <w:shd w:val="clear" w:color="auto" w:fill="auto"/>
            <w:vAlign w:val="center"/>
          </w:tcPr>
          <w:p w14:paraId="03E9BD7B">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50亿元以下</w:t>
            </w:r>
          </w:p>
        </w:tc>
      </w:tr>
      <w:tr w14:paraId="10E75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2287" w:type="dxa"/>
            <w:gridSpan w:val="2"/>
            <w:vMerge w:val="restart"/>
            <w:vAlign w:val="center"/>
          </w:tcPr>
          <w:p w14:paraId="3A884F55">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资本市场服务</w:t>
            </w:r>
          </w:p>
        </w:tc>
        <w:tc>
          <w:tcPr>
            <w:tcW w:w="1817" w:type="dxa"/>
            <w:vMerge w:val="restart"/>
            <w:vAlign w:val="center"/>
          </w:tcPr>
          <w:p w14:paraId="6E78CF81">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证券业金融机构</w:t>
            </w:r>
          </w:p>
        </w:tc>
        <w:tc>
          <w:tcPr>
            <w:tcW w:w="1143" w:type="dxa"/>
            <w:shd w:val="clear" w:color="auto" w:fill="auto"/>
            <w:vAlign w:val="center"/>
          </w:tcPr>
          <w:p w14:paraId="04142618">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中型</w:t>
            </w:r>
          </w:p>
        </w:tc>
        <w:tc>
          <w:tcPr>
            <w:tcW w:w="3251" w:type="dxa"/>
            <w:shd w:val="clear" w:color="auto" w:fill="auto"/>
            <w:vAlign w:val="center"/>
          </w:tcPr>
          <w:p w14:paraId="4444928A">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100亿元（含）至1000亿元</w:t>
            </w:r>
          </w:p>
        </w:tc>
      </w:tr>
      <w:tr w14:paraId="0F1C8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2287" w:type="dxa"/>
            <w:gridSpan w:val="2"/>
            <w:vMerge w:val="continue"/>
            <w:vAlign w:val="center"/>
          </w:tcPr>
          <w:p w14:paraId="43B06C7E">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vAlign w:val="center"/>
          </w:tcPr>
          <w:p w14:paraId="59421CAF">
            <w:pPr>
              <w:spacing w:line="240" w:lineRule="auto"/>
              <w:jc w:val="both"/>
              <w:rPr>
                <w:rFonts w:hint="eastAsia" w:ascii="宋体" w:hAnsi="宋体" w:eastAsia="宋体" w:cs="宋体"/>
                <w:color w:val="auto"/>
                <w:spacing w:val="6"/>
                <w:sz w:val="21"/>
                <w:szCs w:val="21"/>
                <w:highlight w:val="none"/>
                <w:vertAlign w:val="baseline"/>
              </w:rPr>
            </w:pPr>
          </w:p>
        </w:tc>
        <w:tc>
          <w:tcPr>
            <w:tcW w:w="1143" w:type="dxa"/>
            <w:shd w:val="clear" w:color="auto" w:fill="auto"/>
            <w:vAlign w:val="center"/>
          </w:tcPr>
          <w:p w14:paraId="54B5A7F4">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小型</w:t>
            </w:r>
          </w:p>
        </w:tc>
        <w:tc>
          <w:tcPr>
            <w:tcW w:w="3251" w:type="dxa"/>
            <w:shd w:val="clear" w:color="auto" w:fill="auto"/>
            <w:vAlign w:val="center"/>
          </w:tcPr>
          <w:p w14:paraId="1A9C4DFF">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10亿元（含）至100亿元</w:t>
            </w:r>
          </w:p>
        </w:tc>
      </w:tr>
      <w:tr w14:paraId="01E76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2287" w:type="dxa"/>
            <w:gridSpan w:val="2"/>
            <w:vMerge w:val="continue"/>
            <w:vAlign w:val="center"/>
          </w:tcPr>
          <w:p w14:paraId="465FECCF">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vAlign w:val="center"/>
          </w:tcPr>
          <w:p w14:paraId="7ADD78C9">
            <w:pPr>
              <w:spacing w:line="240" w:lineRule="auto"/>
              <w:jc w:val="both"/>
              <w:rPr>
                <w:rFonts w:hint="eastAsia" w:ascii="宋体" w:hAnsi="宋体" w:eastAsia="宋体" w:cs="宋体"/>
                <w:color w:val="auto"/>
                <w:spacing w:val="6"/>
                <w:sz w:val="21"/>
                <w:szCs w:val="21"/>
                <w:highlight w:val="none"/>
                <w:vertAlign w:val="baseline"/>
              </w:rPr>
            </w:pPr>
          </w:p>
        </w:tc>
        <w:tc>
          <w:tcPr>
            <w:tcW w:w="1143" w:type="dxa"/>
            <w:shd w:val="clear" w:color="auto" w:fill="auto"/>
            <w:vAlign w:val="center"/>
          </w:tcPr>
          <w:p w14:paraId="60F7AF91">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微型</w:t>
            </w:r>
          </w:p>
        </w:tc>
        <w:tc>
          <w:tcPr>
            <w:tcW w:w="3251" w:type="dxa"/>
            <w:shd w:val="clear" w:color="auto" w:fill="auto"/>
            <w:vAlign w:val="center"/>
          </w:tcPr>
          <w:p w14:paraId="43D0131F">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10亿元以下</w:t>
            </w:r>
          </w:p>
        </w:tc>
      </w:tr>
      <w:tr w14:paraId="33147E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2287" w:type="dxa"/>
            <w:gridSpan w:val="2"/>
            <w:vMerge w:val="restart"/>
            <w:vAlign w:val="center"/>
          </w:tcPr>
          <w:p w14:paraId="7FAED341">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保险业</w:t>
            </w:r>
          </w:p>
        </w:tc>
        <w:tc>
          <w:tcPr>
            <w:tcW w:w="1817" w:type="dxa"/>
            <w:vMerge w:val="restart"/>
            <w:vAlign w:val="center"/>
          </w:tcPr>
          <w:p w14:paraId="73A1B699">
            <w:pPr>
              <w:spacing w:line="240" w:lineRule="auto"/>
              <w:jc w:val="both"/>
              <w:rPr>
                <w:rFonts w:hint="eastAsia" w:ascii="宋体" w:hAnsi="宋体" w:eastAsia="宋体" w:cs="宋体"/>
                <w:color w:val="auto"/>
                <w:spacing w:val="6"/>
                <w:sz w:val="21"/>
                <w:szCs w:val="21"/>
                <w:highlight w:val="none"/>
                <w:vertAlign w:val="baseline"/>
              </w:rPr>
            </w:pPr>
            <w:r>
              <w:rPr>
                <w:rFonts w:hint="eastAsia" w:ascii="宋体" w:hAnsi="宋体" w:eastAsia="宋体" w:cs="宋体"/>
                <w:color w:val="auto"/>
                <w:spacing w:val="6"/>
                <w:sz w:val="21"/>
                <w:szCs w:val="21"/>
                <w:highlight w:val="none"/>
                <w:vertAlign w:val="baseline"/>
                <w:lang w:val="en-US" w:eastAsia="zh-CN"/>
              </w:rPr>
              <w:t>保险业金融机构</w:t>
            </w:r>
          </w:p>
        </w:tc>
        <w:tc>
          <w:tcPr>
            <w:tcW w:w="1143" w:type="dxa"/>
            <w:shd w:val="clear" w:color="auto" w:fill="auto"/>
            <w:vAlign w:val="center"/>
          </w:tcPr>
          <w:p w14:paraId="7046BDEC">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中型</w:t>
            </w:r>
          </w:p>
        </w:tc>
        <w:tc>
          <w:tcPr>
            <w:tcW w:w="3251" w:type="dxa"/>
            <w:shd w:val="clear" w:color="auto" w:fill="auto"/>
            <w:vAlign w:val="center"/>
          </w:tcPr>
          <w:p w14:paraId="41B9BB44">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400亿元（含）至5000亿元</w:t>
            </w:r>
          </w:p>
        </w:tc>
      </w:tr>
      <w:tr w14:paraId="386FC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2287" w:type="dxa"/>
            <w:gridSpan w:val="2"/>
            <w:vMerge w:val="continue"/>
            <w:vAlign w:val="center"/>
          </w:tcPr>
          <w:p w14:paraId="48C86132">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vAlign w:val="center"/>
          </w:tcPr>
          <w:p w14:paraId="62ACF5AB">
            <w:pPr>
              <w:spacing w:line="240" w:lineRule="auto"/>
              <w:jc w:val="both"/>
              <w:rPr>
                <w:rFonts w:hint="eastAsia" w:ascii="宋体" w:hAnsi="宋体" w:eastAsia="宋体" w:cs="宋体"/>
                <w:color w:val="auto"/>
                <w:spacing w:val="6"/>
                <w:sz w:val="21"/>
                <w:szCs w:val="21"/>
                <w:highlight w:val="none"/>
                <w:vertAlign w:val="baseline"/>
              </w:rPr>
            </w:pPr>
          </w:p>
        </w:tc>
        <w:tc>
          <w:tcPr>
            <w:tcW w:w="1143" w:type="dxa"/>
            <w:shd w:val="clear" w:color="auto" w:fill="auto"/>
            <w:vAlign w:val="center"/>
          </w:tcPr>
          <w:p w14:paraId="361981C2">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小型</w:t>
            </w:r>
          </w:p>
        </w:tc>
        <w:tc>
          <w:tcPr>
            <w:tcW w:w="3251" w:type="dxa"/>
            <w:shd w:val="clear" w:color="auto" w:fill="auto"/>
            <w:vAlign w:val="center"/>
          </w:tcPr>
          <w:p w14:paraId="7F195A7E">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20亿元（含）至400亿元</w:t>
            </w:r>
          </w:p>
        </w:tc>
      </w:tr>
      <w:tr w14:paraId="133696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2287" w:type="dxa"/>
            <w:gridSpan w:val="2"/>
            <w:vMerge w:val="continue"/>
            <w:vAlign w:val="center"/>
          </w:tcPr>
          <w:p w14:paraId="7051FBA8">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vAlign w:val="center"/>
          </w:tcPr>
          <w:p w14:paraId="1A95E01E">
            <w:pPr>
              <w:spacing w:line="240" w:lineRule="auto"/>
              <w:jc w:val="both"/>
              <w:rPr>
                <w:rFonts w:hint="eastAsia" w:ascii="宋体" w:hAnsi="宋体" w:eastAsia="宋体" w:cs="宋体"/>
                <w:color w:val="auto"/>
                <w:spacing w:val="6"/>
                <w:sz w:val="21"/>
                <w:szCs w:val="21"/>
                <w:highlight w:val="none"/>
                <w:vertAlign w:val="baseline"/>
              </w:rPr>
            </w:pPr>
          </w:p>
        </w:tc>
        <w:tc>
          <w:tcPr>
            <w:tcW w:w="1143" w:type="dxa"/>
            <w:shd w:val="clear" w:color="auto" w:fill="auto"/>
            <w:vAlign w:val="center"/>
          </w:tcPr>
          <w:p w14:paraId="5DD1435F">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微型</w:t>
            </w:r>
          </w:p>
        </w:tc>
        <w:tc>
          <w:tcPr>
            <w:tcW w:w="3251" w:type="dxa"/>
            <w:shd w:val="clear" w:color="auto" w:fill="auto"/>
            <w:vAlign w:val="center"/>
          </w:tcPr>
          <w:p w14:paraId="19F4DBB0">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20亿元以下</w:t>
            </w:r>
          </w:p>
        </w:tc>
      </w:tr>
      <w:tr w14:paraId="1B3827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restart"/>
            <w:vAlign w:val="center"/>
          </w:tcPr>
          <w:p w14:paraId="6A4EBA5D">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其他金融业</w:t>
            </w:r>
          </w:p>
        </w:tc>
        <w:tc>
          <w:tcPr>
            <w:tcW w:w="1168" w:type="dxa"/>
            <w:vMerge w:val="restart"/>
            <w:vAlign w:val="center"/>
          </w:tcPr>
          <w:p w14:paraId="741CF031">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金融信托与管理服务</w:t>
            </w:r>
          </w:p>
        </w:tc>
        <w:tc>
          <w:tcPr>
            <w:tcW w:w="1817" w:type="dxa"/>
            <w:vMerge w:val="restart"/>
            <w:vAlign w:val="center"/>
          </w:tcPr>
          <w:p w14:paraId="70836B6C">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信托公司</w:t>
            </w:r>
          </w:p>
        </w:tc>
        <w:tc>
          <w:tcPr>
            <w:tcW w:w="1143" w:type="dxa"/>
            <w:shd w:val="clear" w:color="auto" w:fill="auto"/>
            <w:vAlign w:val="center"/>
          </w:tcPr>
          <w:p w14:paraId="03C999A9">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中型</w:t>
            </w:r>
          </w:p>
        </w:tc>
        <w:tc>
          <w:tcPr>
            <w:tcW w:w="3251" w:type="dxa"/>
            <w:shd w:val="clear" w:color="auto" w:fill="auto"/>
            <w:vAlign w:val="center"/>
          </w:tcPr>
          <w:p w14:paraId="0C96EEDA">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400亿元（含）至1000亿元</w:t>
            </w:r>
          </w:p>
        </w:tc>
      </w:tr>
      <w:tr w14:paraId="394AA7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338E5D4F">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continue"/>
            <w:vAlign w:val="center"/>
          </w:tcPr>
          <w:p w14:paraId="2343FC29">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vAlign w:val="center"/>
          </w:tcPr>
          <w:p w14:paraId="7EB960A0">
            <w:pPr>
              <w:spacing w:line="240" w:lineRule="auto"/>
              <w:jc w:val="both"/>
              <w:rPr>
                <w:rFonts w:hint="eastAsia" w:ascii="宋体" w:hAnsi="宋体" w:eastAsia="宋体" w:cs="宋体"/>
                <w:color w:val="auto"/>
                <w:spacing w:val="6"/>
                <w:sz w:val="21"/>
                <w:szCs w:val="21"/>
                <w:highlight w:val="none"/>
                <w:vertAlign w:val="baseline"/>
              </w:rPr>
            </w:pPr>
          </w:p>
        </w:tc>
        <w:tc>
          <w:tcPr>
            <w:tcW w:w="1143" w:type="dxa"/>
            <w:shd w:val="clear" w:color="auto" w:fill="auto"/>
            <w:vAlign w:val="center"/>
          </w:tcPr>
          <w:p w14:paraId="6D76C176">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小型</w:t>
            </w:r>
          </w:p>
        </w:tc>
        <w:tc>
          <w:tcPr>
            <w:tcW w:w="3251" w:type="dxa"/>
            <w:shd w:val="clear" w:color="auto" w:fill="auto"/>
            <w:vAlign w:val="center"/>
          </w:tcPr>
          <w:p w14:paraId="0E689FDB">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20亿元（含）至400亿元</w:t>
            </w:r>
          </w:p>
        </w:tc>
      </w:tr>
      <w:tr w14:paraId="3E940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71E32AA3">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continue"/>
            <w:vAlign w:val="center"/>
          </w:tcPr>
          <w:p w14:paraId="441AB74F">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vAlign w:val="center"/>
          </w:tcPr>
          <w:p w14:paraId="715F254D">
            <w:pPr>
              <w:spacing w:line="240" w:lineRule="auto"/>
              <w:jc w:val="both"/>
              <w:rPr>
                <w:rFonts w:hint="eastAsia" w:ascii="宋体" w:hAnsi="宋体" w:eastAsia="宋体" w:cs="宋体"/>
                <w:color w:val="auto"/>
                <w:spacing w:val="6"/>
                <w:sz w:val="21"/>
                <w:szCs w:val="21"/>
                <w:highlight w:val="none"/>
                <w:vertAlign w:val="baseline"/>
              </w:rPr>
            </w:pPr>
          </w:p>
        </w:tc>
        <w:tc>
          <w:tcPr>
            <w:tcW w:w="1143" w:type="dxa"/>
            <w:shd w:val="clear" w:color="auto" w:fill="auto"/>
            <w:vAlign w:val="center"/>
          </w:tcPr>
          <w:p w14:paraId="160C098A">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微型</w:t>
            </w:r>
          </w:p>
        </w:tc>
        <w:tc>
          <w:tcPr>
            <w:tcW w:w="3251" w:type="dxa"/>
            <w:shd w:val="clear" w:color="auto" w:fill="auto"/>
            <w:vAlign w:val="center"/>
          </w:tcPr>
          <w:p w14:paraId="33182E48">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20亿元以下</w:t>
            </w:r>
          </w:p>
        </w:tc>
      </w:tr>
      <w:tr w14:paraId="61CA03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0A3463AD">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restart"/>
            <w:vAlign w:val="center"/>
          </w:tcPr>
          <w:p w14:paraId="65B75359">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控股公司服务</w:t>
            </w:r>
          </w:p>
        </w:tc>
        <w:tc>
          <w:tcPr>
            <w:tcW w:w="1817" w:type="dxa"/>
            <w:vMerge w:val="restart"/>
            <w:vAlign w:val="center"/>
          </w:tcPr>
          <w:p w14:paraId="5AA3A788">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金融控股公司</w:t>
            </w:r>
          </w:p>
        </w:tc>
        <w:tc>
          <w:tcPr>
            <w:tcW w:w="1143" w:type="dxa"/>
            <w:shd w:val="clear" w:color="auto" w:fill="auto"/>
            <w:vAlign w:val="center"/>
          </w:tcPr>
          <w:p w14:paraId="6A34EBF4">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中型</w:t>
            </w:r>
          </w:p>
        </w:tc>
        <w:tc>
          <w:tcPr>
            <w:tcW w:w="3251" w:type="dxa"/>
            <w:shd w:val="clear" w:color="auto" w:fill="auto"/>
            <w:vAlign w:val="center"/>
          </w:tcPr>
          <w:p w14:paraId="2863D8FC">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5000亿元（含）至40000亿元</w:t>
            </w:r>
          </w:p>
        </w:tc>
      </w:tr>
      <w:tr w14:paraId="61EE7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57F9BDD8">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continue"/>
            <w:vAlign w:val="center"/>
          </w:tcPr>
          <w:p w14:paraId="774A5596">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vAlign w:val="center"/>
          </w:tcPr>
          <w:p w14:paraId="658174A6">
            <w:pPr>
              <w:spacing w:line="240" w:lineRule="auto"/>
              <w:jc w:val="both"/>
              <w:rPr>
                <w:rFonts w:hint="eastAsia" w:ascii="宋体" w:hAnsi="宋体" w:eastAsia="宋体" w:cs="宋体"/>
                <w:color w:val="auto"/>
                <w:spacing w:val="6"/>
                <w:sz w:val="21"/>
                <w:szCs w:val="21"/>
                <w:highlight w:val="none"/>
                <w:vertAlign w:val="baseline"/>
              </w:rPr>
            </w:pPr>
          </w:p>
        </w:tc>
        <w:tc>
          <w:tcPr>
            <w:tcW w:w="1143" w:type="dxa"/>
            <w:shd w:val="clear" w:color="auto" w:fill="auto"/>
            <w:vAlign w:val="center"/>
          </w:tcPr>
          <w:p w14:paraId="43D84EB3">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小型</w:t>
            </w:r>
          </w:p>
        </w:tc>
        <w:tc>
          <w:tcPr>
            <w:tcW w:w="3251" w:type="dxa"/>
            <w:shd w:val="clear" w:color="auto" w:fill="auto"/>
            <w:vAlign w:val="center"/>
          </w:tcPr>
          <w:p w14:paraId="434D1F52">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50亿元（含）至5000亿元</w:t>
            </w:r>
          </w:p>
        </w:tc>
      </w:tr>
      <w:tr w14:paraId="245B3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288472CC">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continue"/>
            <w:vAlign w:val="center"/>
          </w:tcPr>
          <w:p w14:paraId="4DB4D286">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vAlign w:val="center"/>
          </w:tcPr>
          <w:p w14:paraId="72B6EDD2">
            <w:pPr>
              <w:spacing w:line="240" w:lineRule="auto"/>
              <w:jc w:val="both"/>
              <w:rPr>
                <w:rFonts w:hint="eastAsia" w:ascii="宋体" w:hAnsi="宋体" w:eastAsia="宋体" w:cs="宋体"/>
                <w:color w:val="auto"/>
                <w:spacing w:val="6"/>
                <w:sz w:val="21"/>
                <w:szCs w:val="21"/>
                <w:highlight w:val="none"/>
                <w:vertAlign w:val="baseline"/>
              </w:rPr>
            </w:pPr>
          </w:p>
        </w:tc>
        <w:tc>
          <w:tcPr>
            <w:tcW w:w="1143" w:type="dxa"/>
            <w:shd w:val="clear" w:color="auto" w:fill="auto"/>
            <w:vAlign w:val="center"/>
          </w:tcPr>
          <w:p w14:paraId="472A904B">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微型</w:t>
            </w:r>
          </w:p>
        </w:tc>
        <w:tc>
          <w:tcPr>
            <w:tcW w:w="3251" w:type="dxa"/>
            <w:shd w:val="clear" w:color="auto" w:fill="auto"/>
            <w:vAlign w:val="center"/>
          </w:tcPr>
          <w:p w14:paraId="1FC344BB">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50亿元以下</w:t>
            </w:r>
          </w:p>
        </w:tc>
      </w:tr>
      <w:tr w14:paraId="3F9EF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119" w:type="dxa"/>
            <w:vMerge w:val="continue"/>
            <w:vAlign w:val="center"/>
          </w:tcPr>
          <w:p w14:paraId="046E9137">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restart"/>
            <w:vAlign w:val="center"/>
          </w:tcPr>
          <w:p w14:paraId="10B14656">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其他未包括的金融业</w:t>
            </w:r>
          </w:p>
        </w:tc>
        <w:tc>
          <w:tcPr>
            <w:tcW w:w="1817" w:type="dxa"/>
            <w:vMerge w:val="restart"/>
            <w:vAlign w:val="center"/>
          </w:tcPr>
          <w:p w14:paraId="3E665F4F">
            <w:pPr>
              <w:spacing w:line="240" w:lineRule="auto"/>
              <w:jc w:val="both"/>
              <w:rPr>
                <w:rFonts w:hint="eastAsia" w:ascii="宋体" w:hAnsi="宋体" w:eastAsia="宋体" w:cs="宋体"/>
                <w:color w:val="auto"/>
                <w:spacing w:val="6"/>
                <w:sz w:val="21"/>
                <w:szCs w:val="21"/>
                <w:highlight w:val="none"/>
                <w:vertAlign w:val="baseline"/>
              </w:rPr>
            </w:pPr>
            <w:r>
              <w:rPr>
                <w:rFonts w:hint="eastAsia" w:ascii="宋体" w:hAnsi="宋体" w:eastAsia="宋体" w:cs="宋体"/>
                <w:color w:val="auto"/>
                <w:spacing w:val="6"/>
                <w:sz w:val="21"/>
                <w:szCs w:val="21"/>
                <w:highlight w:val="none"/>
                <w:vertAlign w:val="baseline"/>
              </w:rPr>
              <w:t>除贷款公司、小额贷款公司、典当行以外的其他金融机构</w:t>
            </w:r>
          </w:p>
        </w:tc>
        <w:tc>
          <w:tcPr>
            <w:tcW w:w="1143" w:type="dxa"/>
            <w:shd w:val="clear" w:color="auto" w:fill="auto"/>
            <w:vAlign w:val="center"/>
          </w:tcPr>
          <w:p w14:paraId="00510279">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中型</w:t>
            </w:r>
          </w:p>
        </w:tc>
        <w:tc>
          <w:tcPr>
            <w:tcW w:w="3251" w:type="dxa"/>
            <w:shd w:val="clear" w:color="auto" w:fill="auto"/>
            <w:vAlign w:val="center"/>
          </w:tcPr>
          <w:p w14:paraId="6033F5D6">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200亿元（含）至1000亿元</w:t>
            </w:r>
          </w:p>
        </w:tc>
      </w:tr>
      <w:tr w14:paraId="34EBC9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1119" w:type="dxa"/>
            <w:vMerge w:val="continue"/>
          </w:tcPr>
          <w:p w14:paraId="04848A28">
            <w:pPr>
              <w:spacing w:line="240" w:lineRule="auto"/>
              <w:rPr>
                <w:rFonts w:hint="eastAsia" w:ascii="宋体" w:hAnsi="宋体" w:eastAsia="宋体" w:cs="宋体"/>
                <w:color w:val="auto"/>
                <w:spacing w:val="6"/>
                <w:sz w:val="21"/>
                <w:szCs w:val="21"/>
                <w:highlight w:val="none"/>
                <w:vertAlign w:val="baseline"/>
              </w:rPr>
            </w:pPr>
          </w:p>
        </w:tc>
        <w:tc>
          <w:tcPr>
            <w:tcW w:w="1168" w:type="dxa"/>
            <w:vMerge w:val="continue"/>
          </w:tcPr>
          <w:p w14:paraId="2F2E72F9">
            <w:pPr>
              <w:spacing w:line="240" w:lineRule="auto"/>
              <w:rPr>
                <w:rFonts w:hint="eastAsia" w:ascii="宋体" w:hAnsi="宋体" w:eastAsia="宋体" w:cs="宋体"/>
                <w:color w:val="auto"/>
                <w:spacing w:val="6"/>
                <w:sz w:val="21"/>
                <w:szCs w:val="21"/>
                <w:highlight w:val="none"/>
                <w:vertAlign w:val="baseline"/>
              </w:rPr>
            </w:pPr>
          </w:p>
        </w:tc>
        <w:tc>
          <w:tcPr>
            <w:tcW w:w="1817" w:type="dxa"/>
            <w:vMerge w:val="continue"/>
          </w:tcPr>
          <w:p w14:paraId="179DE2D0">
            <w:pPr>
              <w:spacing w:line="240" w:lineRule="auto"/>
              <w:rPr>
                <w:rFonts w:hint="eastAsia" w:ascii="宋体" w:hAnsi="宋体" w:eastAsia="宋体" w:cs="宋体"/>
                <w:color w:val="auto"/>
                <w:spacing w:val="6"/>
                <w:sz w:val="21"/>
                <w:szCs w:val="21"/>
                <w:highlight w:val="none"/>
                <w:vertAlign w:val="baseline"/>
              </w:rPr>
            </w:pPr>
          </w:p>
        </w:tc>
        <w:tc>
          <w:tcPr>
            <w:tcW w:w="1143" w:type="dxa"/>
            <w:shd w:val="clear" w:color="auto" w:fill="auto"/>
            <w:vAlign w:val="center"/>
          </w:tcPr>
          <w:p w14:paraId="1E623338">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小型</w:t>
            </w:r>
          </w:p>
        </w:tc>
        <w:tc>
          <w:tcPr>
            <w:tcW w:w="3251" w:type="dxa"/>
            <w:shd w:val="clear" w:color="auto" w:fill="auto"/>
            <w:vAlign w:val="center"/>
          </w:tcPr>
          <w:p w14:paraId="12916BB7">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50亿元（含）至200亿元</w:t>
            </w:r>
          </w:p>
        </w:tc>
      </w:tr>
      <w:tr w14:paraId="6DDCDE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119" w:type="dxa"/>
            <w:vMerge w:val="continue"/>
          </w:tcPr>
          <w:p w14:paraId="0F1E7A7B">
            <w:pPr>
              <w:spacing w:line="240" w:lineRule="auto"/>
              <w:rPr>
                <w:rFonts w:hint="eastAsia" w:ascii="宋体" w:hAnsi="宋体" w:eastAsia="宋体" w:cs="宋体"/>
                <w:color w:val="auto"/>
                <w:spacing w:val="6"/>
                <w:sz w:val="21"/>
                <w:szCs w:val="21"/>
                <w:highlight w:val="none"/>
                <w:vertAlign w:val="baseline"/>
              </w:rPr>
            </w:pPr>
          </w:p>
        </w:tc>
        <w:tc>
          <w:tcPr>
            <w:tcW w:w="1168" w:type="dxa"/>
            <w:vMerge w:val="continue"/>
          </w:tcPr>
          <w:p w14:paraId="08010151">
            <w:pPr>
              <w:spacing w:line="240" w:lineRule="auto"/>
              <w:rPr>
                <w:rFonts w:hint="eastAsia" w:ascii="宋体" w:hAnsi="宋体" w:eastAsia="宋体" w:cs="宋体"/>
                <w:color w:val="auto"/>
                <w:spacing w:val="6"/>
                <w:sz w:val="21"/>
                <w:szCs w:val="21"/>
                <w:highlight w:val="none"/>
                <w:vertAlign w:val="baseline"/>
              </w:rPr>
            </w:pPr>
          </w:p>
        </w:tc>
        <w:tc>
          <w:tcPr>
            <w:tcW w:w="1817" w:type="dxa"/>
            <w:vMerge w:val="continue"/>
          </w:tcPr>
          <w:p w14:paraId="71A393FF">
            <w:pPr>
              <w:spacing w:line="240" w:lineRule="auto"/>
              <w:rPr>
                <w:rFonts w:hint="eastAsia" w:ascii="宋体" w:hAnsi="宋体" w:eastAsia="宋体" w:cs="宋体"/>
                <w:color w:val="auto"/>
                <w:spacing w:val="6"/>
                <w:sz w:val="21"/>
                <w:szCs w:val="21"/>
                <w:highlight w:val="none"/>
                <w:vertAlign w:val="baseline"/>
              </w:rPr>
            </w:pPr>
          </w:p>
        </w:tc>
        <w:tc>
          <w:tcPr>
            <w:tcW w:w="1143" w:type="dxa"/>
            <w:shd w:val="clear" w:color="auto" w:fill="auto"/>
            <w:vAlign w:val="center"/>
          </w:tcPr>
          <w:p w14:paraId="668714F1">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微型</w:t>
            </w:r>
          </w:p>
        </w:tc>
        <w:tc>
          <w:tcPr>
            <w:tcW w:w="3251" w:type="dxa"/>
            <w:shd w:val="clear" w:color="auto" w:fill="auto"/>
            <w:vAlign w:val="center"/>
          </w:tcPr>
          <w:p w14:paraId="1913FA3F">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50亿元以下</w:t>
            </w:r>
          </w:p>
        </w:tc>
      </w:tr>
    </w:tbl>
    <w:p w14:paraId="76252C9C">
      <w:pPr>
        <w:pStyle w:val="17"/>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方正小标宋_GBK" w:hAnsi="方正小标宋_GBK" w:eastAsia="方正小标宋_GBK" w:cs="方正小标宋_GBK"/>
          <w:bCs/>
          <w:color w:val="auto"/>
          <w:sz w:val="36"/>
          <w:szCs w:val="36"/>
          <w:highlight w:val="none"/>
          <w:lang w:val="en-US" w:eastAsia="zh-CN"/>
        </w:rPr>
      </w:pPr>
      <w:r>
        <w:rPr>
          <w:rFonts w:cs="宋体"/>
          <w:color w:val="auto"/>
          <w:spacing w:val="6"/>
          <w:sz w:val="21"/>
          <w:szCs w:val="21"/>
          <w:highlight w:val="none"/>
        </w:rPr>
        <w:br w:type="page"/>
      </w:r>
    </w:p>
    <w:p w14:paraId="0711552D">
      <w:pPr>
        <w:pStyle w:val="4"/>
        <w:keepNext/>
        <w:keepLines/>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theme="minorBidi"/>
          <w:b/>
          <w:bCs/>
          <w:color w:val="auto"/>
          <w:kern w:val="2"/>
          <w:sz w:val="24"/>
          <w:szCs w:val="24"/>
          <w:highlight w:val="none"/>
          <w:lang w:val="en-US" w:eastAsia="zh-CN" w:bidi="ar-SA"/>
        </w:rPr>
      </w:pPr>
      <w:bookmarkStart w:id="635" w:name="_Toc4673"/>
      <w:r>
        <w:rPr>
          <w:rFonts w:hint="eastAsia" w:ascii="宋体" w:hAnsi="宋体" w:eastAsia="宋体" w:cstheme="minorBidi"/>
          <w:b/>
          <w:bCs/>
          <w:color w:val="auto"/>
          <w:kern w:val="2"/>
          <w:sz w:val="24"/>
          <w:szCs w:val="24"/>
          <w:highlight w:val="none"/>
          <w:lang w:val="en-US" w:eastAsia="zh-CN" w:bidi="ar-SA"/>
        </w:rPr>
        <w:t>（三）监狱企业证明文件</w:t>
      </w:r>
      <w:r>
        <w:rPr>
          <w:rFonts w:hint="eastAsia" w:ascii="宋体" w:hAnsi="宋体" w:eastAsia="宋体" w:cstheme="minorBidi"/>
          <w:b w:val="0"/>
          <w:bCs w:val="0"/>
          <w:color w:val="auto"/>
          <w:kern w:val="2"/>
          <w:sz w:val="24"/>
          <w:szCs w:val="24"/>
          <w:highlight w:val="none"/>
          <w:lang w:val="en-US" w:eastAsia="zh-CN" w:bidi="ar-SA"/>
        </w:rPr>
        <w:t>【如适用】</w:t>
      </w:r>
      <w:bookmarkEnd w:id="634"/>
      <w:bookmarkEnd w:id="635"/>
    </w:p>
    <w:p w14:paraId="744F56E2">
      <w:pPr>
        <w:rPr>
          <w:rFonts w:cs="仿宋_GB2312"/>
          <w:b/>
          <w:color w:val="auto"/>
          <w:sz w:val="24"/>
          <w:szCs w:val="24"/>
          <w:highlight w:val="none"/>
        </w:rPr>
      </w:pPr>
    </w:p>
    <w:p w14:paraId="23D1BFCD">
      <w:pPr>
        <w:adjustRightInd w:val="0"/>
        <w:snapToGrid w:val="0"/>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【监狱企业应当提供由省级及以上监狱管理局、戒毒管理局（含新疆生产建设兵团）出具的监狱企业的证明文件，格式</w:t>
      </w:r>
      <w:r>
        <w:rPr>
          <w:rFonts w:hint="eastAsia" w:ascii="宋体" w:hAnsi="宋体" w:eastAsia="宋体" w:cs="宋体"/>
          <w:color w:val="auto"/>
          <w:sz w:val="24"/>
          <w:szCs w:val="24"/>
          <w:highlight w:val="none"/>
          <w:lang w:val="en-US" w:eastAsia="zh-CN"/>
        </w:rPr>
        <w:t>如下</w:t>
      </w:r>
      <w:r>
        <w:rPr>
          <w:rFonts w:hint="eastAsia" w:ascii="宋体" w:hAnsi="宋体" w:eastAsia="宋体" w:cs="宋体"/>
          <w:color w:val="auto"/>
          <w:sz w:val="24"/>
          <w:szCs w:val="24"/>
          <w:highlight w:val="none"/>
        </w:rPr>
        <w:t>】。</w:t>
      </w:r>
    </w:p>
    <w:p w14:paraId="75238DB1">
      <w:pPr>
        <w:pStyle w:val="17"/>
        <w:spacing w:line="360" w:lineRule="auto"/>
        <w:jc w:val="center"/>
        <w:rPr>
          <w:rFonts w:hint="eastAsia" w:ascii="宋体" w:hAnsi="宋体" w:eastAsia="宋体" w:cs="宋体"/>
          <w:b/>
          <w:bCs w:val="0"/>
          <w:color w:val="auto"/>
          <w:sz w:val="32"/>
          <w:szCs w:val="32"/>
          <w:highlight w:val="none"/>
        </w:rPr>
      </w:pPr>
    </w:p>
    <w:p w14:paraId="3EAA5E2A">
      <w:pPr>
        <w:pStyle w:val="17"/>
        <w:spacing w:line="360" w:lineRule="auto"/>
        <w:jc w:val="center"/>
        <w:rPr>
          <w:rFonts w:hint="eastAsia" w:ascii="宋体" w:hAnsi="宋体" w:eastAsia="宋体" w:cs="宋体"/>
          <w:b/>
          <w:bCs w:val="0"/>
          <w:color w:val="auto"/>
          <w:sz w:val="32"/>
          <w:szCs w:val="32"/>
          <w:highlight w:val="none"/>
        </w:rPr>
      </w:pPr>
      <w:r>
        <w:rPr>
          <w:rFonts w:hint="eastAsia" w:ascii="宋体" w:hAnsi="宋体" w:eastAsia="宋体" w:cs="宋体"/>
          <w:b/>
          <w:bCs w:val="0"/>
          <w:color w:val="auto"/>
          <w:sz w:val="32"/>
          <w:szCs w:val="32"/>
          <w:highlight w:val="none"/>
        </w:rPr>
        <w:t>监狱企业证明函</w:t>
      </w:r>
    </w:p>
    <w:p w14:paraId="73EFA9C1">
      <w:pPr>
        <w:spacing w:line="360" w:lineRule="auto"/>
        <w:rPr>
          <w:rFonts w:hint="eastAsia" w:ascii="仿宋_GB2312" w:hAnsi="仿宋_GB2312" w:eastAsia="仿宋_GB2312" w:cs="仿宋_GB2312"/>
          <w:color w:val="auto"/>
          <w:sz w:val="32"/>
          <w:szCs w:val="32"/>
          <w:highlight w:val="none"/>
        </w:rPr>
      </w:pPr>
    </w:p>
    <w:p w14:paraId="7E6FDB37">
      <w:pPr>
        <w:ind w:firstLine="504" w:firstLineChars="200"/>
        <w:rPr>
          <w:rFonts w:hint="eastAsia" w:cs="宋体"/>
          <w:color w:val="auto"/>
          <w:spacing w:val="6"/>
          <w:szCs w:val="24"/>
          <w:highlight w:val="none"/>
        </w:rPr>
      </w:pPr>
      <w:r>
        <w:rPr>
          <w:rFonts w:hint="eastAsia" w:cs="宋体"/>
          <w:color w:val="auto"/>
          <w:spacing w:val="6"/>
          <w:szCs w:val="24"/>
          <w:highlight w:val="none"/>
        </w:rPr>
        <w:t>本公司郑重声明，根据财政部、司法部《关于政府采购支持监狱企业发展有关问题的通知》（财库</w:t>
      </w:r>
      <w:r>
        <w:rPr>
          <w:rFonts w:hint="eastAsia" w:ascii="微软雅黑" w:hAnsi="微软雅黑" w:eastAsia="微软雅黑" w:cs="微软雅黑"/>
          <w:color w:val="auto"/>
          <w:spacing w:val="6"/>
          <w:szCs w:val="24"/>
          <w:highlight w:val="none"/>
          <w:lang w:eastAsia="zh-CN"/>
        </w:rPr>
        <w:t>〔</w:t>
      </w:r>
      <w:r>
        <w:rPr>
          <w:rFonts w:hint="eastAsia" w:cs="宋体"/>
          <w:color w:val="auto"/>
          <w:spacing w:val="6"/>
          <w:szCs w:val="24"/>
          <w:highlight w:val="none"/>
        </w:rPr>
        <w:t>2014</w:t>
      </w:r>
      <w:r>
        <w:rPr>
          <w:rFonts w:hint="eastAsia" w:ascii="微软雅黑" w:hAnsi="微软雅黑" w:eastAsia="微软雅黑" w:cs="微软雅黑"/>
          <w:color w:val="auto"/>
          <w:spacing w:val="6"/>
          <w:szCs w:val="24"/>
          <w:highlight w:val="none"/>
          <w:lang w:eastAsia="zh-CN"/>
        </w:rPr>
        <w:t>〕</w:t>
      </w:r>
      <w:r>
        <w:rPr>
          <w:rFonts w:hint="eastAsia" w:cs="宋体"/>
          <w:color w:val="auto"/>
          <w:spacing w:val="6"/>
          <w:szCs w:val="24"/>
          <w:highlight w:val="none"/>
        </w:rPr>
        <w:t>68号）的规定，本公司为监狱企业。</w:t>
      </w:r>
    </w:p>
    <w:p w14:paraId="3C2CE4C6">
      <w:pPr>
        <w:spacing w:line="360" w:lineRule="auto"/>
        <w:rPr>
          <w:rFonts w:hint="eastAsia" w:ascii="宋体" w:hAnsi="宋体" w:eastAsia="宋体" w:cs="宋体"/>
          <w:color w:val="auto"/>
          <w:sz w:val="24"/>
          <w:szCs w:val="24"/>
          <w:highlight w:val="none"/>
        </w:rPr>
      </w:pPr>
    </w:p>
    <w:p w14:paraId="25406F97">
      <w:pPr>
        <w:ind w:firstLine="4440" w:firstLineChars="1850"/>
        <w:rPr>
          <w:rFonts w:hint="eastAsia" w:ascii="宋体" w:hAnsi="宋体" w:eastAsia="宋体" w:cs="宋体"/>
          <w:color w:val="auto"/>
          <w:sz w:val="24"/>
          <w:szCs w:val="24"/>
          <w:highlight w:val="none"/>
        </w:rPr>
      </w:pPr>
    </w:p>
    <w:p w14:paraId="44FF352C">
      <w:pPr>
        <w:ind w:firstLine="4440" w:firstLineChars="1850"/>
        <w:rPr>
          <w:rFonts w:hint="eastAsia" w:ascii="宋体" w:hAnsi="宋体" w:eastAsia="宋体" w:cs="宋体"/>
          <w:color w:val="auto"/>
          <w:sz w:val="24"/>
          <w:szCs w:val="24"/>
          <w:highlight w:val="none"/>
        </w:rPr>
      </w:pPr>
    </w:p>
    <w:p w14:paraId="0841D36F">
      <w:pPr>
        <w:ind w:right="1008" w:firstLine="4284" w:firstLineChars="1700"/>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lang w:val="en-US" w:eastAsia="zh-CN"/>
        </w:rPr>
        <w:t>投标人</w:t>
      </w:r>
      <w:r>
        <w:rPr>
          <w:rFonts w:hint="eastAsia" w:ascii="宋体" w:hAnsi="宋体" w:eastAsia="宋体" w:cs="宋体"/>
          <w:color w:val="auto"/>
          <w:spacing w:val="6"/>
          <w:sz w:val="24"/>
          <w:szCs w:val="24"/>
          <w:highlight w:val="none"/>
        </w:rPr>
        <w:t>名称</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ascii="宋体" w:hAnsi="宋体" w:cs="宋体"/>
          <w:color w:val="auto"/>
          <w:kern w:val="0"/>
          <w:sz w:val="24"/>
          <w:highlight w:val="none"/>
          <w:lang w:val="zh-CN"/>
        </w:rPr>
        <w:t>)</w:t>
      </w:r>
      <w:r>
        <w:rPr>
          <w:rFonts w:hint="eastAsia" w:ascii="宋体" w:hAnsi="宋体" w:eastAsia="宋体" w:cs="宋体"/>
          <w:color w:val="auto"/>
          <w:spacing w:val="6"/>
          <w:sz w:val="24"/>
          <w:szCs w:val="24"/>
          <w:highlight w:val="none"/>
        </w:rPr>
        <w:t>：</w:t>
      </w:r>
    </w:p>
    <w:p w14:paraId="3678CEA7">
      <w:pPr>
        <w:ind w:right="1008" w:firstLine="4284" w:firstLineChars="1700"/>
        <w:rPr>
          <w:rFonts w:hint="eastAsia" w:ascii="宋体" w:hAnsi="宋体" w:eastAsia="宋体" w:cs="宋体"/>
          <w:color w:val="auto"/>
          <w:spacing w:val="6"/>
          <w:sz w:val="24"/>
          <w:szCs w:val="24"/>
          <w:highlight w:val="none"/>
          <w:lang w:val="en-US" w:eastAsia="zh-CN"/>
        </w:rPr>
      </w:pPr>
      <w:r>
        <w:rPr>
          <w:rFonts w:hint="eastAsia" w:ascii="宋体" w:hAnsi="宋体" w:eastAsia="宋体" w:cs="宋体"/>
          <w:color w:val="auto"/>
          <w:spacing w:val="6"/>
          <w:sz w:val="24"/>
          <w:szCs w:val="24"/>
          <w:highlight w:val="none"/>
        </w:rPr>
        <w:t>日期：</w:t>
      </w:r>
      <w:r>
        <w:rPr>
          <w:rFonts w:hint="eastAsia" w:ascii="宋体" w:hAnsi="宋体" w:eastAsia="宋体" w:cs="宋体"/>
          <w:color w:val="auto"/>
          <w:spacing w:val="6"/>
          <w:sz w:val="24"/>
          <w:szCs w:val="24"/>
          <w:highlight w:val="none"/>
          <w:lang w:val="en-US" w:eastAsia="zh-CN"/>
        </w:rPr>
        <w:t xml:space="preserve">   年  月  日</w:t>
      </w:r>
    </w:p>
    <w:p w14:paraId="75D11779">
      <w:pPr>
        <w:spacing w:line="360" w:lineRule="auto"/>
        <w:ind w:firstLine="240" w:firstLineChars="100"/>
        <w:rPr>
          <w:rFonts w:hint="eastAsia" w:ascii="宋体" w:hAnsi="宋体" w:eastAsia="宋体" w:cs="宋体"/>
          <w:color w:val="auto"/>
          <w:sz w:val="24"/>
          <w:szCs w:val="24"/>
          <w:highlight w:val="none"/>
        </w:rPr>
      </w:pPr>
    </w:p>
    <w:p w14:paraId="7B8735C9">
      <w:pPr>
        <w:spacing w:line="360" w:lineRule="auto"/>
        <w:ind w:firstLine="240" w:firstLineChars="100"/>
        <w:rPr>
          <w:rFonts w:hint="eastAsia" w:ascii="宋体" w:hAnsi="宋体" w:eastAsia="宋体" w:cs="宋体"/>
          <w:color w:val="auto"/>
          <w:sz w:val="24"/>
          <w:szCs w:val="24"/>
          <w:highlight w:val="none"/>
        </w:rPr>
      </w:pPr>
    </w:p>
    <w:p w14:paraId="32722C7E">
      <w:pPr>
        <w:spacing w:line="360" w:lineRule="auto"/>
        <w:ind w:firstLine="3360" w:firstLineChars="14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省级以上监狱管理局、戒毒管理局</w:t>
      </w:r>
    </w:p>
    <w:p w14:paraId="20204BC0">
      <w:pPr>
        <w:ind w:firstLine="3360" w:firstLineChars="14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（含新疆生产建设兵团）（盖章）：  </w:t>
      </w:r>
    </w:p>
    <w:p w14:paraId="4A414B41">
      <w:pPr>
        <w:ind w:firstLine="4320" w:firstLineChars="18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pacing w:val="6"/>
          <w:sz w:val="24"/>
          <w:szCs w:val="24"/>
          <w:highlight w:val="none"/>
          <w:lang w:val="en-US" w:eastAsia="zh-CN"/>
        </w:rPr>
        <w:t xml:space="preserve">   年  月  日</w:t>
      </w:r>
    </w:p>
    <w:p w14:paraId="028B0253">
      <w:pPr>
        <w:spacing w:line="360" w:lineRule="auto"/>
        <w:ind w:firstLine="240" w:firstLineChars="100"/>
        <w:rPr>
          <w:rFonts w:hint="eastAsia" w:ascii="宋体" w:hAnsi="宋体" w:eastAsia="宋体" w:cs="宋体"/>
          <w:color w:val="auto"/>
          <w:sz w:val="24"/>
          <w:szCs w:val="24"/>
          <w:highlight w:val="none"/>
        </w:rPr>
      </w:pPr>
    </w:p>
    <w:p w14:paraId="4A20867A">
      <w:pPr>
        <w:spacing w:line="360" w:lineRule="auto"/>
        <w:ind w:firstLine="4000" w:firstLineChars="1250"/>
        <w:rPr>
          <w:rFonts w:hint="eastAsia" w:ascii="仿宋_GB2312" w:hAnsi="仿宋_GB2312" w:eastAsia="仿宋_GB2312" w:cs="仿宋_GB2312"/>
          <w:color w:val="auto"/>
          <w:sz w:val="32"/>
          <w:szCs w:val="32"/>
          <w:highlight w:val="none"/>
        </w:rPr>
      </w:pPr>
    </w:p>
    <w:p w14:paraId="206A9633">
      <w:pPr>
        <w:spacing w:line="360" w:lineRule="auto"/>
        <w:rPr>
          <w:rFonts w:hint="eastAsia" w:ascii="仿宋_GB2312" w:hAnsi="仿宋_GB2312" w:eastAsia="仿宋_GB2312" w:cs="仿宋_GB2312"/>
          <w:color w:val="auto"/>
          <w:sz w:val="32"/>
          <w:szCs w:val="32"/>
          <w:highlight w:val="none"/>
        </w:rPr>
      </w:pPr>
    </w:p>
    <w:p w14:paraId="283F77FC">
      <w:pPr>
        <w:widowControl/>
        <w:spacing w:before="100" w:beforeAutospacing="1" w:after="100" w:afterAutospacing="1"/>
        <w:rPr>
          <w:rFonts w:ascii="Arial" w:hAnsi="Arial" w:cs="Arial"/>
          <w:color w:val="auto"/>
          <w:sz w:val="21"/>
          <w:szCs w:val="21"/>
          <w:highlight w:val="none"/>
        </w:rPr>
      </w:pPr>
    </w:p>
    <w:p w14:paraId="3ACDD48E">
      <w:pPr>
        <w:widowControl/>
        <w:spacing w:before="100" w:beforeAutospacing="1" w:after="100" w:afterAutospacing="1"/>
        <w:rPr>
          <w:rFonts w:ascii="Arial" w:hAnsi="Arial" w:cs="Arial"/>
          <w:color w:val="auto"/>
          <w:sz w:val="21"/>
          <w:szCs w:val="21"/>
          <w:highlight w:val="none"/>
        </w:rPr>
      </w:pPr>
    </w:p>
    <w:p w14:paraId="22F7A202">
      <w:pPr>
        <w:widowControl/>
        <w:spacing w:before="100" w:beforeAutospacing="1" w:after="100" w:afterAutospacing="1"/>
        <w:rPr>
          <w:rFonts w:ascii="Arial" w:hAnsi="Arial" w:cs="Arial"/>
          <w:color w:val="auto"/>
          <w:sz w:val="21"/>
          <w:szCs w:val="21"/>
          <w:highlight w:val="none"/>
        </w:rPr>
      </w:pPr>
    </w:p>
    <w:p w14:paraId="24405F32">
      <w:pPr>
        <w:pStyle w:val="4"/>
        <w:keepNext/>
        <w:keepLines/>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theme="minorBidi"/>
          <w:b/>
          <w:bCs/>
          <w:color w:val="auto"/>
          <w:kern w:val="2"/>
          <w:sz w:val="24"/>
          <w:szCs w:val="24"/>
          <w:highlight w:val="none"/>
          <w:lang w:val="en-US" w:eastAsia="zh-CN" w:bidi="ar-SA"/>
        </w:rPr>
      </w:pPr>
      <w:bookmarkStart w:id="636" w:name="_Toc163492941"/>
    </w:p>
    <w:p w14:paraId="05E6EFA2">
      <w:pPr>
        <w:pStyle w:val="4"/>
        <w:keepNext/>
        <w:keepLines/>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theme="minorBidi"/>
          <w:b/>
          <w:bCs/>
          <w:color w:val="auto"/>
          <w:kern w:val="2"/>
          <w:sz w:val="24"/>
          <w:szCs w:val="24"/>
          <w:highlight w:val="none"/>
          <w:lang w:val="en-US" w:eastAsia="zh-CN" w:bidi="ar-SA"/>
        </w:rPr>
      </w:pPr>
      <w:bookmarkStart w:id="637" w:name="_Toc12492"/>
      <w:r>
        <w:rPr>
          <w:rFonts w:hint="eastAsia" w:ascii="宋体" w:hAnsi="宋体" w:eastAsia="宋体" w:cstheme="minorBidi"/>
          <w:b/>
          <w:bCs/>
          <w:color w:val="auto"/>
          <w:kern w:val="2"/>
          <w:sz w:val="24"/>
          <w:szCs w:val="24"/>
          <w:highlight w:val="none"/>
          <w:lang w:val="en-US" w:eastAsia="zh-CN" w:bidi="ar-SA"/>
        </w:rPr>
        <w:t>（四）残疾人福利性单位声明函</w:t>
      </w:r>
      <w:r>
        <w:rPr>
          <w:rFonts w:hint="eastAsia" w:ascii="宋体" w:hAnsi="宋体" w:eastAsia="宋体" w:cstheme="minorBidi"/>
          <w:b w:val="0"/>
          <w:bCs w:val="0"/>
          <w:color w:val="auto"/>
          <w:kern w:val="2"/>
          <w:sz w:val="24"/>
          <w:szCs w:val="24"/>
          <w:highlight w:val="none"/>
          <w:lang w:val="en-US" w:eastAsia="zh-CN" w:bidi="ar-SA"/>
        </w:rPr>
        <w:t>【如适用】</w:t>
      </w:r>
      <w:bookmarkEnd w:id="636"/>
      <w:bookmarkEnd w:id="637"/>
    </w:p>
    <w:p w14:paraId="0EAC9468">
      <w:pPr>
        <w:pStyle w:val="39"/>
        <w:numPr>
          <w:ilvl w:val="0"/>
          <w:numId w:val="0"/>
        </w:numPr>
        <w:ind w:left="420" w:leftChars="0" w:hanging="420" w:firstLineChars="0"/>
        <w:jc w:val="center"/>
        <w:rPr>
          <w:rFonts w:hint="eastAsia"/>
          <w:b/>
          <w:bCs/>
          <w:color w:val="auto"/>
          <w:sz w:val="32"/>
          <w:szCs w:val="32"/>
          <w:highlight w:val="none"/>
        </w:rPr>
      </w:pPr>
    </w:p>
    <w:p w14:paraId="091B47EA">
      <w:pPr>
        <w:pStyle w:val="39"/>
        <w:numPr>
          <w:ilvl w:val="0"/>
          <w:numId w:val="0"/>
        </w:numPr>
        <w:ind w:left="420" w:leftChars="0" w:hanging="420" w:firstLineChars="0"/>
        <w:jc w:val="center"/>
        <w:rPr>
          <w:b/>
          <w:bCs/>
          <w:color w:val="auto"/>
          <w:sz w:val="32"/>
          <w:szCs w:val="32"/>
          <w:highlight w:val="none"/>
        </w:rPr>
      </w:pPr>
      <w:r>
        <w:rPr>
          <w:rFonts w:hint="eastAsia"/>
          <w:b/>
          <w:bCs/>
          <w:color w:val="auto"/>
          <w:sz w:val="32"/>
          <w:szCs w:val="32"/>
          <w:highlight w:val="none"/>
        </w:rPr>
        <w:t>残疾人福利性单位声明函</w:t>
      </w:r>
    </w:p>
    <w:p w14:paraId="28D13EE8">
      <w:pPr>
        <w:wordWrap w:val="0"/>
        <w:ind w:firstLine="480" w:firstLineChars="200"/>
        <w:rPr>
          <w:rFonts w:hint="eastAsia"/>
          <w:color w:val="auto"/>
          <w:szCs w:val="24"/>
          <w:highlight w:val="none"/>
        </w:rPr>
      </w:pPr>
    </w:p>
    <w:p w14:paraId="2B2B6A0A">
      <w:pPr>
        <w:wordWrap w:val="0"/>
        <w:ind w:firstLine="480" w:firstLineChars="200"/>
        <w:rPr>
          <w:i w:val="0"/>
          <w:iCs w:val="0"/>
          <w:color w:val="auto"/>
          <w:szCs w:val="24"/>
          <w:highlight w:val="none"/>
        </w:rPr>
      </w:pPr>
      <w:r>
        <w:rPr>
          <w:rFonts w:hint="eastAsia"/>
          <w:i w:val="0"/>
          <w:iCs w:val="0"/>
          <w:color w:val="auto"/>
          <w:szCs w:val="24"/>
          <w:highlight w:val="none"/>
        </w:rPr>
        <w:t>本公司（联合体）郑重声明，根据《财政部 民政部 中国残疾人联合会关于促进残疾人就业政府采购政策的通知》（财库〔2017〕141号）的规定，本公司（联合体）参加</w:t>
      </w:r>
      <w:r>
        <w:rPr>
          <w:rFonts w:hint="eastAsia"/>
          <w:i w:val="0"/>
          <w:iCs w:val="0"/>
          <w:color w:val="auto"/>
          <w:szCs w:val="24"/>
          <w:highlight w:val="none"/>
          <w:u w:val="single"/>
        </w:rPr>
        <w:t xml:space="preserve"> （单位名称） </w:t>
      </w:r>
      <w:r>
        <w:rPr>
          <w:rFonts w:hint="eastAsia"/>
          <w:i w:val="0"/>
          <w:iCs w:val="0"/>
          <w:color w:val="auto"/>
          <w:szCs w:val="24"/>
          <w:highlight w:val="none"/>
        </w:rPr>
        <w:t>的</w:t>
      </w:r>
      <w:r>
        <w:rPr>
          <w:rFonts w:hint="eastAsia"/>
          <w:i w:val="0"/>
          <w:iCs w:val="0"/>
          <w:color w:val="auto"/>
          <w:szCs w:val="24"/>
          <w:highlight w:val="none"/>
          <w:u w:val="single"/>
        </w:rPr>
        <w:t xml:space="preserve"> （项目名称） </w:t>
      </w:r>
      <w:r>
        <w:rPr>
          <w:rFonts w:hint="eastAsia"/>
          <w:i w:val="0"/>
          <w:iCs w:val="0"/>
          <w:color w:val="auto"/>
          <w:szCs w:val="24"/>
          <w:highlight w:val="none"/>
        </w:rPr>
        <w:t>采购活动，提供的</w:t>
      </w:r>
      <w:r>
        <w:rPr>
          <w:rFonts w:hint="eastAsia"/>
          <w:i w:val="0"/>
          <w:iCs w:val="0"/>
          <w:color w:val="auto"/>
          <w:szCs w:val="24"/>
          <w:highlight w:val="none"/>
          <w:lang w:val="en-US" w:eastAsia="zh-CN"/>
        </w:rPr>
        <w:t>服务及</w:t>
      </w:r>
      <w:r>
        <w:rPr>
          <w:rFonts w:hint="eastAsia"/>
          <w:i w:val="0"/>
          <w:iCs w:val="0"/>
          <w:color w:val="auto"/>
          <w:szCs w:val="24"/>
          <w:highlight w:val="none"/>
        </w:rPr>
        <w:t>货物</w:t>
      </w:r>
      <w:r>
        <w:rPr>
          <w:rFonts w:hint="eastAsia"/>
          <w:b/>
          <w:i w:val="0"/>
          <w:iCs w:val="0"/>
          <w:color w:val="auto"/>
          <w:szCs w:val="24"/>
          <w:highlight w:val="none"/>
        </w:rPr>
        <w:t>全部由</w:t>
      </w:r>
      <w:r>
        <w:rPr>
          <w:rFonts w:hint="eastAsia"/>
          <w:i w:val="0"/>
          <w:iCs w:val="0"/>
          <w:color w:val="auto"/>
          <w:szCs w:val="24"/>
          <w:highlight w:val="none"/>
        </w:rPr>
        <w:t>符合政策要求的</w:t>
      </w:r>
      <w:r>
        <w:rPr>
          <w:rFonts w:hint="eastAsia"/>
          <w:b/>
          <w:i w:val="0"/>
          <w:iCs w:val="0"/>
          <w:color w:val="auto"/>
          <w:szCs w:val="24"/>
          <w:highlight w:val="none"/>
        </w:rPr>
        <w:t>残疾人福利性单位</w:t>
      </w:r>
      <w:r>
        <w:rPr>
          <w:rFonts w:hint="eastAsia"/>
          <w:b/>
          <w:i w:val="0"/>
          <w:iCs w:val="0"/>
          <w:color w:val="auto"/>
          <w:szCs w:val="24"/>
          <w:highlight w:val="none"/>
          <w:lang w:val="en-US" w:eastAsia="zh-CN"/>
        </w:rPr>
        <w:t>提供和</w:t>
      </w:r>
      <w:r>
        <w:rPr>
          <w:rFonts w:hint="eastAsia"/>
          <w:b/>
          <w:i w:val="0"/>
          <w:iCs w:val="0"/>
          <w:color w:val="auto"/>
          <w:szCs w:val="24"/>
          <w:highlight w:val="none"/>
        </w:rPr>
        <w:t>制造</w:t>
      </w:r>
      <w:r>
        <w:rPr>
          <w:rFonts w:hint="eastAsia"/>
          <w:i w:val="0"/>
          <w:iCs w:val="0"/>
          <w:color w:val="auto"/>
          <w:szCs w:val="24"/>
          <w:highlight w:val="none"/>
        </w:rPr>
        <w:t>。相关企业（含联合体中的残疾人福利性单位、签订分包意向协议</w:t>
      </w:r>
      <w:r>
        <w:rPr>
          <w:rFonts w:hint="eastAsia"/>
          <w:i w:val="0"/>
          <w:iCs w:val="0"/>
          <w:color w:val="auto"/>
          <w:szCs w:val="24"/>
          <w:highlight w:val="none"/>
          <w:lang w:val="en-US" w:eastAsia="zh-CN"/>
        </w:rPr>
        <w:t>书</w:t>
      </w:r>
      <w:r>
        <w:rPr>
          <w:rFonts w:hint="eastAsia"/>
          <w:i w:val="0"/>
          <w:iCs w:val="0"/>
          <w:color w:val="auto"/>
          <w:szCs w:val="24"/>
          <w:highlight w:val="none"/>
        </w:rPr>
        <w:t>的残疾人福利性单位）的具体情况如下：</w:t>
      </w:r>
    </w:p>
    <w:p w14:paraId="2B0D31AB">
      <w:pPr>
        <w:wordWrap w:val="0"/>
        <w:ind w:firstLine="480" w:firstLineChars="200"/>
        <w:rPr>
          <w:i w:val="0"/>
          <w:iCs w:val="0"/>
          <w:color w:val="auto"/>
          <w:szCs w:val="24"/>
          <w:highlight w:val="none"/>
        </w:rPr>
      </w:pPr>
      <w:r>
        <w:rPr>
          <w:rFonts w:hint="eastAsia"/>
          <w:i w:val="0"/>
          <w:iCs w:val="0"/>
          <w:color w:val="auto"/>
          <w:szCs w:val="24"/>
          <w:highlight w:val="none"/>
        </w:rPr>
        <w:t>1.</w:t>
      </w:r>
      <w:r>
        <w:rPr>
          <w:rFonts w:hint="eastAsia"/>
          <w:i w:val="0"/>
          <w:iCs w:val="0"/>
          <w:color w:val="auto"/>
          <w:szCs w:val="24"/>
          <w:highlight w:val="none"/>
          <w:u w:val="single"/>
        </w:rPr>
        <w:t xml:space="preserve"> （标的名称） </w:t>
      </w:r>
      <w:r>
        <w:rPr>
          <w:rFonts w:hint="eastAsia"/>
          <w:i w:val="0"/>
          <w:iCs w:val="0"/>
          <w:color w:val="auto"/>
          <w:szCs w:val="24"/>
          <w:highlight w:val="none"/>
        </w:rPr>
        <w:t>，</w:t>
      </w:r>
      <w:r>
        <w:rPr>
          <w:rFonts w:hint="eastAsia"/>
          <w:i w:val="0"/>
          <w:iCs w:val="0"/>
          <w:color w:val="auto"/>
          <w:szCs w:val="24"/>
          <w:highlight w:val="none"/>
          <w:lang w:val="en-US" w:eastAsia="zh-CN"/>
        </w:rPr>
        <w:t>承接单位</w:t>
      </w:r>
      <w:r>
        <w:rPr>
          <w:rFonts w:hint="eastAsia"/>
          <w:i w:val="0"/>
          <w:iCs w:val="0"/>
          <w:color w:val="auto"/>
          <w:szCs w:val="24"/>
          <w:highlight w:val="none"/>
        </w:rPr>
        <w:t xml:space="preserve">为 </w:t>
      </w:r>
      <w:r>
        <w:rPr>
          <w:i w:val="0"/>
          <w:iCs w:val="0"/>
          <w:color w:val="auto"/>
          <w:szCs w:val="24"/>
          <w:highlight w:val="none"/>
          <w:u w:val="single"/>
        </w:rPr>
        <w:t xml:space="preserve">  </w:t>
      </w:r>
      <w:r>
        <w:rPr>
          <w:rFonts w:hint="eastAsia"/>
          <w:i w:val="0"/>
          <w:iCs w:val="0"/>
          <w:color w:val="auto"/>
          <w:szCs w:val="24"/>
          <w:highlight w:val="none"/>
          <w:u w:val="single"/>
        </w:rPr>
        <w:t xml:space="preserve">（企业名称） </w:t>
      </w:r>
      <w:r>
        <w:rPr>
          <w:rFonts w:hint="eastAsia"/>
          <w:i w:val="0"/>
          <w:iCs w:val="0"/>
          <w:color w:val="auto"/>
          <w:szCs w:val="24"/>
          <w:highlight w:val="none"/>
        </w:rPr>
        <w:t>，属于残疾人福利性单位；</w:t>
      </w:r>
    </w:p>
    <w:p w14:paraId="138F8FD5">
      <w:pPr>
        <w:wordWrap w:val="0"/>
        <w:ind w:firstLine="480" w:firstLineChars="200"/>
        <w:rPr>
          <w:i w:val="0"/>
          <w:iCs w:val="0"/>
          <w:color w:val="auto"/>
          <w:szCs w:val="24"/>
          <w:highlight w:val="none"/>
        </w:rPr>
      </w:pPr>
      <w:r>
        <w:rPr>
          <w:rFonts w:hint="eastAsia"/>
          <w:i w:val="0"/>
          <w:iCs w:val="0"/>
          <w:color w:val="auto"/>
          <w:szCs w:val="24"/>
          <w:highlight w:val="none"/>
        </w:rPr>
        <w:t xml:space="preserve">2. </w:t>
      </w:r>
      <w:r>
        <w:rPr>
          <w:rFonts w:hint="eastAsia"/>
          <w:i w:val="0"/>
          <w:iCs w:val="0"/>
          <w:color w:val="auto"/>
          <w:szCs w:val="24"/>
          <w:highlight w:val="none"/>
          <w:u w:val="single"/>
        </w:rPr>
        <w:t xml:space="preserve">（标的名称） </w:t>
      </w:r>
      <w:r>
        <w:rPr>
          <w:rFonts w:hint="eastAsia"/>
          <w:i w:val="0"/>
          <w:iCs w:val="0"/>
          <w:color w:val="auto"/>
          <w:szCs w:val="24"/>
          <w:highlight w:val="none"/>
        </w:rPr>
        <w:t>，</w:t>
      </w:r>
      <w:r>
        <w:rPr>
          <w:rFonts w:hint="eastAsia"/>
          <w:i w:val="0"/>
          <w:iCs w:val="0"/>
          <w:color w:val="auto"/>
          <w:szCs w:val="24"/>
          <w:highlight w:val="none"/>
          <w:lang w:val="en-US" w:eastAsia="zh-CN"/>
        </w:rPr>
        <w:t>承接单位</w:t>
      </w:r>
      <w:r>
        <w:rPr>
          <w:rFonts w:hint="eastAsia"/>
          <w:i w:val="0"/>
          <w:iCs w:val="0"/>
          <w:color w:val="auto"/>
          <w:szCs w:val="24"/>
          <w:highlight w:val="none"/>
        </w:rPr>
        <w:t xml:space="preserve">为 </w:t>
      </w:r>
      <w:r>
        <w:rPr>
          <w:i w:val="0"/>
          <w:iCs w:val="0"/>
          <w:color w:val="auto"/>
          <w:szCs w:val="24"/>
          <w:highlight w:val="none"/>
          <w:u w:val="single"/>
        </w:rPr>
        <w:t xml:space="preserve">  </w:t>
      </w:r>
      <w:r>
        <w:rPr>
          <w:rFonts w:hint="eastAsia"/>
          <w:i w:val="0"/>
          <w:iCs w:val="0"/>
          <w:color w:val="auto"/>
          <w:szCs w:val="24"/>
          <w:highlight w:val="none"/>
          <w:u w:val="single"/>
        </w:rPr>
        <w:t xml:space="preserve">（企业名称） </w:t>
      </w:r>
      <w:r>
        <w:rPr>
          <w:rFonts w:hint="eastAsia"/>
          <w:i w:val="0"/>
          <w:iCs w:val="0"/>
          <w:color w:val="auto"/>
          <w:szCs w:val="24"/>
          <w:highlight w:val="none"/>
        </w:rPr>
        <w:t>，属于残疾人福利性单位；</w:t>
      </w:r>
    </w:p>
    <w:p w14:paraId="7FB12063">
      <w:pPr>
        <w:wordWrap w:val="0"/>
        <w:ind w:firstLine="480" w:firstLineChars="200"/>
        <w:rPr>
          <w:i w:val="0"/>
          <w:iCs w:val="0"/>
          <w:color w:val="auto"/>
          <w:szCs w:val="24"/>
          <w:highlight w:val="none"/>
        </w:rPr>
      </w:pPr>
      <w:r>
        <w:rPr>
          <w:rFonts w:hint="eastAsia"/>
          <w:i w:val="0"/>
          <w:iCs w:val="0"/>
          <w:color w:val="auto"/>
          <w:szCs w:val="24"/>
          <w:highlight w:val="none"/>
        </w:rPr>
        <w:t>……</w:t>
      </w:r>
    </w:p>
    <w:p w14:paraId="7B8F3287">
      <w:pPr>
        <w:wordWrap w:val="0"/>
        <w:ind w:firstLine="480" w:firstLineChars="200"/>
        <w:rPr>
          <w:i w:val="0"/>
          <w:iCs w:val="0"/>
          <w:color w:val="auto"/>
          <w:szCs w:val="24"/>
          <w:highlight w:val="none"/>
        </w:rPr>
      </w:pPr>
      <w:r>
        <w:rPr>
          <w:rFonts w:hint="eastAsia"/>
          <w:i w:val="0"/>
          <w:iCs w:val="0"/>
          <w:color w:val="auto"/>
          <w:szCs w:val="24"/>
          <w:highlight w:val="none"/>
        </w:rPr>
        <w:t>以上企业，不属于大企业的分支机构，不存在控股股东为大企业的情形，也不存在与大企业的负责人为同一人的情形。</w:t>
      </w:r>
    </w:p>
    <w:p w14:paraId="18EB7223">
      <w:pPr>
        <w:wordWrap w:val="0"/>
        <w:ind w:left="1087" w:leftChars="200" w:hanging="607" w:hangingChars="253"/>
        <w:rPr>
          <w:color w:val="auto"/>
          <w:szCs w:val="24"/>
          <w:highlight w:val="none"/>
        </w:rPr>
      </w:pPr>
      <w:r>
        <w:rPr>
          <w:rFonts w:hint="eastAsia"/>
          <w:color w:val="auto"/>
          <w:szCs w:val="24"/>
          <w:highlight w:val="none"/>
        </w:rPr>
        <w:t>本企业对上述声明内容的真实性负责。如有虚假，将依法承担相应责任。</w:t>
      </w:r>
    </w:p>
    <w:p w14:paraId="44C7A080">
      <w:pPr>
        <w:wordWrap w:val="0"/>
        <w:ind w:left="1091" w:hanging="1091" w:hangingChars="453"/>
        <w:rPr>
          <w:b/>
          <w:bCs/>
          <w:color w:val="auto"/>
          <w:szCs w:val="24"/>
          <w:highlight w:val="none"/>
        </w:rPr>
      </w:pPr>
    </w:p>
    <w:p w14:paraId="43523196">
      <w:pPr>
        <w:wordWrap w:val="0"/>
        <w:ind w:left="1091" w:hanging="1091" w:hangingChars="453"/>
        <w:rPr>
          <w:bCs/>
          <w:color w:val="auto"/>
          <w:szCs w:val="24"/>
          <w:highlight w:val="none"/>
        </w:rPr>
      </w:pPr>
      <w:r>
        <w:rPr>
          <w:rFonts w:hint="eastAsia"/>
          <w:b/>
          <w:bCs/>
          <w:color w:val="auto"/>
          <w:szCs w:val="24"/>
          <w:highlight w:val="none"/>
        </w:rPr>
        <w:t>说明：</w:t>
      </w:r>
      <w:r>
        <w:rPr>
          <w:rFonts w:hint="eastAsia"/>
          <w:bCs/>
          <w:color w:val="auto"/>
          <w:szCs w:val="24"/>
          <w:highlight w:val="none"/>
        </w:rPr>
        <w:t>1、</w:t>
      </w:r>
      <w:r>
        <w:rPr>
          <w:rFonts w:hint="eastAsia"/>
          <w:bCs/>
          <w:color w:val="auto"/>
          <w:szCs w:val="24"/>
          <w:highlight w:val="none"/>
          <w:lang w:val="en-US" w:eastAsia="zh-CN"/>
        </w:rPr>
        <w:t>服务及</w:t>
      </w:r>
      <w:r>
        <w:rPr>
          <w:rFonts w:hint="eastAsia"/>
          <w:bCs/>
          <w:color w:val="auto"/>
          <w:szCs w:val="21"/>
          <w:highlight w:val="none"/>
          <w:lang w:val="zh-CN"/>
        </w:rPr>
        <w:t>货物应当全部由符合政策要求的残疾人福利性单位</w:t>
      </w:r>
      <w:r>
        <w:rPr>
          <w:rFonts w:hint="eastAsia"/>
          <w:bCs/>
          <w:color w:val="auto"/>
          <w:szCs w:val="21"/>
          <w:highlight w:val="none"/>
          <w:lang w:val="en-US" w:eastAsia="zh-CN"/>
        </w:rPr>
        <w:t>提供及</w:t>
      </w:r>
      <w:r>
        <w:rPr>
          <w:rFonts w:hint="eastAsia"/>
          <w:bCs/>
          <w:color w:val="auto"/>
          <w:szCs w:val="21"/>
          <w:highlight w:val="none"/>
          <w:lang w:val="zh-CN"/>
        </w:rPr>
        <w:t>生产且使用该残疾人福利性单位商号或注册商标（与代理商或投标人无关）；应当严格按上述格式及内容进行填写（应当明确每个标的的生产企业类型及相关数据），否则导致的后果由投标人自行承担；</w:t>
      </w:r>
    </w:p>
    <w:p w14:paraId="2288B711">
      <w:pPr>
        <w:wordWrap w:val="0"/>
        <w:ind w:left="1087" w:hanging="1087" w:hangingChars="453"/>
        <w:rPr>
          <w:rFonts w:cs="Courier New"/>
          <w:color w:val="auto"/>
          <w:szCs w:val="21"/>
          <w:highlight w:val="none"/>
        </w:rPr>
      </w:pPr>
      <w:r>
        <w:rPr>
          <w:rFonts w:hint="eastAsia"/>
          <w:bCs/>
          <w:color w:val="auto"/>
          <w:szCs w:val="21"/>
          <w:highlight w:val="none"/>
          <w:lang w:val="zh-CN"/>
        </w:rPr>
        <w:t xml:space="preserve">      2、</w:t>
      </w:r>
      <w:r>
        <w:rPr>
          <w:rFonts w:hint="eastAsia" w:cs="Courier New"/>
          <w:color w:val="auto"/>
          <w:szCs w:val="21"/>
          <w:highlight w:val="none"/>
        </w:rPr>
        <w:t>以联合体形式参加的，应</w:t>
      </w:r>
      <w:r>
        <w:rPr>
          <w:rFonts w:hint="eastAsia"/>
          <w:bCs/>
          <w:color w:val="auto"/>
          <w:szCs w:val="21"/>
          <w:highlight w:val="none"/>
          <w:lang w:val="zh-CN"/>
        </w:rPr>
        <w:t>当</w:t>
      </w:r>
      <w:r>
        <w:rPr>
          <w:rFonts w:hint="eastAsia" w:cs="Courier New"/>
          <w:color w:val="auto"/>
          <w:szCs w:val="21"/>
          <w:highlight w:val="none"/>
        </w:rPr>
        <w:t>由联合体各方盖章。</w:t>
      </w:r>
    </w:p>
    <w:p w14:paraId="71983F83">
      <w:pPr>
        <w:wordWrap w:val="0"/>
        <w:spacing w:before="100" w:beforeAutospacing="1" w:after="100" w:afterAutospacing="1"/>
        <w:ind w:firstLine="3316" w:firstLineChars="1382"/>
        <w:rPr>
          <w:bCs/>
          <w:color w:val="auto"/>
          <w:szCs w:val="21"/>
          <w:highlight w:val="none"/>
          <w:lang w:val="zh-CN"/>
        </w:rPr>
      </w:pPr>
      <w:r>
        <w:rPr>
          <w:rFonts w:hint="eastAsia"/>
          <w:bCs/>
          <w:color w:val="auto"/>
          <w:szCs w:val="21"/>
          <w:highlight w:val="none"/>
          <w:lang w:val="zh-CN"/>
        </w:rPr>
        <w:t>投标人</w:t>
      </w:r>
      <w:r>
        <w:rPr>
          <w:rFonts w:hint="eastAsia"/>
          <w:bCs/>
          <w:color w:val="auto"/>
          <w:szCs w:val="21"/>
          <w:highlight w:val="none"/>
          <w:lang w:val="en-US" w:eastAsia="zh-CN"/>
        </w:rPr>
        <w:t>名称</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ascii="宋体" w:hAnsi="宋体" w:cs="宋体"/>
          <w:color w:val="auto"/>
          <w:kern w:val="0"/>
          <w:sz w:val="24"/>
          <w:highlight w:val="none"/>
          <w:lang w:val="zh-CN"/>
        </w:rPr>
        <w:t>)</w:t>
      </w:r>
      <w:r>
        <w:rPr>
          <w:rFonts w:hint="eastAsia"/>
          <w:bCs/>
          <w:color w:val="auto"/>
          <w:szCs w:val="21"/>
          <w:highlight w:val="none"/>
          <w:lang w:val="zh-CN"/>
        </w:rPr>
        <w:t>：</w:t>
      </w:r>
      <w:r>
        <w:rPr>
          <w:rFonts w:hint="eastAsia"/>
          <w:bCs/>
          <w:color w:val="auto"/>
          <w:szCs w:val="21"/>
          <w:highlight w:val="none"/>
          <w:u w:val="single"/>
          <w:lang w:val="zh-CN"/>
        </w:rPr>
        <w:t xml:space="preserve">              </w:t>
      </w:r>
    </w:p>
    <w:p w14:paraId="3A972AC9">
      <w:pPr>
        <w:wordWrap w:val="0"/>
        <w:spacing w:before="100" w:beforeAutospacing="1" w:after="100" w:afterAutospacing="1"/>
        <w:ind w:firstLine="3316" w:firstLineChars="1382"/>
        <w:rPr>
          <w:color w:val="auto"/>
          <w:highlight w:val="none"/>
        </w:rPr>
      </w:pPr>
      <w:r>
        <w:rPr>
          <w:rFonts w:hint="eastAsia"/>
          <w:color w:val="auto"/>
          <w:szCs w:val="24"/>
          <w:highlight w:val="none"/>
        </w:rPr>
        <w:t>日</w:t>
      </w:r>
      <w:r>
        <w:rPr>
          <w:color w:val="auto"/>
          <w:szCs w:val="24"/>
          <w:highlight w:val="none"/>
        </w:rPr>
        <w:t xml:space="preserve">  </w:t>
      </w:r>
      <w:r>
        <w:rPr>
          <w:rFonts w:hint="eastAsia"/>
          <w:color w:val="auto"/>
          <w:szCs w:val="24"/>
          <w:highlight w:val="none"/>
        </w:rPr>
        <w:t>期：</w:t>
      </w:r>
      <w:r>
        <w:rPr>
          <w:bCs/>
          <w:color w:val="auto"/>
          <w:szCs w:val="24"/>
          <w:highlight w:val="none"/>
          <w:u w:val="single"/>
        </w:rPr>
        <w:t xml:space="preserve">                         </w:t>
      </w:r>
    </w:p>
    <w:p w14:paraId="6F5F8DCA">
      <w:pPr>
        <w:ind w:left="4620" w:firstLine="281" w:firstLineChars="100"/>
        <w:rPr>
          <w:rFonts w:cs="仿宋_GB2312"/>
          <w:b/>
          <w:color w:val="auto"/>
          <w:sz w:val="28"/>
          <w:szCs w:val="28"/>
          <w:highlight w:val="none"/>
        </w:rPr>
      </w:pPr>
    </w:p>
    <w:p w14:paraId="7BDD1A80">
      <w:pPr>
        <w:rPr>
          <w:color w:val="auto"/>
          <w:highlight w:val="none"/>
        </w:rPr>
      </w:pPr>
      <w:r>
        <w:rPr>
          <w:color w:val="auto"/>
          <w:highlight w:val="none"/>
        </w:rPr>
        <w:br w:type="page"/>
      </w:r>
    </w:p>
    <w:p w14:paraId="4B9EE2D8">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textAlignment w:val="auto"/>
        <w:rPr>
          <w:rFonts w:hint="eastAsia" w:cstheme="majorBidi"/>
          <w:b/>
          <w:bCs/>
          <w:color w:val="auto"/>
          <w:kern w:val="2"/>
          <w:sz w:val="28"/>
          <w:szCs w:val="28"/>
          <w:highlight w:val="none"/>
          <w:lang w:val="en-US" w:eastAsia="zh-CN" w:bidi="ar-SA"/>
        </w:rPr>
      </w:pPr>
      <w:bookmarkStart w:id="638" w:name="_Toc18110"/>
      <w:bookmarkStart w:id="639" w:name="_Toc29560"/>
      <w:r>
        <w:rPr>
          <w:rFonts w:hint="eastAsia" w:cstheme="majorBidi"/>
          <w:b/>
          <w:bCs/>
          <w:color w:val="auto"/>
          <w:kern w:val="2"/>
          <w:sz w:val="28"/>
          <w:szCs w:val="28"/>
          <w:highlight w:val="none"/>
          <w:lang w:val="en-US" w:eastAsia="zh-CN" w:bidi="ar-SA"/>
        </w:rPr>
        <w:t>五、不参与围标串标承诺书</w:t>
      </w:r>
      <w:bookmarkEnd w:id="638"/>
      <w:bookmarkEnd w:id="639"/>
    </w:p>
    <w:p w14:paraId="70D7F20B">
      <w:pPr>
        <w:pStyle w:val="3"/>
        <w:keepNext/>
        <w:keepLines/>
        <w:pageBreakBefore w:val="0"/>
        <w:widowControl w:val="0"/>
        <w:numPr>
          <w:ilvl w:val="0"/>
          <w:numId w:val="0"/>
        </w:numPr>
        <w:kinsoku/>
        <w:wordWrap/>
        <w:overflowPunct/>
        <w:topLinePunct w:val="0"/>
        <w:autoSpaceDE/>
        <w:autoSpaceDN/>
        <w:bidi w:val="0"/>
        <w:adjustRightInd/>
        <w:snapToGrid/>
        <w:spacing w:before="100" w:after="100" w:line="240" w:lineRule="auto"/>
        <w:ind w:left="420" w:leftChars="0" w:hanging="420" w:firstLineChars="0"/>
        <w:textAlignment w:val="auto"/>
        <w:rPr>
          <w:rFonts w:hint="eastAsia" w:eastAsia="宋体" w:asciiTheme="majorHAnsi" w:hAnsiTheme="majorHAnsi" w:cstheme="majorBidi"/>
          <w:b/>
          <w:bCs/>
          <w:color w:val="auto"/>
          <w:kern w:val="2"/>
          <w:sz w:val="32"/>
          <w:szCs w:val="32"/>
          <w:highlight w:val="none"/>
          <w:lang w:val="en-US" w:eastAsia="zh-CN" w:bidi="ar-SA"/>
        </w:rPr>
      </w:pPr>
    </w:p>
    <w:p w14:paraId="75FF23AC">
      <w:pPr>
        <w:jc w:val="center"/>
        <w:rPr>
          <w:rFonts w:hint="eastAsia"/>
          <w:color w:val="auto"/>
          <w:highlight w:val="none"/>
          <w:lang w:val="en-US" w:eastAsia="zh-CN"/>
        </w:rPr>
      </w:pPr>
      <w:r>
        <w:rPr>
          <w:rFonts w:hint="eastAsia" w:cstheme="majorBidi"/>
          <w:b/>
          <w:bCs/>
          <w:color w:val="auto"/>
          <w:kern w:val="2"/>
          <w:sz w:val="32"/>
          <w:szCs w:val="32"/>
          <w:highlight w:val="none"/>
          <w:lang w:val="en-US" w:eastAsia="zh-CN" w:bidi="ar-SA"/>
        </w:rPr>
        <w:t>不参与围标串标承诺书</w:t>
      </w:r>
    </w:p>
    <w:p w14:paraId="6B233C07">
      <w:pPr>
        <w:rPr>
          <w:rFonts w:hint="eastAsia"/>
          <w:color w:val="auto"/>
          <w:highlight w:val="none"/>
          <w:lang w:val="en-US" w:eastAsia="zh-CN"/>
        </w:rPr>
      </w:pPr>
      <w:r>
        <w:rPr>
          <w:rFonts w:hint="eastAsia"/>
          <w:color w:val="auto"/>
          <w:highlight w:val="none"/>
          <w:lang w:val="en-US" w:eastAsia="zh-CN"/>
        </w:rPr>
        <w:t>  </w:t>
      </w:r>
    </w:p>
    <w:p w14:paraId="1ACC5C30">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color w:val="auto"/>
          <w:highlight w:val="none"/>
          <w:lang w:val="en-US" w:eastAsia="zh-CN"/>
        </w:rPr>
      </w:pPr>
      <w:r>
        <w:rPr>
          <w:rFonts w:hint="eastAsia"/>
          <w:color w:val="auto"/>
          <w:highlight w:val="none"/>
          <w:lang w:val="en-US" w:eastAsia="zh-CN"/>
        </w:rPr>
        <w:t>本人作为经授权的投标人代表,清楚知晓我单位本项目投标活动,对以下事项作出承诺：</w:t>
      </w:r>
    </w:p>
    <w:p w14:paraId="398E6081">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color w:val="auto"/>
          <w:highlight w:val="none"/>
          <w:lang w:val="en-US" w:eastAsia="zh-CN"/>
        </w:rPr>
      </w:pPr>
    </w:p>
    <w:p w14:paraId="26BB11E4">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color w:val="auto"/>
          <w:highlight w:val="none"/>
          <w:lang w:val="en-US" w:eastAsia="zh-CN"/>
        </w:rPr>
      </w:pPr>
      <w:r>
        <w:rPr>
          <w:rFonts w:hint="eastAsia"/>
          <w:color w:val="auto"/>
          <w:highlight w:val="none"/>
          <w:lang w:val="en-US" w:eastAsia="zh-CN"/>
        </w:rPr>
        <w:t>一、我单位和我本人遵循公开透明、公平竞争、公正和诚实信用的原则,依法依规参与本项目竞标。</w:t>
      </w:r>
    </w:p>
    <w:p w14:paraId="10BBFC53">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color w:val="auto"/>
          <w:highlight w:val="none"/>
          <w:lang w:val="en-US" w:eastAsia="zh-CN"/>
        </w:rPr>
      </w:pPr>
      <w:r>
        <w:rPr>
          <w:rFonts w:hint="eastAsia"/>
          <w:color w:val="auto"/>
          <w:highlight w:val="none"/>
          <w:lang w:val="en-US" w:eastAsia="zh-CN"/>
        </w:rPr>
        <w:t>二、我单位和我本人在本项目政府采购投标活动中,未参与围标串标。</w:t>
      </w:r>
    </w:p>
    <w:p w14:paraId="1A7E3475">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color w:val="auto"/>
          <w:highlight w:val="none"/>
          <w:lang w:val="en-US" w:eastAsia="zh-CN"/>
        </w:rPr>
      </w:pPr>
      <w:r>
        <w:rPr>
          <w:rFonts w:hint="eastAsia"/>
          <w:color w:val="auto"/>
          <w:highlight w:val="none"/>
          <w:lang w:val="en-US" w:eastAsia="zh-CN"/>
        </w:rPr>
        <w:t>三、我单位如被查实在本项目政府采购投标活动中存在围标串标的，递交投标文件行为作为实施串通投标违法行为的关键环节,由我单位及法定代表人承担相应的法律责任，接受相应行政处罚和失信惩戒。</w:t>
      </w:r>
    </w:p>
    <w:p w14:paraId="29E3C848">
      <w:pPr>
        <w:pStyle w:val="13"/>
        <w:rPr>
          <w:rFonts w:hint="eastAsia"/>
          <w:color w:val="auto"/>
          <w:highlight w:val="none"/>
          <w:lang w:val="en-US" w:eastAsia="zh-CN"/>
        </w:rPr>
      </w:pPr>
    </w:p>
    <w:p w14:paraId="39CB3E48">
      <w:pPr>
        <w:spacing w:line="560" w:lineRule="exact"/>
        <w:rPr>
          <w:rFonts w:hint="eastAsia" w:ascii="宋体" w:hAnsi="宋体" w:eastAsia="宋体" w:cs="宋体"/>
          <w:color w:val="auto"/>
          <w:kern w:val="0"/>
          <w:sz w:val="24"/>
          <w:szCs w:val="24"/>
          <w:highlight w:val="none"/>
        </w:rPr>
      </w:pPr>
    </w:p>
    <w:p w14:paraId="19648C53">
      <w:pPr>
        <w:spacing w:line="560" w:lineRule="exact"/>
        <w:rPr>
          <w:rFonts w:hint="eastAsia" w:ascii="宋体" w:hAnsi="宋体" w:eastAsia="宋体" w:cs="宋体"/>
          <w:color w:val="auto"/>
          <w:kern w:val="0"/>
          <w:sz w:val="24"/>
          <w:szCs w:val="24"/>
          <w:highlight w:val="none"/>
        </w:rPr>
      </w:pPr>
      <w:r>
        <w:rPr>
          <w:rFonts w:hint="eastAsia" w:cs="宋体"/>
          <w:color w:val="auto"/>
          <w:kern w:val="0"/>
          <w:sz w:val="24"/>
          <w:szCs w:val="24"/>
          <w:highlight w:val="none"/>
          <w:lang w:val="en-US" w:eastAsia="zh-CN"/>
        </w:rPr>
        <w:t>投标人</w:t>
      </w:r>
      <w:r>
        <w:rPr>
          <w:rFonts w:hint="eastAsia"/>
          <w:bCs/>
          <w:color w:val="auto"/>
          <w:szCs w:val="21"/>
          <w:highlight w:val="none"/>
          <w:lang w:val="en-US" w:eastAsia="zh-CN"/>
        </w:rPr>
        <w:t>名称</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ascii="宋体" w:hAnsi="宋体" w:cs="宋体"/>
          <w:color w:val="auto"/>
          <w:kern w:val="0"/>
          <w:sz w:val="24"/>
          <w:highlight w:val="none"/>
          <w:lang w:val="zh-CN"/>
        </w:rPr>
        <w:t>)</w:t>
      </w:r>
      <w:r>
        <w:rPr>
          <w:rFonts w:hint="eastAsia" w:ascii="宋体" w:hAnsi="宋体" w:eastAsia="宋体" w:cs="宋体"/>
          <w:color w:val="auto"/>
          <w:kern w:val="0"/>
          <w:sz w:val="24"/>
          <w:szCs w:val="24"/>
          <w:highlight w:val="none"/>
        </w:rPr>
        <w:t>：</w:t>
      </w:r>
    </w:p>
    <w:p w14:paraId="2CCE383A">
      <w:pPr>
        <w:spacing w:line="560" w:lineRule="exac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法定代表人</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负责人</w:t>
      </w:r>
      <w:r>
        <w:rPr>
          <w:rFonts w:hint="eastAsia" w:ascii="宋体" w:hAnsi="宋体" w:eastAsia="宋体" w:cs="宋体"/>
          <w:color w:val="auto"/>
          <w:kern w:val="0"/>
          <w:sz w:val="24"/>
          <w:szCs w:val="24"/>
          <w:highlight w:val="none"/>
          <w:lang w:val="en-US" w:eastAsia="zh-CN"/>
        </w:rPr>
        <w:t>或</w:t>
      </w:r>
      <w:r>
        <w:rPr>
          <w:rFonts w:hint="eastAsia" w:ascii="宋体" w:hAnsi="宋体" w:eastAsia="宋体" w:cs="宋体"/>
          <w:color w:val="auto"/>
          <w:kern w:val="0"/>
          <w:sz w:val="24"/>
          <w:szCs w:val="24"/>
          <w:highlight w:val="none"/>
        </w:rPr>
        <w:t>本人</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或授权代表</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签字或</w:t>
      </w:r>
      <w:r>
        <w:rPr>
          <w:rFonts w:hint="eastAsia" w:cs="宋体"/>
          <w:color w:val="auto"/>
          <w:kern w:val="0"/>
          <w:sz w:val="24"/>
          <w:szCs w:val="24"/>
          <w:highlight w:val="none"/>
          <w:lang w:eastAsia="zh-CN"/>
        </w:rPr>
        <w:t>盖</w:t>
      </w:r>
      <w:r>
        <w:rPr>
          <w:rFonts w:hint="eastAsia" w:ascii="宋体" w:hAnsi="宋体" w:eastAsia="宋体" w:cs="宋体"/>
          <w:color w:val="auto"/>
          <w:kern w:val="0"/>
          <w:sz w:val="24"/>
          <w:szCs w:val="24"/>
          <w:highlight w:val="none"/>
          <w:lang w:eastAsia="zh-CN"/>
        </w:rPr>
        <w:t>章）</w:t>
      </w:r>
      <w:r>
        <w:rPr>
          <w:rFonts w:hint="eastAsia" w:ascii="宋体" w:hAnsi="宋体" w:eastAsia="宋体" w:cs="宋体"/>
          <w:color w:val="auto"/>
          <w:kern w:val="0"/>
          <w:sz w:val="24"/>
          <w:szCs w:val="24"/>
          <w:highlight w:val="none"/>
        </w:rPr>
        <w:t>：</w:t>
      </w:r>
    </w:p>
    <w:p w14:paraId="692B3277">
      <w:pPr>
        <w:spacing w:line="560" w:lineRule="exac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日期： 年 月 日</w:t>
      </w:r>
    </w:p>
    <w:p w14:paraId="13DA43E0">
      <w:pPr>
        <w:widowControl/>
        <w:spacing w:line="560" w:lineRule="exact"/>
        <w:ind w:firstLine="630"/>
        <w:jc w:val="left"/>
        <w:rPr>
          <w:rFonts w:hint="eastAsia" w:ascii="宋体" w:hAnsi="宋体" w:eastAsia="宋体" w:cs="宋体"/>
          <w:color w:val="auto"/>
          <w:kern w:val="0"/>
          <w:sz w:val="24"/>
          <w:szCs w:val="24"/>
          <w:highlight w:val="none"/>
        </w:rPr>
      </w:pPr>
    </w:p>
    <w:p w14:paraId="7CD72A88">
      <w:pPr>
        <w:pStyle w:val="13"/>
        <w:rPr>
          <w:rFonts w:hint="eastAsia"/>
          <w:color w:val="auto"/>
          <w:highlight w:val="none"/>
          <w:lang w:val="en-US" w:eastAsia="zh-CN"/>
        </w:rPr>
      </w:pPr>
    </w:p>
    <w:p w14:paraId="6FC519D1">
      <w:pPr>
        <w:pStyle w:val="13"/>
        <w:rPr>
          <w:rFonts w:hint="eastAsia"/>
          <w:color w:val="auto"/>
          <w:highlight w:val="none"/>
          <w:lang w:val="en-US" w:eastAsia="zh-CN"/>
        </w:rPr>
      </w:pPr>
    </w:p>
    <w:p w14:paraId="7500053D">
      <w:pPr>
        <w:pStyle w:val="13"/>
        <w:rPr>
          <w:rFonts w:hint="eastAsia"/>
          <w:color w:val="auto"/>
          <w:highlight w:val="none"/>
          <w:lang w:val="en-US" w:eastAsia="zh-CN"/>
        </w:rPr>
      </w:pPr>
    </w:p>
    <w:p w14:paraId="5BF64493">
      <w:pPr>
        <w:pStyle w:val="13"/>
        <w:rPr>
          <w:rFonts w:hint="eastAsia"/>
          <w:color w:val="auto"/>
          <w:highlight w:val="none"/>
          <w:lang w:val="en-US" w:eastAsia="zh-CN"/>
        </w:rPr>
      </w:pPr>
    </w:p>
    <w:p w14:paraId="5CA01A8B">
      <w:pPr>
        <w:pStyle w:val="13"/>
        <w:rPr>
          <w:rFonts w:hint="eastAsia"/>
          <w:color w:val="auto"/>
          <w:highlight w:val="none"/>
          <w:lang w:val="en-US" w:eastAsia="zh-CN"/>
        </w:rPr>
      </w:pPr>
    </w:p>
    <w:p w14:paraId="029F743D">
      <w:pPr>
        <w:pStyle w:val="13"/>
        <w:rPr>
          <w:rFonts w:hint="eastAsia"/>
          <w:color w:val="auto"/>
          <w:highlight w:val="none"/>
          <w:lang w:val="en-US" w:eastAsia="zh-CN"/>
        </w:rPr>
      </w:pPr>
    </w:p>
    <w:p w14:paraId="41587146">
      <w:pPr>
        <w:pStyle w:val="13"/>
        <w:rPr>
          <w:rFonts w:hint="eastAsia"/>
          <w:color w:val="auto"/>
          <w:highlight w:val="none"/>
          <w:lang w:val="en-US" w:eastAsia="zh-CN"/>
        </w:rPr>
      </w:pPr>
    </w:p>
    <w:p w14:paraId="7CD2757F">
      <w:pPr>
        <w:pStyle w:val="13"/>
        <w:rPr>
          <w:rFonts w:hint="eastAsia"/>
          <w:color w:val="auto"/>
          <w:highlight w:val="none"/>
          <w:lang w:val="en-US" w:eastAsia="zh-CN"/>
        </w:rPr>
      </w:pPr>
    </w:p>
    <w:p w14:paraId="7EE0D7C2">
      <w:pPr>
        <w:pStyle w:val="13"/>
        <w:rPr>
          <w:rFonts w:hint="eastAsia"/>
          <w:color w:val="auto"/>
          <w:highlight w:val="none"/>
          <w:lang w:val="en-US" w:eastAsia="zh-CN"/>
        </w:rPr>
      </w:pPr>
    </w:p>
    <w:p w14:paraId="34406338">
      <w:pPr>
        <w:pStyle w:val="13"/>
        <w:rPr>
          <w:rFonts w:hint="eastAsia"/>
          <w:color w:val="auto"/>
          <w:highlight w:val="none"/>
          <w:lang w:val="en-US" w:eastAsia="zh-CN"/>
        </w:rPr>
      </w:pPr>
    </w:p>
    <w:p w14:paraId="420858F4">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textAlignment w:val="auto"/>
        <w:rPr>
          <w:rFonts w:hint="eastAsia" w:cstheme="majorBidi"/>
          <w:b/>
          <w:bCs/>
          <w:color w:val="auto"/>
          <w:kern w:val="2"/>
          <w:sz w:val="28"/>
          <w:szCs w:val="28"/>
          <w:highlight w:val="none"/>
          <w:lang w:val="en-US" w:eastAsia="zh-CN" w:bidi="ar-SA"/>
        </w:rPr>
      </w:pPr>
    </w:p>
    <w:p w14:paraId="30C8D33E">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textAlignment w:val="auto"/>
        <w:rPr>
          <w:rFonts w:hint="eastAsia" w:eastAsia="宋体" w:asciiTheme="majorHAnsi" w:hAnsiTheme="majorHAnsi" w:cstheme="majorBidi"/>
          <w:b/>
          <w:bCs/>
          <w:color w:val="auto"/>
          <w:kern w:val="2"/>
          <w:sz w:val="28"/>
          <w:szCs w:val="28"/>
          <w:highlight w:val="none"/>
          <w:lang w:val="zh-CN" w:eastAsia="zh-CN" w:bidi="ar-SA"/>
        </w:rPr>
      </w:pPr>
      <w:bookmarkStart w:id="640" w:name="_Toc6223"/>
      <w:bookmarkStart w:id="641" w:name="_Toc17591"/>
      <w:r>
        <w:rPr>
          <w:rFonts w:hint="eastAsia" w:cstheme="majorBidi"/>
          <w:b/>
          <w:bCs/>
          <w:color w:val="auto"/>
          <w:kern w:val="2"/>
          <w:sz w:val="28"/>
          <w:szCs w:val="28"/>
          <w:highlight w:val="none"/>
          <w:lang w:val="en-US" w:eastAsia="zh-CN" w:bidi="ar-SA"/>
        </w:rPr>
        <w:t>六</w:t>
      </w:r>
      <w:r>
        <w:rPr>
          <w:rFonts w:hint="eastAsia" w:eastAsia="宋体" w:asciiTheme="majorHAnsi" w:hAnsiTheme="majorHAnsi" w:cstheme="majorBidi"/>
          <w:b/>
          <w:bCs/>
          <w:color w:val="auto"/>
          <w:kern w:val="2"/>
          <w:sz w:val="28"/>
          <w:szCs w:val="28"/>
          <w:highlight w:val="none"/>
          <w:lang w:val="en-US" w:eastAsia="zh-CN" w:bidi="ar-SA"/>
        </w:rPr>
        <w:t>、</w:t>
      </w:r>
      <w:r>
        <w:rPr>
          <w:rFonts w:hint="eastAsia" w:eastAsia="宋体" w:asciiTheme="majorHAnsi" w:hAnsiTheme="majorHAnsi" w:cstheme="majorBidi"/>
          <w:b/>
          <w:bCs/>
          <w:color w:val="auto"/>
          <w:kern w:val="2"/>
          <w:sz w:val="28"/>
          <w:szCs w:val="28"/>
          <w:highlight w:val="none"/>
          <w:lang w:val="zh-CN" w:eastAsia="zh-CN" w:bidi="ar-SA"/>
        </w:rPr>
        <w:t>其他资格证明文件</w:t>
      </w:r>
      <w:bookmarkEnd w:id="640"/>
      <w:bookmarkEnd w:id="641"/>
    </w:p>
    <w:p w14:paraId="0C24F0AE">
      <w:pPr>
        <w:pStyle w:val="37"/>
        <w:rPr>
          <w:rFonts w:hint="eastAsia"/>
          <w:color w:val="auto"/>
          <w:highlight w:val="none"/>
        </w:rPr>
      </w:pPr>
      <w:r>
        <w:rPr>
          <w:rFonts w:hint="eastAsia" w:cs="Courier New"/>
          <w:color w:val="auto"/>
          <w:szCs w:val="24"/>
          <w:highlight w:val="none"/>
        </w:rPr>
        <w:t>投标人认为需提供的其它相关资格证明材料</w:t>
      </w:r>
    </w:p>
    <w:p w14:paraId="7C2C3E83">
      <w:pPr>
        <w:pStyle w:val="37"/>
        <w:rPr>
          <w:rFonts w:hint="eastAsia"/>
          <w:color w:val="auto"/>
          <w:highlight w:val="none"/>
        </w:rPr>
      </w:pPr>
    </w:p>
    <w:p w14:paraId="58A36194">
      <w:pPr>
        <w:pStyle w:val="37"/>
        <w:rPr>
          <w:rFonts w:hint="eastAsia"/>
          <w:color w:val="auto"/>
          <w:highlight w:val="none"/>
        </w:rPr>
      </w:pPr>
    </w:p>
    <w:p w14:paraId="3553B395">
      <w:pPr>
        <w:pStyle w:val="37"/>
        <w:rPr>
          <w:rFonts w:hint="eastAsia"/>
          <w:color w:val="auto"/>
          <w:highlight w:val="none"/>
        </w:rPr>
      </w:pPr>
    </w:p>
    <w:p w14:paraId="49D404FC">
      <w:pPr>
        <w:pStyle w:val="37"/>
        <w:rPr>
          <w:rFonts w:hint="eastAsia"/>
          <w:color w:val="auto"/>
          <w:highlight w:val="none"/>
        </w:rPr>
      </w:pPr>
    </w:p>
    <w:p w14:paraId="4B98E4B6">
      <w:pPr>
        <w:pStyle w:val="37"/>
        <w:rPr>
          <w:rFonts w:hint="eastAsia"/>
          <w:color w:val="auto"/>
          <w:highlight w:val="none"/>
        </w:rPr>
      </w:pPr>
    </w:p>
    <w:p w14:paraId="737FEDD3">
      <w:pPr>
        <w:pStyle w:val="37"/>
        <w:rPr>
          <w:rFonts w:hint="eastAsia"/>
          <w:color w:val="auto"/>
          <w:highlight w:val="none"/>
        </w:rPr>
      </w:pPr>
    </w:p>
    <w:p w14:paraId="1C876135">
      <w:pPr>
        <w:pStyle w:val="37"/>
        <w:rPr>
          <w:rFonts w:hint="eastAsia"/>
          <w:color w:val="auto"/>
          <w:highlight w:val="none"/>
        </w:rPr>
      </w:pPr>
    </w:p>
    <w:p w14:paraId="7E85C842">
      <w:pPr>
        <w:pStyle w:val="37"/>
        <w:rPr>
          <w:rFonts w:hint="eastAsia"/>
          <w:color w:val="auto"/>
          <w:highlight w:val="none"/>
        </w:rPr>
      </w:pPr>
    </w:p>
    <w:p w14:paraId="4CBE3B0D">
      <w:pPr>
        <w:pStyle w:val="37"/>
        <w:rPr>
          <w:rFonts w:hint="eastAsia"/>
          <w:color w:val="auto"/>
          <w:highlight w:val="none"/>
        </w:rPr>
      </w:pPr>
    </w:p>
    <w:p w14:paraId="2E6E451F">
      <w:pPr>
        <w:pStyle w:val="37"/>
        <w:rPr>
          <w:rFonts w:hint="eastAsia"/>
          <w:color w:val="auto"/>
          <w:highlight w:val="none"/>
        </w:rPr>
      </w:pPr>
    </w:p>
    <w:p w14:paraId="38DC2C55">
      <w:pPr>
        <w:pStyle w:val="37"/>
        <w:rPr>
          <w:rFonts w:hint="eastAsia"/>
          <w:color w:val="auto"/>
          <w:highlight w:val="none"/>
        </w:rPr>
      </w:pPr>
    </w:p>
    <w:p w14:paraId="04DAFD3C">
      <w:pPr>
        <w:pStyle w:val="37"/>
        <w:rPr>
          <w:rFonts w:hint="eastAsia"/>
          <w:color w:val="auto"/>
          <w:highlight w:val="none"/>
        </w:rPr>
      </w:pPr>
    </w:p>
    <w:p w14:paraId="51E24CDC">
      <w:pPr>
        <w:pStyle w:val="37"/>
        <w:rPr>
          <w:rFonts w:hint="eastAsia"/>
          <w:color w:val="auto"/>
          <w:highlight w:val="none"/>
        </w:rPr>
      </w:pPr>
    </w:p>
    <w:p w14:paraId="1AC1942E">
      <w:pPr>
        <w:pStyle w:val="37"/>
        <w:rPr>
          <w:rFonts w:hint="eastAsia"/>
          <w:color w:val="auto"/>
          <w:highlight w:val="none"/>
        </w:rPr>
      </w:pPr>
    </w:p>
    <w:p w14:paraId="4722E259">
      <w:pPr>
        <w:pStyle w:val="37"/>
        <w:rPr>
          <w:rFonts w:hint="eastAsia"/>
          <w:color w:val="auto"/>
          <w:highlight w:val="none"/>
        </w:rPr>
      </w:pPr>
    </w:p>
    <w:p w14:paraId="07033BD3">
      <w:pPr>
        <w:pStyle w:val="37"/>
        <w:rPr>
          <w:rFonts w:hint="eastAsia"/>
          <w:color w:val="auto"/>
          <w:highlight w:val="none"/>
        </w:rPr>
      </w:pPr>
    </w:p>
    <w:p w14:paraId="6E1D094D">
      <w:pPr>
        <w:pStyle w:val="37"/>
        <w:rPr>
          <w:rFonts w:hint="eastAsia"/>
          <w:color w:val="auto"/>
          <w:highlight w:val="none"/>
        </w:rPr>
      </w:pPr>
    </w:p>
    <w:p w14:paraId="23B0DB54">
      <w:pPr>
        <w:pStyle w:val="37"/>
        <w:rPr>
          <w:rFonts w:hint="eastAsia"/>
          <w:color w:val="auto"/>
          <w:highlight w:val="none"/>
        </w:rPr>
      </w:pPr>
    </w:p>
    <w:p w14:paraId="07159DF6">
      <w:pPr>
        <w:pStyle w:val="37"/>
        <w:rPr>
          <w:rFonts w:hint="eastAsia"/>
          <w:color w:val="auto"/>
          <w:highlight w:val="none"/>
        </w:rPr>
      </w:pPr>
    </w:p>
    <w:p w14:paraId="44B3A5AA">
      <w:pPr>
        <w:pStyle w:val="37"/>
        <w:rPr>
          <w:rFonts w:hint="eastAsia"/>
          <w:color w:val="auto"/>
          <w:highlight w:val="none"/>
        </w:rPr>
      </w:pPr>
    </w:p>
    <w:p w14:paraId="05BB178A">
      <w:pPr>
        <w:pStyle w:val="37"/>
        <w:rPr>
          <w:rFonts w:hint="eastAsia"/>
          <w:color w:val="auto"/>
          <w:highlight w:val="none"/>
        </w:rPr>
      </w:pPr>
    </w:p>
    <w:p w14:paraId="0E7980AB">
      <w:pPr>
        <w:pStyle w:val="37"/>
        <w:rPr>
          <w:rFonts w:hint="eastAsia"/>
          <w:color w:val="auto"/>
          <w:highlight w:val="none"/>
        </w:rPr>
      </w:pPr>
    </w:p>
    <w:p w14:paraId="5A09B930">
      <w:pPr>
        <w:pStyle w:val="37"/>
        <w:rPr>
          <w:rFonts w:hint="eastAsia"/>
          <w:color w:val="auto"/>
          <w:highlight w:val="none"/>
        </w:rPr>
      </w:pPr>
    </w:p>
    <w:p w14:paraId="3FB1F62E">
      <w:pPr>
        <w:pStyle w:val="37"/>
        <w:rPr>
          <w:rFonts w:hint="eastAsia"/>
          <w:color w:val="auto"/>
          <w:highlight w:val="none"/>
        </w:rPr>
      </w:pPr>
    </w:p>
    <w:p w14:paraId="69D25AC1">
      <w:pPr>
        <w:pStyle w:val="37"/>
        <w:rPr>
          <w:rFonts w:hint="eastAsia"/>
          <w:color w:val="auto"/>
          <w:highlight w:val="none"/>
        </w:rPr>
      </w:pPr>
    </w:p>
    <w:p w14:paraId="3E9AC4C9">
      <w:pPr>
        <w:pStyle w:val="37"/>
        <w:rPr>
          <w:rFonts w:hint="eastAsia"/>
          <w:color w:val="auto"/>
          <w:highlight w:val="none"/>
        </w:rPr>
      </w:pPr>
    </w:p>
    <w:p w14:paraId="7FB9AF51">
      <w:pPr>
        <w:pStyle w:val="60"/>
        <w:keepNext w:val="0"/>
        <w:keepLines w:val="0"/>
        <w:pageBreakBefore w:val="0"/>
        <w:widowControl/>
        <w:shd w:val="clear" w:color="auto" w:fill="auto"/>
        <w:kinsoku/>
        <w:wordWrap/>
        <w:overflowPunct/>
        <w:topLinePunct w:val="0"/>
        <w:autoSpaceDE/>
        <w:autoSpaceDN/>
        <w:bidi w:val="0"/>
        <w:adjustRightInd/>
        <w:snapToGrid/>
        <w:spacing w:afterAutospacing="0" w:line="360" w:lineRule="exact"/>
        <w:textAlignment w:val="auto"/>
        <w:rPr>
          <w:rFonts w:hint="eastAsia" w:ascii="宋体" w:hAnsi="宋体" w:eastAsia="宋体" w:cs="宋体"/>
          <w:b/>
          <w:bCs/>
          <w:color w:val="auto"/>
          <w:highlight w:val="none"/>
          <w:lang w:val="en-US" w:eastAsia="zh-CN"/>
        </w:rPr>
      </w:pPr>
    </w:p>
    <w:p w14:paraId="202CB8C4">
      <w:pPr>
        <w:ind w:firstLine="480" w:firstLineChars="200"/>
        <w:rPr>
          <w:rFonts w:cs="仿宋_GB2312"/>
          <w:color w:val="auto"/>
          <w:szCs w:val="24"/>
          <w:highlight w:val="none"/>
          <w:lang w:val="zh-CN"/>
        </w:rPr>
      </w:pPr>
      <w:r>
        <w:rPr>
          <w:rFonts w:hint="eastAsia" w:cs="仿宋_GB2312"/>
          <w:color w:val="auto"/>
          <w:szCs w:val="24"/>
          <w:highlight w:val="none"/>
          <w:lang w:val="zh-CN"/>
        </w:rPr>
        <w:t>封面：</w:t>
      </w:r>
    </w:p>
    <w:p w14:paraId="73A003D2">
      <w:pPr>
        <w:autoSpaceDE w:val="0"/>
        <w:autoSpaceDN w:val="0"/>
        <w:adjustRightInd w:val="0"/>
        <w:rPr>
          <w:color w:val="auto"/>
          <w:sz w:val="21"/>
          <w:szCs w:val="24"/>
          <w:highlight w:val="none"/>
        </w:rPr>
      </w:pPr>
    </w:p>
    <w:p w14:paraId="7773B439">
      <w:pPr>
        <w:autoSpaceDE w:val="0"/>
        <w:autoSpaceDN w:val="0"/>
        <w:adjustRightInd w:val="0"/>
        <w:rPr>
          <w:color w:val="auto"/>
          <w:sz w:val="21"/>
          <w:szCs w:val="24"/>
          <w:highlight w:val="none"/>
        </w:rPr>
      </w:pPr>
    </w:p>
    <w:p w14:paraId="2E04646F">
      <w:pPr>
        <w:autoSpaceDE w:val="0"/>
        <w:autoSpaceDN w:val="0"/>
        <w:adjustRightInd w:val="0"/>
        <w:jc w:val="center"/>
        <w:rPr>
          <w:color w:val="auto"/>
          <w:sz w:val="21"/>
          <w:szCs w:val="24"/>
          <w:highlight w:val="none"/>
        </w:rPr>
      </w:pPr>
    </w:p>
    <w:p w14:paraId="71180696">
      <w:pPr>
        <w:pStyle w:val="2"/>
        <w:bidi w:val="0"/>
        <w:spacing w:line="360" w:lineRule="auto"/>
        <w:rPr>
          <w:color w:val="auto"/>
          <w:sz w:val="56"/>
          <w:szCs w:val="56"/>
          <w:highlight w:val="none"/>
        </w:rPr>
      </w:pPr>
      <w:bookmarkStart w:id="642" w:name="_Toc16701"/>
      <w:r>
        <w:rPr>
          <w:rFonts w:hint="eastAsia"/>
          <w:color w:val="auto"/>
          <w:sz w:val="56"/>
          <w:szCs w:val="56"/>
          <w:highlight w:val="none"/>
        </w:rPr>
        <w:t>投 标 文 件</w:t>
      </w:r>
      <w:bookmarkEnd w:id="642"/>
    </w:p>
    <w:p w14:paraId="31C74C30">
      <w:pPr>
        <w:pStyle w:val="2"/>
        <w:bidi w:val="0"/>
        <w:spacing w:line="360" w:lineRule="auto"/>
        <w:rPr>
          <w:rFonts w:hint="eastAsia"/>
          <w:color w:val="auto"/>
          <w:sz w:val="56"/>
          <w:szCs w:val="56"/>
          <w:highlight w:val="none"/>
          <w:lang w:val="en-US" w:eastAsia="zh-CN"/>
        </w:rPr>
      </w:pPr>
      <w:bookmarkStart w:id="643" w:name="_Toc30374"/>
      <w:r>
        <w:rPr>
          <w:rFonts w:hint="eastAsia"/>
          <w:color w:val="auto"/>
          <w:sz w:val="56"/>
          <w:szCs w:val="56"/>
          <w:highlight w:val="none"/>
          <w:lang w:val="en-US" w:eastAsia="zh-CN"/>
        </w:rPr>
        <w:t>报价文件</w:t>
      </w:r>
      <w:bookmarkEnd w:id="643"/>
    </w:p>
    <w:p w14:paraId="2C10D330">
      <w:pPr>
        <w:autoSpaceDE w:val="0"/>
        <w:autoSpaceDN w:val="0"/>
        <w:adjustRightInd w:val="0"/>
        <w:jc w:val="center"/>
        <w:rPr>
          <w:rFonts w:hint="eastAsia" w:eastAsia="宋体"/>
          <w:color w:val="auto"/>
          <w:sz w:val="36"/>
          <w:szCs w:val="36"/>
          <w:highlight w:val="none"/>
          <w:lang w:eastAsia="zh-CN"/>
        </w:rPr>
      </w:pPr>
      <w:r>
        <w:rPr>
          <w:rFonts w:hint="eastAsia"/>
          <w:color w:val="auto"/>
          <w:sz w:val="36"/>
          <w:szCs w:val="36"/>
          <w:highlight w:val="none"/>
          <w:lang w:val="en-US" w:eastAsia="zh-CN"/>
        </w:rPr>
        <w:t>（第XX标段</w:t>
      </w:r>
      <w:r>
        <w:rPr>
          <w:rFonts w:hint="eastAsia"/>
          <w:color w:val="auto"/>
          <w:sz w:val="36"/>
          <w:szCs w:val="36"/>
          <w:highlight w:val="none"/>
          <w:lang w:eastAsia="zh-CN"/>
        </w:rPr>
        <w:t>）</w:t>
      </w:r>
    </w:p>
    <w:p w14:paraId="001ADA03">
      <w:pPr>
        <w:pStyle w:val="3"/>
        <w:rPr>
          <w:color w:val="auto"/>
          <w:sz w:val="21"/>
          <w:szCs w:val="21"/>
          <w:highlight w:val="none"/>
        </w:rPr>
      </w:pPr>
    </w:p>
    <w:p w14:paraId="4800F1E7">
      <w:pPr>
        <w:rPr>
          <w:color w:val="auto"/>
          <w:sz w:val="21"/>
          <w:szCs w:val="21"/>
          <w:highlight w:val="none"/>
        </w:rPr>
      </w:pPr>
    </w:p>
    <w:p w14:paraId="4053884F">
      <w:pPr>
        <w:rPr>
          <w:color w:val="auto"/>
          <w:highlight w:val="none"/>
        </w:rPr>
      </w:pPr>
    </w:p>
    <w:p w14:paraId="5EABB570">
      <w:pPr>
        <w:autoSpaceDE w:val="0"/>
        <w:autoSpaceDN w:val="0"/>
        <w:adjustRightInd w:val="0"/>
        <w:rPr>
          <w:color w:val="auto"/>
          <w:sz w:val="21"/>
          <w:szCs w:val="21"/>
          <w:highlight w:val="none"/>
        </w:rPr>
      </w:pPr>
    </w:p>
    <w:p w14:paraId="4C687ECE">
      <w:pPr>
        <w:autoSpaceDE w:val="0"/>
        <w:autoSpaceDN w:val="0"/>
        <w:adjustRightInd w:val="0"/>
        <w:rPr>
          <w:color w:val="auto"/>
          <w:sz w:val="21"/>
          <w:szCs w:val="21"/>
          <w:highlight w:val="none"/>
        </w:rPr>
      </w:pPr>
    </w:p>
    <w:p w14:paraId="6F475132">
      <w:pPr>
        <w:ind w:left="420" w:leftChars="175"/>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t>项目编号</w:t>
      </w:r>
      <w:r>
        <w:rPr>
          <w:rFonts w:hint="eastAsia" w:ascii="宋体" w:hAnsi="宋体" w:eastAsia="宋体" w:cs="宋体"/>
          <w:color w:val="auto"/>
          <w:sz w:val="36"/>
          <w:szCs w:val="36"/>
          <w:highlight w:val="none"/>
          <w:lang w:val="en-US" w:eastAsia="zh-CN"/>
        </w:rPr>
        <w:t>/包号</w:t>
      </w:r>
      <w:r>
        <w:rPr>
          <w:rFonts w:hint="eastAsia" w:ascii="宋体" w:hAnsi="宋体" w:eastAsia="宋体" w:cs="宋体"/>
          <w:color w:val="auto"/>
          <w:sz w:val="36"/>
          <w:szCs w:val="36"/>
          <w:highlight w:val="none"/>
        </w:rPr>
        <w:t>：</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p>
    <w:p w14:paraId="0173F70E">
      <w:pPr>
        <w:ind w:left="420" w:leftChars="175"/>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t>项目名称：</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p>
    <w:p w14:paraId="101680F9">
      <w:pPr>
        <w:ind w:left="420" w:leftChars="175"/>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t>投</w:t>
      </w:r>
      <w:r>
        <w:rPr>
          <w:rFonts w:hint="eastAsia" w:ascii="宋体" w:hAnsi="宋体" w:eastAsia="宋体" w:cs="宋体"/>
          <w:color w:val="auto"/>
          <w:sz w:val="36"/>
          <w:szCs w:val="36"/>
          <w:highlight w:val="none"/>
          <w:lang w:val="en-US" w:eastAsia="zh-CN"/>
        </w:rPr>
        <w:t xml:space="preserve"> </w:t>
      </w:r>
      <w:r>
        <w:rPr>
          <w:rFonts w:hint="eastAsia" w:ascii="宋体" w:hAnsi="宋体" w:eastAsia="宋体" w:cs="宋体"/>
          <w:color w:val="auto"/>
          <w:sz w:val="36"/>
          <w:szCs w:val="36"/>
          <w:highlight w:val="none"/>
        </w:rPr>
        <w:t>标</w:t>
      </w:r>
      <w:r>
        <w:rPr>
          <w:rFonts w:hint="eastAsia" w:ascii="宋体" w:hAnsi="宋体" w:eastAsia="宋体" w:cs="宋体"/>
          <w:color w:val="auto"/>
          <w:sz w:val="36"/>
          <w:szCs w:val="36"/>
          <w:highlight w:val="none"/>
          <w:lang w:val="en-US" w:eastAsia="zh-CN"/>
        </w:rPr>
        <w:t xml:space="preserve"> </w:t>
      </w:r>
      <w:r>
        <w:rPr>
          <w:rFonts w:hint="eastAsia" w:ascii="宋体" w:hAnsi="宋体" w:eastAsia="宋体" w:cs="宋体"/>
          <w:color w:val="auto"/>
          <w:sz w:val="36"/>
          <w:szCs w:val="36"/>
          <w:highlight w:val="none"/>
        </w:rPr>
        <w:t>人：</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p>
    <w:p w14:paraId="13B6644C">
      <w:pPr>
        <w:ind w:left="840" w:firstLine="420"/>
        <w:rPr>
          <w:b/>
          <w:bCs/>
          <w:color w:val="auto"/>
          <w:sz w:val="28"/>
          <w:szCs w:val="28"/>
          <w:highlight w:val="none"/>
        </w:rPr>
      </w:pPr>
    </w:p>
    <w:p w14:paraId="01F64B59">
      <w:pPr>
        <w:ind w:left="840" w:firstLine="420"/>
        <w:rPr>
          <w:b/>
          <w:bCs/>
          <w:color w:val="auto"/>
          <w:sz w:val="28"/>
          <w:szCs w:val="28"/>
          <w:highlight w:val="none"/>
        </w:rPr>
      </w:pPr>
    </w:p>
    <w:p w14:paraId="1DC21250">
      <w:pPr>
        <w:jc w:val="center"/>
        <w:rPr>
          <w:rFonts w:ascii="黑体" w:hAnsi="黑体" w:eastAsia="黑体"/>
          <w:color w:val="auto"/>
          <w:sz w:val="32"/>
          <w:szCs w:val="32"/>
          <w:highlight w:val="none"/>
        </w:rPr>
      </w:pPr>
      <w:r>
        <w:rPr>
          <w:rFonts w:hint="eastAsia" w:ascii="宋体" w:hAnsi="宋体" w:eastAsia="宋体" w:cs="宋体"/>
          <w:color w:val="auto"/>
          <w:sz w:val="32"/>
          <w:szCs w:val="32"/>
          <w:highlight w:val="none"/>
        </w:rPr>
        <w:t>年   月    日</w:t>
      </w:r>
    </w:p>
    <w:p w14:paraId="2B025C97">
      <w:pPr>
        <w:rPr>
          <w:color w:val="auto"/>
          <w:highlight w:val="none"/>
          <w:lang w:val="zh-CN"/>
        </w:rPr>
      </w:pPr>
      <w:r>
        <w:rPr>
          <w:color w:val="auto"/>
          <w:highlight w:val="none"/>
          <w:lang w:val="zh-CN"/>
        </w:rPr>
        <w:br w:type="page"/>
      </w:r>
    </w:p>
    <w:p w14:paraId="5A6B7717">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cstheme="majorBidi"/>
          <w:b/>
          <w:bCs/>
          <w:color w:val="auto"/>
          <w:kern w:val="2"/>
          <w:sz w:val="32"/>
          <w:szCs w:val="32"/>
          <w:highlight w:val="none"/>
          <w:lang w:val="en-US" w:eastAsia="zh-CN" w:bidi="ar-SA"/>
        </w:rPr>
      </w:pPr>
    </w:p>
    <w:p w14:paraId="730DA0BC">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cstheme="majorBidi"/>
          <w:b/>
          <w:bCs/>
          <w:color w:val="auto"/>
          <w:kern w:val="2"/>
          <w:sz w:val="32"/>
          <w:szCs w:val="32"/>
          <w:highlight w:val="none"/>
          <w:lang w:val="en-US" w:eastAsia="zh-CN" w:bidi="ar-SA"/>
        </w:rPr>
      </w:pPr>
      <w:bookmarkStart w:id="644" w:name="_Toc26789"/>
      <w:bookmarkStart w:id="645" w:name="_Toc2238"/>
      <w:r>
        <w:rPr>
          <w:rFonts w:hint="eastAsia" w:cstheme="majorBidi"/>
          <w:b/>
          <w:bCs/>
          <w:color w:val="auto"/>
          <w:kern w:val="2"/>
          <w:sz w:val="32"/>
          <w:szCs w:val="32"/>
          <w:highlight w:val="none"/>
          <w:lang w:val="en-US" w:eastAsia="zh-CN" w:bidi="ar-SA"/>
        </w:rPr>
        <w:t>一、开标一览表</w:t>
      </w:r>
      <w:bookmarkEnd w:id="644"/>
      <w:bookmarkEnd w:id="645"/>
    </w:p>
    <w:p w14:paraId="2AB3D72A">
      <w:pPr>
        <w:spacing w:line="300" w:lineRule="auto"/>
        <w:rPr>
          <w:rFonts w:cs="仿宋_GB2312"/>
          <w:color w:val="auto"/>
          <w:szCs w:val="24"/>
          <w:highlight w:val="none"/>
        </w:rPr>
      </w:pPr>
    </w:p>
    <w:p w14:paraId="33486E36">
      <w:pPr>
        <w:rPr>
          <w:b w:val="0"/>
          <w:bCs/>
          <w:color w:val="auto"/>
          <w:szCs w:val="21"/>
          <w:highlight w:val="none"/>
          <w:lang w:val="zh-CN"/>
        </w:rPr>
      </w:pPr>
      <w:r>
        <w:rPr>
          <w:rFonts w:hint="eastAsia"/>
          <w:b w:val="0"/>
          <w:bCs/>
          <w:color w:val="auto"/>
          <w:szCs w:val="21"/>
          <w:highlight w:val="none"/>
          <w:lang w:val="zh-CN"/>
        </w:rPr>
        <w:t>项目名称：</w:t>
      </w:r>
      <w:r>
        <w:rPr>
          <w:rFonts w:hint="eastAsia"/>
          <w:b w:val="0"/>
          <w:bCs/>
          <w:color w:val="auto"/>
          <w:szCs w:val="21"/>
          <w:highlight w:val="none"/>
          <w:u w:val="single"/>
          <w:lang w:val="zh-CN"/>
        </w:rPr>
        <w:t xml:space="preserve">                     </w:t>
      </w:r>
    </w:p>
    <w:p w14:paraId="5940ECBC">
      <w:pPr>
        <w:rPr>
          <w:b w:val="0"/>
          <w:bCs/>
          <w:color w:val="auto"/>
          <w:szCs w:val="21"/>
          <w:highlight w:val="none"/>
          <w:u w:val="single"/>
          <w:lang w:val="zh-CN"/>
        </w:rPr>
      </w:pPr>
      <w:r>
        <w:rPr>
          <w:rFonts w:hint="eastAsia"/>
          <w:b w:val="0"/>
          <w:bCs/>
          <w:color w:val="auto"/>
          <w:szCs w:val="21"/>
          <w:highlight w:val="none"/>
          <w:lang w:val="zh-CN"/>
        </w:rPr>
        <w:t>项目编号</w:t>
      </w:r>
      <w:r>
        <w:rPr>
          <w:rFonts w:hint="eastAsia"/>
          <w:b w:val="0"/>
          <w:bCs/>
          <w:color w:val="auto"/>
          <w:szCs w:val="21"/>
          <w:highlight w:val="none"/>
          <w:lang w:val="en-US" w:eastAsia="zh-CN"/>
        </w:rPr>
        <w:t>/</w:t>
      </w:r>
      <w:r>
        <w:rPr>
          <w:rFonts w:hint="eastAsia"/>
          <w:b w:val="0"/>
          <w:bCs/>
          <w:color w:val="auto"/>
          <w:szCs w:val="21"/>
          <w:highlight w:val="none"/>
          <w:lang w:val="zh-CN"/>
        </w:rPr>
        <w:t>包号：</w:t>
      </w:r>
      <w:r>
        <w:rPr>
          <w:rFonts w:hint="eastAsia"/>
          <w:b w:val="0"/>
          <w:bCs/>
          <w:color w:val="auto"/>
          <w:szCs w:val="21"/>
          <w:highlight w:val="none"/>
          <w:u w:val="single"/>
          <w:lang w:val="zh-CN"/>
        </w:rPr>
        <w:t xml:space="preserve">                </w:t>
      </w:r>
    </w:p>
    <w:tbl>
      <w:tblPr>
        <w:tblStyle w:val="29"/>
        <w:tblW w:w="85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3"/>
        <w:gridCol w:w="2352"/>
        <w:gridCol w:w="2161"/>
        <w:gridCol w:w="2611"/>
      </w:tblGrid>
      <w:tr w14:paraId="5F27D1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trPr>
        <w:tc>
          <w:tcPr>
            <w:tcW w:w="1403" w:type="dxa"/>
            <w:vAlign w:val="center"/>
          </w:tcPr>
          <w:p w14:paraId="68B46E6E">
            <w:pPr>
              <w:widowControl/>
              <w:autoSpaceDE w:val="0"/>
              <w:autoSpaceDN w:val="0"/>
              <w:jc w:val="center"/>
              <w:textAlignment w:val="bottom"/>
              <w:rPr>
                <w:color w:val="auto"/>
                <w:sz w:val="24"/>
                <w:szCs w:val="24"/>
                <w:highlight w:val="none"/>
              </w:rPr>
            </w:pPr>
            <w:r>
              <w:rPr>
                <w:rFonts w:hint="eastAsia"/>
                <w:color w:val="auto"/>
                <w:sz w:val="24"/>
                <w:szCs w:val="24"/>
                <w:highlight w:val="none"/>
              </w:rPr>
              <w:t>序号</w:t>
            </w:r>
          </w:p>
        </w:tc>
        <w:tc>
          <w:tcPr>
            <w:tcW w:w="2352" w:type="dxa"/>
            <w:vAlign w:val="center"/>
          </w:tcPr>
          <w:p w14:paraId="5D10FF2E">
            <w:pPr>
              <w:widowControl/>
              <w:autoSpaceDE w:val="0"/>
              <w:autoSpaceDN w:val="0"/>
              <w:ind w:left="851" w:hanging="851"/>
              <w:jc w:val="center"/>
              <w:textAlignment w:val="bottom"/>
              <w:rPr>
                <w:color w:val="auto"/>
                <w:sz w:val="24"/>
                <w:szCs w:val="24"/>
                <w:highlight w:val="none"/>
              </w:rPr>
            </w:pPr>
            <w:r>
              <w:rPr>
                <w:rFonts w:hint="eastAsia"/>
                <w:color w:val="auto"/>
                <w:sz w:val="24"/>
                <w:szCs w:val="24"/>
                <w:highlight w:val="none"/>
              </w:rPr>
              <w:t>投标报价</w:t>
            </w:r>
          </w:p>
        </w:tc>
        <w:tc>
          <w:tcPr>
            <w:tcW w:w="2161" w:type="dxa"/>
            <w:vAlign w:val="center"/>
          </w:tcPr>
          <w:p w14:paraId="48CC1886">
            <w:pPr>
              <w:widowControl/>
              <w:autoSpaceDE w:val="0"/>
              <w:autoSpaceDN w:val="0"/>
              <w:ind w:left="851" w:hanging="851"/>
              <w:jc w:val="center"/>
              <w:textAlignment w:val="bottom"/>
              <w:rPr>
                <w:color w:val="auto"/>
                <w:sz w:val="24"/>
                <w:szCs w:val="24"/>
                <w:highlight w:val="none"/>
              </w:rPr>
            </w:pPr>
            <w:r>
              <w:rPr>
                <w:rFonts w:hint="eastAsia"/>
                <w:color w:val="auto"/>
                <w:sz w:val="24"/>
                <w:szCs w:val="24"/>
                <w:highlight w:val="none"/>
                <w:lang w:val="en-US" w:eastAsia="zh-CN"/>
              </w:rPr>
              <w:t>服务</w:t>
            </w:r>
            <w:r>
              <w:rPr>
                <w:rFonts w:hint="eastAsia"/>
                <w:color w:val="auto"/>
                <w:sz w:val="24"/>
                <w:szCs w:val="24"/>
                <w:highlight w:val="none"/>
              </w:rPr>
              <w:t>期限</w:t>
            </w:r>
          </w:p>
        </w:tc>
        <w:tc>
          <w:tcPr>
            <w:tcW w:w="2611" w:type="dxa"/>
            <w:vAlign w:val="center"/>
          </w:tcPr>
          <w:p w14:paraId="620875ED">
            <w:pPr>
              <w:widowControl/>
              <w:autoSpaceDE w:val="0"/>
              <w:autoSpaceDN w:val="0"/>
              <w:jc w:val="center"/>
              <w:textAlignment w:val="bottom"/>
              <w:rPr>
                <w:color w:val="auto"/>
                <w:sz w:val="24"/>
                <w:szCs w:val="24"/>
                <w:highlight w:val="none"/>
              </w:rPr>
            </w:pPr>
            <w:r>
              <w:rPr>
                <w:rFonts w:hint="eastAsia"/>
                <w:color w:val="auto"/>
                <w:sz w:val="24"/>
                <w:szCs w:val="24"/>
                <w:highlight w:val="none"/>
              </w:rPr>
              <w:t>备注（如有）</w:t>
            </w:r>
          </w:p>
        </w:tc>
      </w:tr>
      <w:tr w14:paraId="1B0900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atLeast"/>
        </w:trPr>
        <w:tc>
          <w:tcPr>
            <w:tcW w:w="1403" w:type="dxa"/>
            <w:vAlign w:val="center"/>
          </w:tcPr>
          <w:p w14:paraId="73431128">
            <w:pPr>
              <w:jc w:val="center"/>
              <w:rPr>
                <w:color w:val="auto"/>
                <w:sz w:val="24"/>
                <w:szCs w:val="24"/>
                <w:highlight w:val="none"/>
              </w:rPr>
            </w:pPr>
          </w:p>
        </w:tc>
        <w:tc>
          <w:tcPr>
            <w:tcW w:w="2352" w:type="dxa"/>
            <w:vAlign w:val="center"/>
          </w:tcPr>
          <w:p w14:paraId="45A40F19">
            <w:pPr>
              <w:widowControl/>
              <w:autoSpaceDE w:val="0"/>
              <w:autoSpaceDN w:val="0"/>
              <w:spacing w:line="240" w:lineRule="auto"/>
              <w:ind w:left="851" w:hanging="851"/>
              <w:jc w:val="both"/>
              <w:textAlignment w:val="bottom"/>
              <w:rPr>
                <w:rFonts w:hint="eastAsia"/>
                <w:color w:val="auto"/>
                <w:sz w:val="24"/>
                <w:szCs w:val="24"/>
                <w:highlight w:val="none"/>
                <w:lang w:val="en-US" w:eastAsia="zh-CN"/>
              </w:rPr>
            </w:pPr>
            <w:r>
              <w:rPr>
                <w:rFonts w:hint="eastAsia"/>
                <w:color w:val="auto"/>
                <w:sz w:val="24"/>
                <w:szCs w:val="24"/>
                <w:highlight w:val="none"/>
                <w:lang w:val="en-US" w:eastAsia="zh-CN"/>
              </w:rPr>
              <w:t>小写：</w:t>
            </w:r>
          </w:p>
          <w:p w14:paraId="52F86517">
            <w:pPr>
              <w:jc w:val="both"/>
              <w:rPr>
                <w:color w:val="auto"/>
                <w:sz w:val="24"/>
                <w:szCs w:val="24"/>
                <w:highlight w:val="none"/>
              </w:rPr>
            </w:pPr>
            <w:r>
              <w:rPr>
                <w:rFonts w:hint="eastAsia"/>
                <w:color w:val="auto"/>
                <w:sz w:val="24"/>
                <w:szCs w:val="24"/>
                <w:highlight w:val="none"/>
                <w:lang w:val="en-US" w:eastAsia="zh-CN"/>
              </w:rPr>
              <w:t>大写：</w:t>
            </w:r>
          </w:p>
        </w:tc>
        <w:tc>
          <w:tcPr>
            <w:tcW w:w="2161" w:type="dxa"/>
            <w:vAlign w:val="center"/>
          </w:tcPr>
          <w:p w14:paraId="3409D243">
            <w:pPr>
              <w:jc w:val="center"/>
              <w:rPr>
                <w:color w:val="auto"/>
                <w:sz w:val="24"/>
                <w:szCs w:val="24"/>
                <w:highlight w:val="none"/>
              </w:rPr>
            </w:pPr>
          </w:p>
        </w:tc>
        <w:tc>
          <w:tcPr>
            <w:tcW w:w="2611" w:type="dxa"/>
            <w:vAlign w:val="center"/>
          </w:tcPr>
          <w:p w14:paraId="35602B49">
            <w:pPr>
              <w:jc w:val="center"/>
              <w:rPr>
                <w:color w:val="auto"/>
                <w:sz w:val="24"/>
                <w:szCs w:val="24"/>
                <w:highlight w:val="none"/>
              </w:rPr>
            </w:pPr>
          </w:p>
        </w:tc>
      </w:tr>
    </w:tbl>
    <w:p w14:paraId="486E37D7">
      <w:pPr>
        <w:spacing w:line="300" w:lineRule="auto"/>
        <w:rPr>
          <w:rFonts w:ascii="Arial" w:hAnsi="Arial" w:cs="Arial"/>
          <w:color w:val="auto"/>
          <w:szCs w:val="21"/>
          <w:highlight w:val="none"/>
          <w:u w:val="single"/>
        </w:rPr>
      </w:pPr>
    </w:p>
    <w:p w14:paraId="0270EFB4">
      <w:pPr>
        <w:spacing w:line="300" w:lineRule="auto"/>
        <w:rPr>
          <w:rFonts w:ascii="Arial" w:hAnsi="Arial" w:cs="Arial"/>
          <w:color w:val="auto"/>
          <w:szCs w:val="21"/>
          <w:highlight w:val="none"/>
        </w:rPr>
      </w:pPr>
      <w:r>
        <w:rPr>
          <w:rFonts w:ascii="Arial" w:hAnsi="Arial" w:cs="Arial"/>
          <w:color w:val="auto"/>
          <w:szCs w:val="21"/>
          <w:highlight w:val="none"/>
        </w:rPr>
        <w:t>投标人名称</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ascii="宋体" w:hAnsi="宋体" w:cs="宋体"/>
          <w:color w:val="auto"/>
          <w:kern w:val="0"/>
          <w:sz w:val="24"/>
          <w:highlight w:val="none"/>
          <w:lang w:val="zh-CN"/>
        </w:rPr>
        <w:t>)</w:t>
      </w:r>
      <w:r>
        <w:rPr>
          <w:rFonts w:ascii="Arial" w:hAnsi="Arial" w:cs="Arial"/>
          <w:color w:val="auto"/>
          <w:szCs w:val="21"/>
          <w:highlight w:val="none"/>
        </w:rPr>
        <w:t>：</w:t>
      </w:r>
    </w:p>
    <w:p w14:paraId="6302F8A6">
      <w:pPr>
        <w:spacing w:line="300" w:lineRule="auto"/>
        <w:rPr>
          <w:rFonts w:ascii="Arial" w:hAnsi="Arial" w:cs="Arial"/>
          <w:color w:val="auto"/>
          <w:szCs w:val="21"/>
          <w:highlight w:val="none"/>
          <w:u w:val="single"/>
        </w:rPr>
      </w:pPr>
      <w:r>
        <w:rPr>
          <w:rFonts w:ascii="Arial" w:hAnsi="Arial" w:cs="Arial"/>
          <w:color w:val="auto"/>
          <w:szCs w:val="21"/>
          <w:highlight w:val="none"/>
        </w:rPr>
        <w:t>日期：</w:t>
      </w:r>
    </w:p>
    <w:p w14:paraId="722CC087">
      <w:pPr>
        <w:rPr>
          <w:rFonts w:cs="Arial"/>
          <w:color w:val="auto"/>
          <w:szCs w:val="24"/>
          <w:highlight w:val="none"/>
        </w:rPr>
      </w:pPr>
    </w:p>
    <w:p w14:paraId="21BB3A26">
      <w:pPr>
        <w:pStyle w:val="13"/>
        <w:rPr>
          <w:rFonts w:cs="Arial"/>
          <w:color w:val="auto"/>
          <w:szCs w:val="24"/>
          <w:highlight w:val="none"/>
        </w:rPr>
      </w:pPr>
    </w:p>
    <w:p w14:paraId="4C551945">
      <w:pPr>
        <w:pStyle w:val="13"/>
        <w:rPr>
          <w:rFonts w:cs="Arial"/>
          <w:color w:val="auto"/>
          <w:szCs w:val="24"/>
          <w:highlight w:val="none"/>
        </w:rPr>
      </w:pPr>
    </w:p>
    <w:p w14:paraId="09ACCEBB">
      <w:pPr>
        <w:pStyle w:val="13"/>
        <w:rPr>
          <w:rFonts w:cs="Arial"/>
          <w:color w:val="auto"/>
          <w:szCs w:val="24"/>
          <w:highlight w:val="none"/>
        </w:rPr>
      </w:pPr>
    </w:p>
    <w:p w14:paraId="54CAC625">
      <w:pPr>
        <w:pStyle w:val="13"/>
        <w:rPr>
          <w:rFonts w:cs="Arial"/>
          <w:color w:val="auto"/>
          <w:szCs w:val="24"/>
          <w:highlight w:val="none"/>
        </w:rPr>
      </w:pPr>
    </w:p>
    <w:p w14:paraId="5D119674">
      <w:pPr>
        <w:spacing w:line="360" w:lineRule="auto"/>
        <w:rPr>
          <w:rFonts w:hint="eastAsia" w:ascii="宋体" w:hAnsi="宋体" w:eastAsia="宋体" w:cs="宋体"/>
          <w:b/>
          <w:color w:val="auto"/>
          <w:sz w:val="21"/>
          <w:szCs w:val="21"/>
          <w:highlight w:val="none"/>
          <w:lang w:eastAsia="zh-CN"/>
        </w:rPr>
      </w:pPr>
      <w:r>
        <w:rPr>
          <w:rFonts w:hint="eastAsia" w:ascii="宋体" w:hAnsi="宋体" w:eastAsia="宋体" w:cs="宋体"/>
          <w:b/>
          <w:color w:val="auto"/>
          <w:sz w:val="21"/>
          <w:szCs w:val="21"/>
          <w:highlight w:val="none"/>
          <w:lang w:eastAsia="zh-CN"/>
        </w:rPr>
        <w:t>注：</w:t>
      </w:r>
    </w:p>
    <w:p w14:paraId="7BF32ACE">
      <w:pPr>
        <w:spacing w:line="360" w:lineRule="auto"/>
        <w:ind w:firstLine="43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1.此表用于开标唱标之用。</w:t>
      </w:r>
    </w:p>
    <w:p w14:paraId="7C885789">
      <w:pPr>
        <w:spacing w:line="360" w:lineRule="auto"/>
        <w:ind w:firstLine="43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2.表中投标报价即为优惠后报价，并作为评审及定标依据。任何有选择或有条件的投标报价，或者表中某一包填写多个报价，均为无效报价。</w:t>
      </w:r>
    </w:p>
    <w:p w14:paraId="2E86FDCE">
      <w:pPr>
        <w:pStyle w:val="13"/>
        <w:ind w:firstLine="420" w:firstLineChars="200"/>
        <w:rPr>
          <w:rFonts w:hint="eastAsia" w:ascii="宋体" w:hAnsi="宋体" w:eastAsia="宋体" w:cs="宋体"/>
          <w:color w:val="auto"/>
          <w:sz w:val="24"/>
          <w:szCs w:val="24"/>
          <w:highlight w:val="none"/>
        </w:rPr>
        <w:sectPr>
          <w:headerReference r:id="rId8" w:type="default"/>
          <w:footerReference r:id="rId9" w:type="default"/>
          <w:pgSz w:w="11905" w:h="16840"/>
          <w:pgMar w:top="1440" w:right="1797" w:bottom="1440" w:left="1797" w:header="851" w:footer="850" w:gutter="0"/>
          <w:pgBorders>
            <w:top w:val="none" w:sz="0" w:space="0"/>
            <w:left w:val="none" w:sz="0" w:space="0"/>
            <w:bottom w:val="none" w:sz="0" w:space="0"/>
            <w:right w:val="none" w:sz="0" w:space="0"/>
          </w:pgBorders>
          <w:pgNumType w:fmt="numberInDash"/>
          <w:cols w:space="720" w:num="1"/>
        </w:sect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.表中大写与小写不一致的，以大写为准。</w:t>
      </w:r>
    </w:p>
    <w:p w14:paraId="7B2B178E">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cstheme="majorBidi"/>
          <w:b/>
          <w:bCs/>
          <w:color w:val="auto"/>
          <w:kern w:val="2"/>
          <w:sz w:val="32"/>
          <w:szCs w:val="32"/>
          <w:highlight w:val="none"/>
          <w:lang w:val="en-US" w:eastAsia="zh-CN" w:bidi="ar-SA"/>
        </w:rPr>
      </w:pPr>
      <w:bookmarkStart w:id="646" w:name="_Toc19342"/>
      <w:bookmarkStart w:id="647" w:name="_Toc12971"/>
      <w:r>
        <w:rPr>
          <w:rFonts w:hint="eastAsia" w:cstheme="majorBidi"/>
          <w:b/>
          <w:bCs/>
          <w:color w:val="auto"/>
          <w:kern w:val="2"/>
          <w:sz w:val="32"/>
          <w:szCs w:val="32"/>
          <w:highlight w:val="none"/>
          <w:lang w:val="en-US" w:eastAsia="zh-CN" w:bidi="ar-SA"/>
        </w:rPr>
        <w:t>二、分项报价表</w:t>
      </w:r>
      <w:bookmarkEnd w:id="646"/>
      <w:bookmarkEnd w:id="647"/>
    </w:p>
    <w:p w14:paraId="25D833CC">
      <w:pPr>
        <w:rPr>
          <w:b w:val="0"/>
          <w:bCs/>
          <w:color w:val="auto"/>
          <w:szCs w:val="21"/>
          <w:highlight w:val="none"/>
          <w:lang w:val="zh-CN"/>
        </w:rPr>
      </w:pPr>
      <w:r>
        <w:rPr>
          <w:rFonts w:hint="eastAsia"/>
          <w:b w:val="0"/>
          <w:bCs/>
          <w:color w:val="auto"/>
          <w:szCs w:val="21"/>
          <w:highlight w:val="none"/>
          <w:lang w:val="zh-CN"/>
        </w:rPr>
        <w:t>项目名称：</w:t>
      </w:r>
      <w:r>
        <w:rPr>
          <w:rFonts w:hint="eastAsia"/>
          <w:b w:val="0"/>
          <w:bCs/>
          <w:color w:val="auto"/>
          <w:szCs w:val="21"/>
          <w:highlight w:val="none"/>
          <w:u w:val="single"/>
          <w:lang w:val="zh-CN"/>
        </w:rPr>
        <w:t xml:space="preserve">                  </w:t>
      </w:r>
      <w:r>
        <w:rPr>
          <w:rFonts w:hint="eastAsia"/>
          <w:b w:val="0"/>
          <w:bCs/>
          <w:color w:val="auto"/>
          <w:szCs w:val="21"/>
          <w:highlight w:val="none"/>
          <w:u w:val="single"/>
          <w:lang w:val="en-US" w:eastAsia="zh-CN"/>
        </w:rPr>
        <w:t xml:space="preserve">     </w:t>
      </w:r>
      <w:r>
        <w:rPr>
          <w:rFonts w:hint="eastAsia"/>
          <w:b w:val="0"/>
          <w:bCs/>
          <w:color w:val="auto"/>
          <w:szCs w:val="21"/>
          <w:highlight w:val="none"/>
          <w:u w:val="single"/>
          <w:lang w:val="zh-CN"/>
        </w:rPr>
        <w:t xml:space="preserve">   </w:t>
      </w:r>
    </w:p>
    <w:p w14:paraId="6FFFD51E">
      <w:pPr>
        <w:rPr>
          <w:rFonts w:hint="eastAsia"/>
          <w:b w:val="0"/>
          <w:bCs/>
          <w:color w:val="auto"/>
          <w:szCs w:val="21"/>
          <w:highlight w:val="none"/>
          <w:u w:val="single"/>
          <w:lang w:val="zh-CN"/>
        </w:rPr>
      </w:pPr>
      <w:r>
        <w:rPr>
          <w:rFonts w:hint="eastAsia"/>
          <w:b w:val="0"/>
          <w:bCs/>
          <w:color w:val="auto"/>
          <w:szCs w:val="21"/>
          <w:highlight w:val="none"/>
          <w:lang w:val="zh-CN"/>
        </w:rPr>
        <w:t>项目编号</w:t>
      </w:r>
      <w:r>
        <w:rPr>
          <w:rFonts w:hint="eastAsia"/>
          <w:b w:val="0"/>
          <w:bCs/>
          <w:color w:val="auto"/>
          <w:szCs w:val="21"/>
          <w:highlight w:val="none"/>
          <w:lang w:val="en-US" w:eastAsia="zh-CN"/>
        </w:rPr>
        <w:t>/</w:t>
      </w:r>
      <w:r>
        <w:rPr>
          <w:rFonts w:hint="eastAsia"/>
          <w:b w:val="0"/>
          <w:bCs/>
          <w:color w:val="auto"/>
          <w:szCs w:val="21"/>
          <w:highlight w:val="none"/>
          <w:lang w:val="zh-CN"/>
        </w:rPr>
        <w:t>包号：</w:t>
      </w:r>
      <w:r>
        <w:rPr>
          <w:rFonts w:hint="eastAsia"/>
          <w:b w:val="0"/>
          <w:bCs/>
          <w:color w:val="auto"/>
          <w:szCs w:val="21"/>
          <w:highlight w:val="none"/>
          <w:u w:val="single"/>
          <w:lang w:val="zh-CN"/>
        </w:rPr>
        <w:t xml:space="preserve">                     </w:t>
      </w:r>
    </w:p>
    <w:tbl>
      <w:tblPr>
        <w:tblStyle w:val="29"/>
        <w:tblW w:w="89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5"/>
        <w:gridCol w:w="3720"/>
        <w:gridCol w:w="1065"/>
        <w:gridCol w:w="1065"/>
        <w:gridCol w:w="1066"/>
        <w:gridCol w:w="947"/>
      </w:tblGrid>
      <w:tr w14:paraId="64BB0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65" w:type="dxa"/>
            <w:vAlign w:val="center"/>
          </w:tcPr>
          <w:p w14:paraId="0359B3E0">
            <w:pPr>
              <w:adjustRightInd w:val="0"/>
              <w:snapToGri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3720" w:type="dxa"/>
            <w:vAlign w:val="center"/>
          </w:tcPr>
          <w:p w14:paraId="088C5C15">
            <w:pPr>
              <w:adjustRightInd w:val="0"/>
              <w:snapToGri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名称</w:t>
            </w:r>
          </w:p>
        </w:tc>
        <w:tc>
          <w:tcPr>
            <w:tcW w:w="1065" w:type="dxa"/>
            <w:vAlign w:val="center"/>
          </w:tcPr>
          <w:p w14:paraId="73E95872">
            <w:pPr>
              <w:adjustRightInd w:val="0"/>
              <w:snapToGri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数量</w:t>
            </w:r>
          </w:p>
        </w:tc>
        <w:tc>
          <w:tcPr>
            <w:tcW w:w="1065" w:type="dxa"/>
            <w:vAlign w:val="center"/>
          </w:tcPr>
          <w:p w14:paraId="46AE39CD">
            <w:pPr>
              <w:adjustRightInd w:val="0"/>
              <w:snapToGri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单价（元）</w:t>
            </w:r>
          </w:p>
        </w:tc>
        <w:tc>
          <w:tcPr>
            <w:tcW w:w="1066" w:type="dxa"/>
            <w:vAlign w:val="center"/>
          </w:tcPr>
          <w:p w14:paraId="39D56880">
            <w:pPr>
              <w:adjustRightInd w:val="0"/>
              <w:snapToGri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合</w:t>
            </w:r>
            <w:r>
              <w:rPr>
                <w:rFonts w:hint="eastAsia" w:ascii="宋体" w:hAnsi="宋体" w:eastAsia="宋体" w:cs="宋体"/>
                <w:color w:val="auto"/>
                <w:sz w:val="21"/>
                <w:szCs w:val="21"/>
                <w:highlight w:val="none"/>
              </w:rPr>
              <w:t>价</w:t>
            </w:r>
          </w:p>
        </w:tc>
        <w:tc>
          <w:tcPr>
            <w:tcW w:w="947" w:type="dxa"/>
            <w:vAlign w:val="center"/>
          </w:tcPr>
          <w:p w14:paraId="7A267799">
            <w:pPr>
              <w:adjustRightInd w:val="0"/>
              <w:snapToGri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w:t>
            </w:r>
          </w:p>
        </w:tc>
      </w:tr>
      <w:tr w14:paraId="467AA8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65" w:type="dxa"/>
            <w:vAlign w:val="center"/>
          </w:tcPr>
          <w:p w14:paraId="2A5FF6D0">
            <w:pPr>
              <w:adjustRightInd w:val="0"/>
              <w:snapToGri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3720" w:type="dxa"/>
            <w:vAlign w:val="center"/>
          </w:tcPr>
          <w:p w14:paraId="07A38CC0">
            <w:pPr>
              <w:adjustRightInd w:val="0"/>
              <w:snapToGrid w:val="0"/>
              <w:spacing w:line="240" w:lineRule="auto"/>
              <w:jc w:val="center"/>
              <w:rPr>
                <w:rFonts w:hint="eastAsia" w:ascii="宋体" w:hAnsi="宋体" w:eastAsia="宋体" w:cs="宋体"/>
                <w:color w:val="auto"/>
                <w:sz w:val="21"/>
                <w:szCs w:val="21"/>
                <w:highlight w:val="none"/>
              </w:rPr>
            </w:pPr>
          </w:p>
        </w:tc>
        <w:tc>
          <w:tcPr>
            <w:tcW w:w="1065" w:type="dxa"/>
            <w:vAlign w:val="center"/>
          </w:tcPr>
          <w:p w14:paraId="0D2CE283">
            <w:pPr>
              <w:adjustRightInd w:val="0"/>
              <w:snapToGrid w:val="0"/>
              <w:spacing w:line="240" w:lineRule="auto"/>
              <w:jc w:val="center"/>
              <w:rPr>
                <w:rFonts w:hint="eastAsia" w:ascii="宋体" w:hAnsi="宋体" w:eastAsia="宋体" w:cs="宋体"/>
                <w:color w:val="auto"/>
                <w:sz w:val="21"/>
                <w:szCs w:val="21"/>
                <w:highlight w:val="none"/>
              </w:rPr>
            </w:pPr>
          </w:p>
        </w:tc>
        <w:tc>
          <w:tcPr>
            <w:tcW w:w="1065" w:type="dxa"/>
            <w:vAlign w:val="center"/>
          </w:tcPr>
          <w:p w14:paraId="347A98B0">
            <w:pPr>
              <w:adjustRightInd w:val="0"/>
              <w:snapToGrid w:val="0"/>
              <w:spacing w:line="240" w:lineRule="auto"/>
              <w:jc w:val="center"/>
              <w:rPr>
                <w:rFonts w:hint="eastAsia" w:ascii="宋体" w:hAnsi="宋体" w:eastAsia="宋体" w:cs="宋体"/>
                <w:color w:val="auto"/>
                <w:sz w:val="21"/>
                <w:szCs w:val="21"/>
                <w:highlight w:val="none"/>
              </w:rPr>
            </w:pPr>
          </w:p>
        </w:tc>
        <w:tc>
          <w:tcPr>
            <w:tcW w:w="1066" w:type="dxa"/>
            <w:vAlign w:val="center"/>
          </w:tcPr>
          <w:p w14:paraId="439055D0">
            <w:pPr>
              <w:adjustRightInd w:val="0"/>
              <w:snapToGrid w:val="0"/>
              <w:spacing w:line="240" w:lineRule="auto"/>
              <w:jc w:val="center"/>
              <w:rPr>
                <w:rFonts w:hint="eastAsia" w:ascii="宋体" w:hAnsi="宋体" w:eastAsia="宋体" w:cs="宋体"/>
                <w:color w:val="auto"/>
                <w:sz w:val="21"/>
                <w:szCs w:val="21"/>
                <w:highlight w:val="none"/>
              </w:rPr>
            </w:pPr>
          </w:p>
        </w:tc>
        <w:tc>
          <w:tcPr>
            <w:tcW w:w="947" w:type="dxa"/>
            <w:vAlign w:val="center"/>
          </w:tcPr>
          <w:p w14:paraId="53350EE9">
            <w:pPr>
              <w:adjustRightInd w:val="0"/>
              <w:snapToGrid w:val="0"/>
              <w:spacing w:line="240" w:lineRule="auto"/>
              <w:jc w:val="center"/>
              <w:rPr>
                <w:rFonts w:hint="eastAsia" w:ascii="宋体" w:hAnsi="宋体" w:eastAsia="宋体" w:cs="宋体"/>
                <w:color w:val="auto"/>
                <w:sz w:val="21"/>
                <w:szCs w:val="21"/>
                <w:highlight w:val="none"/>
              </w:rPr>
            </w:pPr>
          </w:p>
        </w:tc>
      </w:tr>
      <w:tr w14:paraId="510BBE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65" w:type="dxa"/>
            <w:vAlign w:val="center"/>
          </w:tcPr>
          <w:p w14:paraId="70E786EF">
            <w:pPr>
              <w:adjustRightInd w:val="0"/>
              <w:snapToGri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3720" w:type="dxa"/>
            <w:vAlign w:val="center"/>
          </w:tcPr>
          <w:p w14:paraId="19F17531">
            <w:pPr>
              <w:adjustRightInd w:val="0"/>
              <w:snapToGrid w:val="0"/>
              <w:spacing w:line="240" w:lineRule="auto"/>
              <w:jc w:val="center"/>
              <w:rPr>
                <w:rFonts w:hint="eastAsia" w:ascii="宋体" w:hAnsi="宋体" w:eastAsia="宋体" w:cs="宋体"/>
                <w:color w:val="auto"/>
                <w:sz w:val="21"/>
                <w:szCs w:val="21"/>
                <w:highlight w:val="none"/>
              </w:rPr>
            </w:pPr>
          </w:p>
        </w:tc>
        <w:tc>
          <w:tcPr>
            <w:tcW w:w="1065" w:type="dxa"/>
            <w:vAlign w:val="center"/>
          </w:tcPr>
          <w:p w14:paraId="5FA2A257">
            <w:pPr>
              <w:adjustRightInd w:val="0"/>
              <w:snapToGrid w:val="0"/>
              <w:spacing w:line="240" w:lineRule="auto"/>
              <w:jc w:val="center"/>
              <w:rPr>
                <w:rFonts w:hint="eastAsia" w:ascii="宋体" w:hAnsi="宋体" w:eastAsia="宋体" w:cs="宋体"/>
                <w:color w:val="auto"/>
                <w:sz w:val="21"/>
                <w:szCs w:val="21"/>
                <w:highlight w:val="none"/>
              </w:rPr>
            </w:pPr>
          </w:p>
        </w:tc>
        <w:tc>
          <w:tcPr>
            <w:tcW w:w="1065" w:type="dxa"/>
            <w:vAlign w:val="center"/>
          </w:tcPr>
          <w:p w14:paraId="634862ED">
            <w:pPr>
              <w:adjustRightInd w:val="0"/>
              <w:snapToGrid w:val="0"/>
              <w:spacing w:line="240" w:lineRule="auto"/>
              <w:jc w:val="center"/>
              <w:rPr>
                <w:rFonts w:hint="eastAsia" w:ascii="宋体" w:hAnsi="宋体" w:eastAsia="宋体" w:cs="宋体"/>
                <w:color w:val="auto"/>
                <w:sz w:val="21"/>
                <w:szCs w:val="21"/>
                <w:highlight w:val="none"/>
              </w:rPr>
            </w:pPr>
          </w:p>
        </w:tc>
        <w:tc>
          <w:tcPr>
            <w:tcW w:w="1066" w:type="dxa"/>
            <w:vAlign w:val="center"/>
          </w:tcPr>
          <w:p w14:paraId="604070DF">
            <w:pPr>
              <w:adjustRightInd w:val="0"/>
              <w:snapToGrid w:val="0"/>
              <w:spacing w:line="240" w:lineRule="auto"/>
              <w:jc w:val="center"/>
              <w:rPr>
                <w:rFonts w:hint="eastAsia" w:ascii="宋体" w:hAnsi="宋体" w:eastAsia="宋体" w:cs="宋体"/>
                <w:color w:val="auto"/>
                <w:sz w:val="21"/>
                <w:szCs w:val="21"/>
                <w:highlight w:val="none"/>
              </w:rPr>
            </w:pPr>
          </w:p>
        </w:tc>
        <w:tc>
          <w:tcPr>
            <w:tcW w:w="947" w:type="dxa"/>
            <w:vAlign w:val="center"/>
          </w:tcPr>
          <w:p w14:paraId="45B52869">
            <w:pPr>
              <w:adjustRightInd w:val="0"/>
              <w:snapToGrid w:val="0"/>
              <w:spacing w:line="240" w:lineRule="auto"/>
              <w:jc w:val="center"/>
              <w:rPr>
                <w:rFonts w:hint="eastAsia" w:ascii="宋体" w:hAnsi="宋体" w:eastAsia="宋体" w:cs="宋体"/>
                <w:color w:val="auto"/>
                <w:sz w:val="21"/>
                <w:szCs w:val="21"/>
                <w:highlight w:val="none"/>
              </w:rPr>
            </w:pPr>
          </w:p>
        </w:tc>
      </w:tr>
      <w:tr w14:paraId="10220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65" w:type="dxa"/>
            <w:vAlign w:val="center"/>
          </w:tcPr>
          <w:p w14:paraId="447A33D5">
            <w:pPr>
              <w:adjustRightInd w:val="0"/>
              <w:snapToGri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3720" w:type="dxa"/>
            <w:vAlign w:val="center"/>
          </w:tcPr>
          <w:p w14:paraId="7605B56B">
            <w:pPr>
              <w:adjustRightInd w:val="0"/>
              <w:snapToGrid w:val="0"/>
              <w:spacing w:line="240" w:lineRule="auto"/>
              <w:jc w:val="center"/>
              <w:rPr>
                <w:rFonts w:hint="eastAsia" w:ascii="宋体" w:hAnsi="宋体" w:eastAsia="宋体" w:cs="宋体"/>
                <w:color w:val="auto"/>
                <w:sz w:val="21"/>
                <w:szCs w:val="21"/>
                <w:highlight w:val="none"/>
              </w:rPr>
            </w:pPr>
          </w:p>
        </w:tc>
        <w:tc>
          <w:tcPr>
            <w:tcW w:w="1065" w:type="dxa"/>
            <w:vAlign w:val="center"/>
          </w:tcPr>
          <w:p w14:paraId="2DB12A28">
            <w:pPr>
              <w:adjustRightInd w:val="0"/>
              <w:snapToGrid w:val="0"/>
              <w:spacing w:line="240" w:lineRule="auto"/>
              <w:jc w:val="center"/>
              <w:rPr>
                <w:rFonts w:hint="eastAsia" w:ascii="宋体" w:hAnsi="宋体" w:eastAsia="宋体" w:cs="宋体"/>
                <w:color w:val="auto"/>
                <w:sz w:val="21"/>
                <w:szCs w:val="21"/>
                <w:highlight w:val="none"/>
              </w:rPr>
            </w:pPr>
          </w:p>
        </w:tc>
        <w:tc>
          <w:tcPr>
            <w:tcW w:w="1065" w:type="dxa"/>
            <w:vAlign w:val="center"/>
          </w:tcPr>
          <w:p w14:paraId="317BFF74">
            <w:pPr>
              <w:adjustRightInd w:val="0"/>
              <w:snapToGrid w:val="0"/>
              <w:spacing w:line="240" w:lineRule="auto"/>
              <w:jc w:val="center"/>
              <w:rPr>
                <w:rFonts w:hint="eastAsia" w:ascii="宋体" w:hAnsi="宋体" w:eastAsia="宋体" w:cs="宋体"/>
                <w:color w:val="auto"/>
                <w:sz w:val="21"/>
                <w:szCs w:val="21"/>
                <w:highlight w:val="none"/>
              </w:rPr>
            </w:pPr>
          </w:p>
        </w:tc>
        <w:tc>
          <w:tcPr>
            <w:tcW w:w="1066" w:type="dxa"/>
            <w:vAlign w:val="center"/>
          </w:tcPr>
          <w:p w14:paraId="4B6F17D3">
            <w:pPr>
              <w:adjustRightInd w:val="0"/>
              <w:snapToGrid w:val="0"/>
              <w:spacing w:line="240" w:lineRule="auto"/>
              <w:jc w:val="center"/>
              <w:rPr>
                <w:rFonts w:hint="eastAsia" w:ascii="宋体" w:hAnsi="宋体" w:eastAsia="宋体" w:cs="宋体"/>
                <w:color w:val="auto"/>
                <w:sz w:val="21"/>
                <w:szCs w:val="21"/>
                <w:highlight w:val="none"/>
              </w:rPr>
            </w:pPr>
          </w:p>
        </w:tc>
        <w:tc>
          <w:tcPr>
            <w:tcW w:w="947" w:type="dxa"/>
            <w:vAlign w:val="center"/>
          </w:tcPr>
          <w:p w14:paraId="1E8ED10E">
            <w:pPr>
              <w:adjustRightInd w:val="0"/>
              <w:snapToGrid w:val="0"/>
              <w:spacing w:line="240" w:lineRule="auto"/>
              <w:jc w:val="center"/>
              <w:rPr>
                <w:rFonts w:hint="eastAsia" w:ascii="宋体" w:hAnsi="宋体" w:eastAsia="宋体" w:cs="宋体"/>
                <w:color w:val="auto"/>
                <w:sz w:val="21"/>
                <w:szCs w:val="21"/>
                <w:highlight w:val="none"/>
              </w:rPr>
            </w:pPr>
          </w:p>
        </w:tc>
      </w:tr>
      <w:tr w14:paraId="353CE9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65" w:type="dxa"/>
            <w:vAlign w:val="center"/>
          </w:tcPr>
          <w:p w14:paraId="4BB358B2">
            <w:pPr>
              <w:adjustRightInd w:val="0"/>
              <w:snapToGri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3720" w:type="dxa"/>
            <w:vAlign w:val="center"/>
          </w:tcPr>
          <w:p w14:paraId="0B0031F2">
            <w:pPr>
              <w:adjustRightInd w:val="0"/>
              <w:snapToGrid w:val="0"/>
              <w:spacing w:line="240" w:lineRule="auto"/>
              <w:jc w:val="center"/>
              <w:rPr>
                <w:rFonts w:hint="eastAsia" w:ascii="宋体" w:hAnsi="宋体" w:eastAsia="宋体" w:cs="宋体"/>
                <w:color w:val="auto"/>
                <w:sz w:val="21"/>
                <w:szCs w:val="21"/>
                <w:highlight w:val="none"/>
              </w:rPr>
            </w:pPr>
          </w:p>
        </w:tc>
        <w:tc>
          <w:tcPr>
            <w:tcW w:w="1065" w:type="dxa"/>
            <w:vAlign w:val="center"/>
          </w:tcPr>
          <w:p w14:paraId="1A9AB905">
            <w:pPr>
              <w:adjustRightInd w:val="0"/>
              <w:snapToGrid w:val="0"/>
              <w:spacing w:line="240" w:lineRule="auto"/>
              <w:jc w:val="center"/>
              <w:rPr>
                <w:rFonts w:hint="eastAsia" w:ascii="宋体" w:hAnsi="宋体" w:eastAsia="宋体" w:cs="宋体"/>
                <w:color w:val="auto"/>
                <w:sz w:val="21"/>
                <w:szCs w:val="21"/>
                <w:highlight w:val="none"/>
              </w:rPr>
            </w:pPr>
          </w:p>
        </w:tc>
        <w:tc>
          <w:tcPr>
            <w:tcW w:w="1065" w:type="dxa"/>
            <w:vAlign w:val="center"/>
          </w:tcPr>
          <w:p w14:paraId="20C40B8C">
            <w:pPr>
              <w:adjustRightInd w:val="0"/>
              <w:snapToGrid w:val="0"/>
              <w:spacing w:line="240" w:lineRule="auto"/>
              <w:jc w:val="center"/>
              <w:rPr>
                <w:rFonts w:hint="eastAsia" w:ascii="宋体" w:hAnsi="宋体" w:eastAsia="宋体" w:cs="宋体"/>
                <w:color w:val="auto"/>
                <w:sz w:val="21"/>
                <w:szCs w:val="21"/>
                <w:highlight w:val="none"/>
              </w:rPr>
            </w:pPr>
          </w:p>
        </w:tc>
        <w:tc>
          <w:tcPr>
            <w:tcW w:w="1066" w:type="dxa"/>
            <w:vAlign w:val="center"/>
          </w:tcPr>
          <w:p w14:paraId="7FDFD679">
            <w:pPr>
              <w:adjustRightInd w:val="0"/>
              <w:snapToGrid w:val="0"/>
              <w:spacing w:line="240" w:lineRule="auto"/>
              <w:jc w:val="center"/>
              <w:rPr>
                <w:rFonts w:hint="eastAsia" w:ascii="宋体" w:hAnsi="宋体" w:eastAsia="宋体" w:cs="宋体"/>
                <w:color w:val="auto"/>
                <w:sz w:val="21"/>
                <w:szCs w:val="21"/>
                <w:highlight w:val="none"/>
              </w:rPr>
            </w:pPr>
          </w:p>
        </w:tc>
        <w:tc>
          <w:tcPr>
            <w:tcW w:w="947" w:type="dxa"/>
            <w:vAlign w:val="center"/>
          </w:tcPr>
          <w:p w14:paraId="3C259360">
            <w:pPr>
              <w:adjustRightInd w:val="0"/>
              <w:snapToGrid w:val="0"/>
              <w:spacing w:line="240" w:lineRule="auto"/>
              <w:jc w:val="center"/>
              <w:rPr>
                <w:rFonts w:hint="eastAsia" w:ascii="宋体" w:hAnsi="宋体" w:eastAsia="宋体" w:cs="宋体"/>
                <w:color w:val="auto"/>
                <w:sz w:val="21"/>
                <w:szCs w:val="21"/>
                <w:highlight w:val="none"/>
              </w:rPr>
            </w:pPr>
          </w:p>
        </w:tc>
      </w:tr>
      <w:tr w14:paraId="51C61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65" w:type="dxa"/>
            <w:vAlign w:val="center"/>
          </w:tcPr>
          <w:p w14:paraId="0ED2AC16">
            <w:pPr>
              <w:adjustRightInd w:val="0"/>
              <w:snapToGri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p>
        </w:tc>
        <w:tc>
          <w:tcPr>
            <w:tcW w:w="3720" w:type="dxa"/>
            <w:vAlign w:val="center"/>
          </w:tcPr>
          <w:p w14:paraId="2B6E9910">
            <w:pPr>
              <w:adjustRightInd w:val="0"/>
              <w:snapToGrid w:val="0"/>
              <w:spacing w:line="240" w:lineRule="auto"/>
              <w:jc w:val="center"/>
              <w:rPr>
                <w:rFonts w:hint="eastAsia" w:ascii="宋体" w:hAnsi="宋体" w:eastAsia="宋体" w:cs="宋体"/>
                <w:color w:val="auto"/>
                <w:sz w:val="21"/>
                <w:szCs w:val="21"/>
                <w:highlight w:val="none"/>
              </w:rPr>
            </w:pPr>
          </w:p>
        </w:tc>
        <w:tc>
          <w:tcPr>
            <w:tcW w:w="1065" w:type="dxa"/>
            <w:vAlign w:val="center"/>
          </w:tcPr>
          <w:p w14:paraId="34E951A1">
            <w:pPr>
              <w:adjustRightInd w:val="0"/>
              <w:snapToGrid w:val="0"/>
              <w:spacing w:line="240" w:lineRule="auto"/>
              <w:jc w:val="center"/>
              <w:rPr>
                <w:rFonts w:hint="eastAsia" w:ascii="宋体" w:hAnsi="宋体" w:eastAsia="宋体" w:cs="宋体"/>
                <w:color w:val="auto"/>
                <w:sz w:val="21"/>
                <w:szCs w:val="21"/>
                <w:highlight w:val="none"/>
              </w:rPr>
            </w:pPr>
          </w:p>
        </w:tc>
        <w:tc>
          <w:tcPr>
            <w:tcW w:w="1065" w:type="dxa"/>
            <w:vAlign w:val="center"/>
          </w:tcPr>
          <w:p w14:paraId="5D9FC8D6">
            <w:pPr>
              <w:adjustRightInd w:val="0"/>
              <w:snapToGrid w:val="0"/>
              <w:spacing w:line="240" w:lineRule="auto"/>
              <w:jc w:val="center"/>
              <w:rPr>
                <w:rFonts w:hint="eastAsia" w:ascii="宋体" w:hAnsi="宋体" w:eastAsia="宋体" w:cs="宋体"/>
                <w:color w:val="auto"/>
                <w:sz w:val="21"/>
                <w:szCs w:val="21"/>
                <w:highlight w:val="none"/>
              </w:rPr>
            </w:pPr>
          </w:p>
        </w:tc>
        <w:tc>
          <w:tcPr>
            <w:tcW w:w="1066" w:type="dxa"/>
            <w:vAlign w:val="center"/>
          </w:tcPr>
          <w:p w14:paraId="7745BDE0">
            <w:pPr>
              <w:adjustRightInd w:val="0"/>
              <w:snapToGrid w:val="0"/>
              <w:spacing w:line="240" w:lineRule="auto"/>
              <w:jc w:val="center"/>
              <w:rPr>
                <w:rFonts w:hint="eastAsia" w:ascii="宋体" w:hAnsi="宋体" w:eastAsia="宋体" w:cs="宋体"/>
                <w:color w:val="auto"/>
                <w:sz w:val="21"/>
                <w:szCs w:val="21"/>
                <w:highlight w:val="none"/>
              </w:rPr>
            </w:pPr>
          </w:p>
        </w:tc>
        <w:tc>
          <w:tcPr>
            <w:tcW w:w="947" w:type="dxa"/>
            <w:vAlign w:val="center"/>
          </w:tcPr>
          <w:p w14:paraId="2F20BA25">
            <w:pPr>
              <w:adjustRightInd w:val="0"/>
              <w:snapToGrid w:val="0"/>
              <w:spacing w:line="240" w:lineRule="auto"/>
              <w:jc w:val="center"/>
              <w:rPr>
                <w:rFonts w:hint="eastAsia" w:ascii="宋体" w:hAnsi="宋体" w:eastAsia="宋体" w:cs="宋体"/>
                <w:color w:val="auto"/>
                <w:sz w:val="21"/>
                <w:szCs w:val="21"/>
                <w:highlight w:val="none"/>
              </w:rPr>
            </w:pPr>
          </w:p>
        </w:tc>
      </w:tr>
      <w:tr w14:paraId="054C0D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65" w:type="dxa"/>
            <w:vAlign w:val="center"/>
          </w:tcPr>
          <w:p w14:paraId="469BF075">
            <w:pPr>
              <w:adjustRightInd w:val="0"/>
              <w:snapToGri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p>
        </w:tc>
        <w:tc>
          <w:tcPr>
            <w:tcW w:w="3720" w:type="dxa"/>
            <w:vAlign w:val="center"/>
          </w:tcPr>
          <w:p w14:paraId="63E7761B">
            <w:pPr>
              <w:adjustRightInd w:val="0"/>
              <w:snapToGrid w:val="0"/>
              <w:spacing w:line="240" w:lineRule="auto"/>
              <w:jc w:val="center"/>
              <w:rPr>
                <w:rFonts w:hint="eastAsia" w:ascii="宋体" w:hAnsi="宋体" w:eastAsia="宋体" w:cs="宋体"/>
                <w:color w:val="auto"/>
                <w:sz w:val="21"/>
                <w:szCs w:val="21"/>
                <w:highlight w:val="none"/>
              </w:rPr>
            </w:pPr>
          </w:p>
        </w:tc>
        <w:tc>
          <w:tcPr>
            <w:tcW w:w="1065" w:type="dxa"/>
            <w:vAlign w:val="center"/>
          </w:tcPr>
          <w:p w14:paraId="3BA61A9A">
            <w:pPr>
              <w:adjustRightInd w:val="0"/>
              <w:snapToGrid w:val="0"/>
              <w:spacing w:line="240" w:lineRule="auto"/>
              <w:jc w:val="center"/>
              <w:rPr>
                <w:rFonts w:hint="eastAsia" w:ascii="宋体" w:hAnsi="宋体" w:eastAsia="宋体" w:cs="宋体"/>
                <w:color w:val="auto"/>
                <w:sz w:val="21"/>
                <w:szCs w:val="21"/>
                <w:highlight w:val="none"/>
              </w:rPr>
            </w:pPr>
          </w:p>
        </w:tc>
        <w:tc>
          <w:tcPr>
            <w:tcW w:w="1065" w:type="dxa"/>
            <w:vAlign w:val="center"/>
          </w:tcPr>
          <w:p w14:paraId="7DCA522F">
            <w:pPr>
              <w:adjustRightInd w:val="0"/>
              <w:snapToGrid w:val="0"/>
              <w:spacing w:line="240" w:lineRule="auto"/>
              <w:jc w:val="center"/>
              <w:rPr>
                <w:rFonts w:hint="eastAsia" w:ascii="宋体" w:hAnsi="宋体" w:eastAsia="宋体" w:cs="宋体"/>
                <w:color w:val="auto"/>
                <w:sz w:val="21"/>
                <w:szCs w:val="21"/>
                <w:highlight w:val="none"/>
              </w:rPr>
            </w:pPr>
          </w:p>
        </w:tc>
        <w:tc>
          <w:tcPr>
            <w:tcW w:w="1066" w:type="dxa"/>
            <w:vAlign w:val="center"/>
          </w:tcPr>
          <w:p w14:paraId="68A27993">
            <w:pPr>
              <w:adjustRightInd w:val="0"/>
              <w:snapToGrid w:val="0"/>
              <w:spacing w:line="240" w:lineRule="auto"/>
              <w:jc w:val="center"/>
              <w:rPr>
                <w:rFonts w:hint="eastAsia" w:ascii="宋体" w:hAnsi="宋体" w:eastAsia="宋体" w:cs="宋体"/>
                <w:color w:val="auto"/>
                <w:sz w:val="21"/>
                <w:szCs w:val="21"/>
                <w:highlight w:val="none"/>
              </w:rPr>
            </w:pPr>
          </w:p>
        </w:tc>
        <w:tc>
          <w:tcPr>
            <w:tcW w:w="947" w:type="dxa"/>
            <w:vAlign w:val="center"/>
          </w:tcPr>
          <w:p w14:paraId="33A904F9">
            <w:pPr>
              <w:adjustRightInd w:val="0"/>
              <w:snapToGrid w:val="0"/>
              <w:spacing w:line="240" w:lineRule="auto"/>
              <w:jc w:val="center"/>
              <w:rPr>
                <w:rFonts w:hint="eastAsia" w:ascii="宋体" w:hAnsi="宋体" w:eastAsia="宋体" w:cs="宋体"/>
                <w:color w:val="auto"/>
                <w:sz w:val="21"/>
                <w:szCs w:val="21"/>
                <w:highlight w:val="none"/>
              </w:rPr>
            </w:pPr>
          </w:p>
        </w:tc>
      </w:tr>
      <w:tr w14:paraId="57BAB6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65" w:type="dxa"/>
            <w:vAlign w:val="center"/>
          </w:tcPr>
          <w:p w14:paraId="68C27991">
            <w:pPr>
              <w:adjustRightInd w:val="0"/>
              <w:snapToGri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w:t>
            </w:r>
          </w:p>
        </w:tc>
        <w:tc>
          <w:tcPr>
            <w:tcW w:w="3720" w:type="dxa"/>
            <w:vAlign w:val="center"/>
          </w:tcPr>
          <w:p w14:paraId="7864625B">
            <w:pPr>
              <w:adjustRightInd w:val="0"/>
              <w:snapToGrid w:val="0"/>
              <w:spacing w:line="240" w:lineRule="auto"/>
              <w:jc w:val="center"/>
              <w:rPr>
                <w:rFonts w:hint="eastAsia" w:ascii="宋体" w:hAnsi="宋体" w:eastAsia="宋体" w:cs="宋体"/>
                <w:color w:val="auto"/>
                <w:sz w:val="21"/>
                <w:szCs w:val="21"/>
                <w:highlight w:val="none"/>
              </w:rPr>
            </w:pPr>
          </w:p>
        </w:tc>
        <w:tc>
          <w:tcPr>
            <w:tcW w:w="1065" w:type="dxa"/>
            <w:vAlign w:val="center"/>
          </w:tcPr>
          <w:p w14:paraId="2B4D906C">
            <w:pPr>
              <w:adjustRightInd w:val="0"/>
              <w:snapToGrid w:val="0"/>
              <w:spacing w:line="240" w:lineRule="auto"/>
              <w:jc w:val="center"/>
              <w:rPr>
                <w:rFonts w:hint="eastAsia" w:ascii="宋体" w:hAnsi="宋体" w:eastAsia="宋体" w:cs="宋体"/>
                <w:color w:val="auto"/>
                <w:sz w:val="21"/>
                <w:szCs w:val="21"/>
                <w:highlight w:val="none"/>
              </w:rPr>
            </w:pPr>
          </w:p>
        </w:tc>
        <w:tc>
          <w:tcPr>
            <w:tcW w:w="1065" w:type="dxa"/>
            <w:vAlign w:val="center"/>
          </w:tcPr>
          <w:p w14:paraId="6A8DF27F">
            <w:pPr>
              <w:adjustRightInd w:val="0"/>
              <w:snapToGrid w:val="0"/>
              <w:spacing w:line="240" w:lineRule="auto"/>
              <w:jc w:val="center"/>
              <w:rPr>
                <w:rFonts w:hint="eastAsia" w:ascii="宋体" w:hAnsi="宋体" w:eastAsia="宋体" w:cs="宋体"/>
                <w:color w:val="auto"/>
                <w:sz w:val="21"/>
                <w:szCs w:val="21"/>
                <w:highlight w:val="none"/>
              </w:rPr>
            </w:pPr>
          </w:p>
        </w:tc>
        <w:tc>
          <w:tcPr>
            <w:tcW w:w="1066" w:type="dxa"/>
            <w:vAlign w:val="center"/>
          </w:tcPr>
          <w:p w14:paraId="54C5FBF7">
            <w:pPr>
              <w:adjustRightInd w:val="0"/>
              <w:snapToGrid w:val="0"/>
              <w:spacing w:line="240" w:lineRule="auto"/>
              <w:jc w:val="center"/>
              <w:rPr>
                <w:rFonts w:hint="eastAsia" w:ascii="宋体" w:hAnsi="宋体" w:eastAsia="宋体" w:cs="宋体"/>
                <w:color w:val="auto"/>
                <w:sz w:val="21"/>
                <w:szCs w:val="21"/>
                <w:highlight w:val="none"/>
              </w:rPr>
            </w:pPr>
          </w:p>
        </w:tc>
        <w:tc>
          <w:tcPr>
            <w:tcW w:w="947" w:type="dxa"/>
            <w:vAlign w:val="center"/>
          </w:tcPr>
          <w:p w14:paraId="2690F475">
            <w:pPr>
              <w:adjustRightInd w:val="0"/>
              <w:snapToGrid w:val="0"/>
              <w:spacing w:line="240" w:lineRule="auto"/>
              <w:jc w:val="center"/>
              <w:rPr>
                <w:rFonts w:hint="eastAsia" w:ascii="宋体" w:hAnsi="宋体" w:eastAsia="宋体" w:cs="宋体"/>
                <w:color w:val="auto"/>
                <w:sz w:val="21"/>
                <w:szCs w:val="21"/>
                <w:highlight w:val="none"/>
              </w:rPr>
            </w:pPr>
          </w:p>
        </w:tc>
      </w:tr>
      <w:tr w14:paraId="27FCBB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65" w:type="dxa"/>
            <w:vAlign w:val="center"/>
          </w:tcPr>
          <w:p w14:paraId="3F063049">
            <w:pPr>
              <w:adjustRightInd w:val="0"/>
              <w:snapToGri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w:t>
            </w:r>
          </w:p>
        </w:tc>
        <w:tc>
          <w:tcPr>
            <w:tcW w:w="3720" w:type="dxa"/>
            <w:vAlign w:val="center"/>
          </w:tcPr>
          <w:p w14:paraId="7C3908AC">
            <w:pPr>
              <w:adjustRightInd w:val="0"/>
              <w:snapToGrid w:val="0"/>
              <w:spacing w:line="240" w:lineRule="auto"/>
              <w:jc w:val="center"/>
              <w:rPr>
                <w:rFonts w:hint="eastAsia" w:ascii="宋体" w:hAnsi="宋体" w:eastAsia="宋体" w:cs="宋体"/>
                <w:color w:val="auto"/>
                <w:sz w:val="21"/>
                <w:szCs w:val="21"/>
                <w:highlight w:val="none"/>
              </w:rPr>
            </w:pPr>
          </w:p>
        </w:tc>
        <w:tc>
          <w:tcPr>
            <w:tcW w:w="1065" w:type="dxa"/>
            <w:vAlign w:val="center"/>
          </w:tcPr>
          <w:p w14:paraId="362E8E82">
            <w:pPr>
              <w:adjustRightInd w:val="0"/>
              <w:snapToGrid w:val="0"/>
              <w:spacing w:line="240" w:lineRule="auto"/>
              <w:jc w:val="center"/>
              <w:rPr>
                <w:rFonts w:hint="eastAsia" w:ascii="宋体" w:hAnsi="宋体" w:eastAsia="宋体" w:cs="宋体"/>
                <w:color w:val="auto"/>
                <w:sz w:val="21"/>
                <w:szCs w:val="21"/>
                <w:highlight w:val="none"/>
              </w:rPr>
            </w:pPr>
          </w:p>
        </w:tc>
        <w:tc>
          <w:tcPr>
            <w:tcW w:w="1065" w:type="dxa"/>
            <w:vAlign w:val="center"/>
          </w:tcPr>
          <w:p w14:paraId="6F2704AB">
            <w:pPr>
              <w:adjustRightInd w:val="0"/>
              <w:snapToGrid w:val="0"/>
              <w:spacing w:line="240" w:lineRule="auto"/>
              <w:jc w:val="center"/>
              <w:rPr>
                <w:rFonts w:hint="eastAsia" w:ascii="宋体" w:hAnsi="宋体" w:eastAsia="宋体" w:cs="宋体"/>
                <w:color w:val="auto"/>
                <w:sz w:val="21"/>
                <w:szCs w:val="21"/>
                <w:highlight w:val="none"/>
              </w:rPr>
            </w:pPr>
          </w:p>
        </w:tc>
        <w:tc>
          <w:tcPr>
            <w:tcW w:w="1066" w:type="dxa"/>
            <w:vAlign w:val="center"/>
          </w:tcPr>
          <w:p w14:paraId="79394E0B">
            <w:pPr>
              <w:adjustRightInd w:val="0"/>
              <w:snapToGrid w:val="0"/>
              <w:spacing w:line="240" w:lineRule="auto"/>
              <w:jc w:val="center"/>
              <w:rPr>
                <w:rFonts w:hint="eastAsia" w:ascii="宋体" w:hAnsi="宋体" w:eastAsia="宋体" w:cs="宋体"/>
                <w:color w:val="auto"/>
                <w:sz w:val="21"/>
                <w:szCs w:val="21"/>
                <w:highlight w:val="none"/>
              </w:rPr>
            </w:pPr>
          </w:p>
        </w:tc>
        <w:tc>
          <w:tcPr>
            <w:tcW w:w="947" w:type="dxa"/>
            <w:vAlign w:val="center"/>
          </w:tcPr>
          <w:p w14:paraId="5A8DCEE1">
            <w:pPr>
              <w:adjustRightInd w:val="0"/>
              <w:snapToGrid w:val="0"/>
              <w:spacing w:line="240" w:lineRule="auto"/>
              <w:jc w:val="center"/>
              <w:rPr>
                <w:rFonts w:hint="eastAsia" w:ascii="宋体" w:hAnsi="宋体" w:eastAsia="宋体" w:cs="宋体"/>
                <w:color w:val="auto"/>
                <w:sz w:val="21"/>
                <w:szCs w:val="21"/>
                <w:highlight w:val="none"/>
              </w:rPr>
            </w:pPr>
          </w:p>
        </w:tc>
      </w:tr>
      <w:tr w14:paraId="2D0BDF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65" w:type="dxa"/>
            <w:shd w:val="clear" w:color="auto" w:fill="auto"/>
            <w:vAlign w:val="center"/>
          </w:tcPr>
          <w:p w14:paraId="36B30C90">
            <w:pPr>
              <w:adjustRightInd w:val="0"/>
              <w:snapToGrid w:val="0"/>
              <w:spacing w:line="24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w:t>
            </w:r>
          </w:p>
        </w:tc>
        <w:tc>
          <w:tcPr>
            <w:tcW w:w="3720" w:type="dxa"/>
            <w:shd w:val="clear" w:color="auto" w:fill="auto"/>
            <w:vAlign w:val="center"/>
          </w:tcPr>
          <w:p w14:paraId="547CA859">
            <w:pPr>
              <w:adjustRightInd w:val="0"/>
              <w:snapToGrid w:val="0"/>
              <w:spacing w:line="24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w:t>
            </w:r>
          </w:p>
        </w:tc>
        <w:tc>
          <w:tcPr>
            <w:tcW w:w="1065" w:type="dxa"/>
            <w:vAlign w:val="center"/>
          </w:tcPr>
          <w:p w14:paraId="7B9DBE1E">
            <w:pPr>
              <w:adjustRightInd w:val="0"/>
              <w:snapToGrid w:val="0"/>
              <w:spacing w:line="240" w:lineRule="auto"/>
              <w:jc w:val="center"/>
              <w:rPr>
                <w:rFonts w:hint="eastAsia" w:ascii="宋体" w:hAnsi="宋体" w:eastAsia="宋体" w:cs="宋体"/>
                <w:color w:val="auto"/>
                <w:sz w:val="21"/>
                <w:szCs w:val="21"/>
                <w:highlight w:val="none"/>
              </w:rPr>
            </w:pPr>
          </w:p>
        </w:tc>
        <w:tc>
          <w:tcPr>
            <w:tcW w:w="1065" w:type="dxa"/>
            <w:vAlign w:val="center"/>
          </w:tcPr>
          <w:p w14:paraId="6851C226">
            <w:pPr>
              <w:adjustRightInd w:val="0"/>
              <w:snapToGrid w:val="0"/>
              <w:spacing w:line="240" w:lineRule="auto"/>
              <w:jc w:val="center"/>
              <w:rPr>
                <w:rFonts w:hint="eastAsia" w:ascii="宋体" w:hAnsi="宋体" w:eastAsia="宋体" w:cs="宋体"/>
                <w:color w:val="auto"/>
                <w:sz w:val="21"/>
                <w:szCs w:val="21"/>
                <w:highlight w:val="none"/>
              </w:rPr>
            </w:pPr>
          </w:p>
        </w:tc>
        <w:tc>
          <w:tcPr>
            <w:tcW w:w="1066" w:type="dxa"/>
            <w:vAlign w:val="center"/>
          </w:tcPr>
          <w:p w14:paraId="39505459">
            <w:pPr>
              <w:adjustRightInd w:val="0"/>
              <w:snapToGrid w:val="0"/>
              <w:spacing w:line="240" w:lineRule="auto"/>
              <w:jc w:val="center"/>
              <w:rPr>
                <w:rFonts w:hint="eastAsia" w:ascii="宋体" w:hAnsi="宋体" w:eastAsia="宋体" w:cs="宋体"/>
                <w:color w:val="auto"/>
                <w:sz w:val="21"/>
                <w:szCs w:val="21"/>
                <w:highlight w:val="none"/>
              </w:rPr>
            </w:pPr>
          </w:p>
        </w:tc>
        <w:tc>
          <w:tcPr>
            <w:tcW w:w="947" w:type="dxa"/>
            <w:vAlign w:val="center"/>
          </w:tcPr>
          <w:p w14:paraId="14D910E3">
            <w:pPr>
              <w:adjustRightInd w:val="0"/>
              <w:snapToGrid w:val="0"/>
              <w:spacing w:line="240" w:lineRule="auto"/>
              <w:jc w:val="center"/>
              <w:rPr>
                <w:rFonts w:hint="eastAsia" w:ascii="宋体" w:hAnsi="宋体" w:eastAsia="宋体" w:cs="宋体"/>
                <w:color w:val="auto"/>
                <w:sz w:val="21"/>
                <w:szCs w:val="21"/>
                <w:highlight w:val="none"/>
              </w:rPr>
            </w:pPr>
          </w:p>
        </w:tc>
      </w:tr>
      <w:tr w14:paraId="0CABB2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65" w:type="dxa"/>
            <w:vAlign w:val="center"/>
          </w:tcPr>
          <w:p w14:paraId="39727E85">
            <w:pPr>
              <w:adjustRightInd w:val="0"/>
              <w:snapToGrid w:val="0"/>
              <w:spacing w:line="240" w:lineRule="auto"/>
              <w:jc w:val="center"/>
              <w:rPr>
                <w:rFonts w:hint="eastAsia" w:ascii="宋体" w:hAnsi="宋体" w:eastAsia="宋体" w:cs="宋体"/>
                <w:color w:val="auto"/>
                <w:sz w:val="21"/>
                <w:szCs w:val="21"/>
                <w:highlight w:val="none"/>
              </w:rPr>
            </w:pPr>
          </w:p>
        </w:tc>
        <w:tc>
          <w:tcPr>
            <w:tcW w:w="3720" w:type="dxa"/>
            <w:vAlign w:val="center"/>
          </w:tcPr>
          <w:p w14:paraId="6E3D4C24">
            <w:pPr>
              <w:adjustRightInd w:val="0"/>
              <w:snapToGri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其他费用</w:t>
            </w:r>
          </w:p>
        </w:tc>
        <w:tc>
          <w:tcPr>
            <w:tcW w:w="1065" w:type="dxa"/>
            <w:vAlign w:val="center"/>
          </w:tcPr>
          <w:p w14:paraId="34269FA2">
            <w:pPr>
              <w:adjustRightInd w:val="0"/>
              <w:snapToGrid w:val="0"/>
              <w:spacing w:line="240" w:lineRule="auto"/>
              <w:jc w:val="center"/>
              <w:rPr>
                <w:rFonts w:hint="eastAsia" w:ascii="宋体" w:hAnsi="宋体" w:eastAsia="宋体" w:cs="宋体"/>
                <w:color w:val="auto"/>
                <w:sz w:val="21"/>
                <w:szCs w:val="21"/>
                <w:highlight w:val="none"/>
              </w:rPr>
            </w:pPr>
          </w:p>
        </w:tc>
        <w:tc>
          <w:tcPr>
            <w:tcW w:w="1065" w:type="dxa"/>
            <w:vAlign w:val="center"/>
          </w:tcPr>
          <w:p w14:paraId="646717F9">
            <w:pPr>
              <w:adjustRightInd w:val="0"/>
              <w:snapToGrid w:val="0"/>
              <w:spacing w:line="240" w:lineRule="auto"/>
              <w:jc w:val="center"/>
              <w:rPr>
                <w:rFonts w:hint="eastAsia" w:ascii="宋体" w:hAnsi="宋体" w:eastAsia="宋体" w:cs="宋体"/>
                <w:color w:val="auto"/>
                <w:sz w:val="21"/>
                <w:szCs w:val="21"/>
                <w:highlight w:val="none"/>
              </w:rPr>
            </w:pPr>
          </w:p>
        </w:tc>
        <w:tc>
          <w:tcPr>
            <w:tcW w:w="1066" w:type="dxa"/>
            <w:vAlign w:val="center"/>
          </w:tcPr>
          <w:p w14:paraId="61629B6A">
            <w:pPr>
              <w:adjustRightInd w:val="0"/>
              <w:snapToGrid w:val="0"/>
              <w:spacing w:line="240" w:lineRule="auto"/>
              <w:jc w:val="center"/>
              <w:rPr>
                <w:rFonts w:hint="eastAsia" w:ascii="宋体" w:hAnsi="宋体" w:eastAsia="宋体" w:cs="宋体"/>
                <w:color w:val="auto"/>
                <w:sz w:val="21"/>
                <w:szCs w:val="21"/>
                <w:highlight w:val="none"/>
              </w:rPr>
            </w:pPr>
          </w:p>
        </w:tc>
        <w:tc>
          <w:tcPr>
            <w:tcW w:w="947" w:type="dxa"/>
            <w:vAlign w:val="center"/>
          </w:tcPr>
          <w:p w14:paraId="7F337C52">
            <w:pPr>
              <w:adjustRightInd w:val="0"/>
              <w:snapToGrid w:val="0"/>
              <w:spacing w:line="240" w:lineRule="auto"/>
              <w:jc w:val="center"/>
              <w:rPr>
                <w:rFonts w:hint="eastAsia" w:ascii="宋体" w:hAnsi="宋体" w:eastAsia="宋体" w:cs="宋体"/>
                <w:color w:val="auto"/>
                <w:sz w:val="21"/>
                <w:szCs w:val="21"/>
                <w:highlight w:val="none"/>
              </w:rPr>
            </w:pPr>
          </w:p>
        </w:tc>
      </w:tr>
      <w:tr w14:paraId="209E82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65" w:type="dxa"/>
            <w:vAlign w:val="center"/>
          </w:tcPr>
          <w:p w14:paraId="2C355F28">
            <w:pPr>
              <w:adjustRightInd w:val="0"/>
              <w:snapToGri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3720" w:type="dxa"/>
            <w:vAlign w:val="center"/>
          </w:tcPr>
          <w:p w14:paraId="5D4BF5AE">
            <w:pPr>
              <w:adjustRightInd w:val="0"/>
              <w:snapToGri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065" w:type="dxa"/>
            <w:vAlign w:val="center"/>
          </w:tcPr>
          <w:p w14:paraId="3E6B6F32">
            <w:pPr>
              <w:adjustRightInd w:val="0"/>
              <w:snapToGrid w:val="0"/>
              <w:spacing w:line="240" w:lineRule="auto"/>
              <w:jc w:val="center"/>
              <w:rPr>
                <w:rFonts w:hint="eastAsia" w:ascii="宋体" w:hAnsi="宋体" w:eastAsia="宋体" w:cs="宋体"/>
                <w:color w:val="auto"/>
                <w:sz w:val="21"/>
                <w:szCs w:val="21"/>
                <w:highlight w:val="none"/>
              </w:rPr>
            </w:pPr>
          </w:p>
        </w:tc>
        <w:tc>
          <w:tcPr>
            <w:tcW w:w="1065" w:type="dxa"/>
            <w:vAlign w:val="center"/>
          </w:tcPr>
          <w:p w14:paraId="02B6CE3C">
            <w:pPr>
              <w:adjustRightInd w:val="0"/>
              <w:snapToGrid w:val="0"/>
              <w:spacing w:line="240" w:lineRule="auto"/>
              <w:jc w:val="center"/>
              <w:rPr>
                <w:rFonts w:hint="eastAsia" w:ascii="宋体" w:hAnsi="宋体" w:eastAsia="宋体" w:cs="宋体"/>
                <w:color w:val="auto"/>
                <w:sz w:val="21"/>
                <w:szCs w:val="21"/>
                <w:highlight w:val="none"/>
              </w:rPr>
            </w:pPr>
          </w:p>
        </w:tc>
        <w:tc>
          <w:tcPr>
            <w:tcW w:w="1066" w:type="dxa"/>
            <w:vAlign w:val="center"/>
          </w:tcPr>
          <w:p w14:paraId="15025601">
            <w:pPr>
              <w:adjustRightInd w:val="0"/>
              <w:snapToGrid w:val="0"/>
              <w:spacing w:line="240" w:lineRule="auto"/>
              <w:jc w:val="center"/>
              <w:rPr>
                <w:rFonts w:hint="eastAsia" w:ascii="宋体" w:hAnsi="宋体" w:eastAsia="宋体" w:cs="宋体"/>
                <w:color w:val="auto"/>
                <w:sz w:val="21"/>
                <w:szCs w:val="21"/>
                <w:highlight w:val="none"/>
              </w:rPr>
            </w:pPr>
          </w:p>
        </w:tc>
        <w:tc>
          <w:tcPr>
            <w:tcW w:w="947" w:type="dxa"/>
            <w:vAlign w:val="center"/>
          </w:tcPr>
          <w:p w14:paraId="39116035">
            <w:pPr>
              <w:adjustRightInd w:val="0"/>
              <w:snapToGrid w:val="0"/>
              <w:spacing w:line="240" w:lineRule="auto"/>
              <w:jc w:val="center"/>
              <w:rPr>
                <w:rFonts w:hint="eastAsia" w:ascii="宋体" w:hAnsi="宋体" w:eastAsia="宋体" w:cs="宋体"/>
                <w:color w:val="auto"/>
                <w:sz w:val="21"/>
                <w:szCs w:val="21"/>
                <w:highlight w:val="none"/>
              </w:rPr>
            </w:pPr>
          </w:p>
        </w:tc>
      </w:tr>
      <w:tr w14:paraId="16F603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915" w:type="dxa"/>
            <w:gridSpan w:val="4"/>
            <w:vAlign w:val="center"/>
          </w:tcPr>
          <w:p w14:paraId="0EDD5DA9">
            <w:pPr>
              <w:adjustRightInd w:val="0"/>
              <w:snapToGri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投标报价合计（元）</w:t>
            </w:r>
          </w:p>
        </w:tc>
        <w:tc>
          <w:tcPr>
            <w:tcW w:w="2013" w:type="dxa"/>
            <w:gridSpan w:val="2"/>
            <w:vAlign w:val="center"/>
          </w:tcPr>
          <w:p w14:paraId="0609C717">
            <w:pPr>
              <w:adjustRightInd w:val="0"/>
              <w:snapToGrid w:val="0"/>
              <w:spacing w:line="240" w:lineRule="auto"/>
              <w:jc w:val="center"/>
              <w:rPr>
                <w:rFonts w:hint="eastAsia" w:ascii="宋体" w:hAnsi="宋体" w:eastAsia="宋体" w:cs="宋体"/>
                <w:color w:val="auto"/>
                <w:sz w:val="21"/>
                <w:szCs w:val="21"/>
                <w:highlight w:val="none"/>
              </w:rPr>
            </w:pPr>
          </w:p>
        </w:tc>
      </w:tr>
    </w:tbl>
    <w:p w14:paraId="62480CF8">
      <w:pPr>
        <w:spacing w:line="300" w:lineRule="auto"/>
        <w:rPr>
          <w:rFonts w:ascii="Arial" w:hAnsi="Arial" w:cs="Arial"/>
          <w:color w:val="auto"/>
          <w:szCs w:val="21"/>
          <w:highlight w:val="none"/>
        </w:rPr>
      </w:pPr>
    </w:p>
    <w:p w14:paraId="51101AF7">
      <w:pPr>
        <w:spacing w:line="300" w:lineRule="auto"/>
        <w:rPr>
          <w:rFonts w:ascii="Arial" w:hAnsi="Arial" w:cs="Arial"/>
          <w:color w:val="auto"/>
          <w:szCs w:val="21"/>
          <w:highlight w:val="none"/>
        </w:rPr>
      </w:pPr>
      <w:r>
        <w:rPr>
          <w:rFonts w:ascii="Arial" w:hAnsi="Arial" w:cs="Arial"/>
          <w:color w:val="auto"/>
          <w:szCs w:val="21"/>
          <w:highlight w:val="none"/>
        </w:rPr>
        <w:t>投标人名称</w:t>
      </w:r>
      <w:r>
        <w:rPr>
          <w:rFonts w:hint="eastAsia" w:ascii="宋体" w:hAnsi="宋体" w:cs="宋体"/>
          <w:color w:val="auto"/>
          <w:kern w:val="0"/>
          <w:sz w:val="24"/>
          <w:highlight w:val="none"/>
          <w:lang w:val="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ascii="宋体" w:hAnsi="宋体" w:cs="宋体"/>
          <w:color w:val="auto"/>
          <w:kern w:val="0"/>
          <w:sz w:val="24"/>
          <w:highlight w:val="none"/>
          <w:lang w:val="zh-CN"/>
        </w:rPr>
        <w:t>)</w:t>
      </w:r>
      <w:r>
        <w:rPr>
          <w:rFonts w:ascii="Arial" w:hAnsi="Arial" w:cs="Arial"/>
          <w:color w:val="auto"/>
          <w:szCs w:val="21"/>
          <w:highlight w:val="none"/>
        </w:rPr>
        <w:t>：</w:t>
      </w:r>
    </w:p>
    <w:p w14:paraId="2F327AC4">
      <w:pPr>
        <w:spacing w:line="300" w:lineRule="auto"/>
        <w:rPr>
          <w:rFonts w:ascii="Arial" w:hAnsi="Arial" w:cs="Arial"/>
          <w:color w:val="auto"/>
          <w:szCs w:val="21"/>
          <w:highlight w:val="none"/>
        </w:rPr>
      </w:pPr>
      <w:r>
        <w:rPr>
          <w:rFonts w:ascii="Arial" w:hAnsi="Arial" w:cs="Arial"/>
          <w:color w:val="auto"/>
          <w:szCs w:val="21"/>
          <w:highlight w:val="none"/>
        </w:rPr>
        <w:t>日期：</w:t>
      </w:r>
    </w:p>
    <w:p w14:paraId="28F15BC4">
      <w:pPr>
        <w:spacing w:line="300" w:lineRule="auto"/>
        <w:rPr>
          <w:rFonts w:ascii="Arial" w:hAnsi="Arial" w:cs="Arial"/>
          <w:color w:val="auto"/>
          <w:szCs w:val="21"/>
          <w:highlight w:val="none"/>
        </w:rPr>
      </w:pPr>
    </w:p>
    <w:p w14:paraId="19373AA9">
      <w:pPr>
        <w:spacing w:line="360" w:lineRule="auto"/>
        <w:rPr>
          <w:rFonts w:hint="eastAsia" w:ascii="宋体" w:hAnsi="宋体" w:eastAsia="宋体" w:cs="宋体"/>
          <w:b/>
          <w:color w:val="auto"/>
          <w:sz w:val="21"/>
          <w:szCs w:val="21"/>
          <w:highlight w:val="none"/>
          <w:lang w:eastAsia="zh-CN"/>
        </w:rPr>
      </w:pPr>
      <w:r>
        <w:rPr>
          <w:rFonts w:hint="eastAsia" w:ascii="宋体" w:hAnsi="宋体" w:eastAsia="宋体" w:cs="宋体"/>
          <w:b/>
          <w:color w:val="auto"/>
          <w:sz w:val="21"/>
          <w:szCs w:val="21"/>
          <w:highlight w:val="none"/>
          <w:lang w:eastAsia="zh-CN"/>
        </w:rPr>
        <w:t>注：</w:t>
      </w:r>
    </w:p>
    <w:p w14:paraId="4681585F">
      <w:pPr>
        <w:spacing w:line="360" w:lineRule="auto"/>
        <w:ind w:firstLine="435"/>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r>
        <w:rPr>
          <w:rFonts w:hint="default" w:ascii="宋体" w:hAnsi="宋体" w:eastAsia="宋体" w:cs="宋体"/>
          <w:color w:val="auto"/>
          <w:sz w:val="21"/>
          <w:szCs w:val="21"/>
          <w:highlight w:val="none"/>
          <w:lang w:val="en-US" w:eastAsia="zh-CN"/>
        </w:rPr>
        <w:t>按照本表填写的各项目的投标报价合计填写到</w:t>
      </w:r>
      <w:r>
        <w:rPr>
          <w:rFonts w:hint="eastAsia" w:ascii="宋体" w:hAnsi="宋体" w:eastAsia="宋体" w:cs="宋体"/>
          <w:color w:val="auto"/>
          <w:sz w:val="21"/>
          <w:szCs w:val="21"/>
          <w:highlight w:val="none"/>
          <w:lang w:val="en-US" w:eastAsia="zh-CN"/>
        </w:rPr>
        <w:t>“开标一览表”</w:t>
      </w:r>
      <w:r>
        <w:rPr>
          <w:rFonts w:hint="default" w:ascii="宋体" w:hAnsi="宋体" w:eastAsia="宋体" w:cs="宋体"/>
          <w:color w:val="auto"/>
          <w:sz w:val="21"/>
          <w:szCs w:val="21"/>
          <w:highlight w:val="none"/>
          <w:lang w:val="en-US" w:eastAsia="zh-CN"/>
        </w:rPr>
        <w:t>中对应的</w:t>
      </w:r>
      <w:r>
        <w:rPr>
          <w:rFonts w:hint="eastAsia" w:cs="宋体"/>
          <w:color w:val="auto"/>
          <w:sz w:val="21"/>
          <w:szCs w:val="21"/>
          <w:highlight w:val="none"/>
          <w:lang w:val="en-US" w:eastAsia="zh-CN"/>
        </w:rPr>
        <w:t>“</w:t>
      </w:r>
      <w:r>
        <w:rPr>
          <w:rFonts w:hint="default" w:ascii="宋体" w:hAnsi="宋体" w:eastAsia="宋体" w:cs="宋体"/>
          <w:color w:val="auto"/>
          <w:sz w:val="21"/>
          <w:szCs w:val="21"/>
          <w:highlight w:val="none"/>
          <w:lang w:val="en-US" w:eastAsia="zh-CN"/>
        </w:rPr>
        <w:t>投标报价</w:t>
      </w:r>
      <w:r>
        <w:rPr>
          <w:rFonts w:hint="eastAsia" w:cs="宋体"/>
          <w:color w:val="auto"/>
          <w:sz w:val="21"/>
          <w:szCs w:val="21"/>
          <w:highlight w:val="none"/>
          <w:lang w:val="en-US" w:eastAsia="zh-CN"/>
        </w:rPr>
        <w:t>”</w:t>
      </w:r>
      <w:r>
        <w:rPr>
          <w:rFonts w:hint="default" w:ascii="宋体" w:hAnsi="宋体" w:eastAsia="宋体" w:cs="宋体"/>
          <w:color w:val="auto"/>
          <w:sz w:val="21"/>
          <w:szCs w:val="21"/>
          <w:highlight w:val="none"/>
          <w:lang w:val="en-US" w:eastAsia="zh-CN"/>
        </w:rPr>
        <w:t>栏中。</w:t>
      </w:r>
    </w:p>
    <w:p w14:paraId="25B9431E">
      <w:pPr>
        <w:spacing w:line="360" w:lineRule="auto"/>
        <w:ind w:firstLine="435"/>
        <w:rPr>
          <w:rFonts w:hint="eastAsia" w:ascii="宋体" w:hAnsi="宋体" w:eastAsia="宋体" w:cs="宋体"/>
          <w:color w:val="auto"/>
          <w:sz w:val="24"/>
          <w:szCs w:val="24"/>
          <w:highlight w:val="none"/>
        </w:rPr>
        <w:sectPr>
          <w:footerReference r:id="rId10" w:type="default"/>
          <w:pgSz w:w="11906" w:h="16838"/>
          <w:pgMar w:top="1440" w:right="1800" w:bottom="1440" w:left="1800" w:header="851" w:footer="992" w:gutter="0"/>
          <w:pgBorders>
            <w:top w:val="none" w:sz="0" w:space="0"/>
            <w:left w:val="none" w:sz="0" w:space="0"/>
            <w:bottom w:val="none" w:sz="0" w:space="0"/>
            <w:right w:val="none" w:sz="0" w:space="0"/>
          </w:pgBorders>
          <w:pgNumType w:fmt="numberInDash"/>
          <w:cols w:space="425" w:num="1"/>
          <w:docGrid w:type="lines" w:linePitch="312" w:charSpace="0"/>
        </w:sectPr>
      </w:pPr>
      <w:r>
        <w:rPr>
          <w:rFonts w:hint="eastAsia" w:cs="宋体"/>
          <w:color w:val="auto"/>
          <w:sz w:val="21"/>
          <w:szCs w:val="21"/>
          <w:highlight w:val="none"/>
          <w:lang w:val="en-US" w:eastAsia="zh-CN"/>
        </w:rPr>
        <w:t>2</w:t>
      </w:r>
      <w:r>
        <w:rPr>
          <w:rFonts w:hint="eastAsia" w:ascii="宋体" w:hAnsi="宋体" w:eastAsia="宋体" w:cs="宋体"/>
          <w:color w:val="auto"/>
          <w:sz w:val="21"/>
          <w:szCs w:val="21"/>
          <w:highlight w:val="none"/>
        </w:rPr>
        <w:t>.所列服务为对应本项目需求的全部服务内容。如有漏项或缺项，投标人承担全部责任。</w:t>
      </w:r>
      <w:r>
        <w:rPr>
          <w:rFonts w:hint="eastAsia" w:ascii="宋体" w:hAnsi="宋体" w:eastAsia="宋体" w:cs="宋体"/>
          <w:color w:val="auto"/>
          <w:sz w:val="24"/>
          <w:szCs w:val="24"/>
          <w:highlight w:val="none"/>
        </w:rPr>
        <w:br w:type="page"/>
      </w:r>
    </w:p>
    <w:p w14:paraId="2C323B69">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cstheme="majorBidi"/>
          <w:b/>
          <w:bCs/>
          <w:color w:val="auto"/>
          <w:kern w:val="2"/>
          <w:sz w:val="32"/>
          <w:szCs w:val="32"/>
          <w:highlight w:val="none"/>
          <w:lang w:val="en-US" w:eastAsia="zh-CN" w:bidi="ar-SA"/>
        </w:rPr>
      </w:pPr>
      <w:bookmarkStart w:id="648" w:name="_Toc28343"/>
      <w:bookmarkStart w:id="649" w:name="_Toc4379"/>
      <w:r>
        <w:rPr>
          <w:rFonts w:hint="eastAsia" w:cstheme="majorBidi"/>
          <w:b/>
          <w:bCs/>
          <w:color w:val="auto"/>
          <w:kern w:val="2"/>
          <w:sz w:val="32"/>
          <w:szCs w:val="32"/>
          <w:highlight w:val="none"/>
          <w:lang w:val="en-US" w:eastAsia="zh-CN" w:bidi="ar-SA"/>
        </w:rPr>
        <w:t>三、关于符合本国产品标准的声明函或财政部规定的其他</w:t>
      </w:r>
      <w:bookmarkEnd w:id="648"/>
    </w:p>
    <w:p w14:paraId="478C52C4">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cstheme="majorBidi"/>
          <w:b/>
          <w:bCs/>
          <w:color w:val="auto"/>
          <w:kern w:val="2"/>
          <w:sz w:val="32"/>
          <w:szCs w:val="32"/>
          <w:highlight w:val="none"/>
          <w:lang w:val="en-US" w:eastAsia="zh-CN" w:bidi="ar-SA"/>
        </w:rPr>
      </w:pPr>
      <w:bookmarkStart w:id="650" w:name="_Toc15816"/>
      <w:r>
        <w:rPr>
          <w:rFonts w:hint="eastAsia" w:cstheme="majorBidi"/>
          <w:b/>
          <w:bCs/>
          <w:color w:val="auto"/>
          <w:kern w:val="2"/>
          <w:sz w:val="32"/>
          <w:szCs w:val="32"/>
          <w:highlight w:val="none"/>
          <w:lang w:val="en-US" w:eastAsia="zh-CN" w:bidi="ar-SA"/>
        </w:rPr>
        <w:t>证明文件</w:t>
      </w:r>
      <w:bookmarkEnd w:id="649"/>
      <w:bookmarkEnd w:id="650"/>
    </w:p>
    <w:p w14:paraId="27D77DB3">
      <w:pPr>
        <w:rPr>
          <w:rFonts w:hint="default" w:cs="宋体"/>
          <w:color w:val="auto"/>
          <w:spacing w:val="6"/>
          <w:sz w:val="21"/>
          <w:szCs w:val="21"/>
          <w:highlight w:val="none"/>
          <w:lang w:val="en-US" w:eastAsia="zh-CN"/>
        </w:rPr>
      </w:pPr>
      <w:r>
        <w:rPr>
          <w:rFonts w:hint="eastAsia" w:cs="宋体"/>
          <w:color w:val="auto"/>
          <w:spacing w:val="6"/>
          <w:sz w:val="21"/>
          <w:szCs w:val="21"/>
          <w:highlight w:val="none"/>
          <w:lang w:val="en-US" w:eastAsia="zh-CN"/>
        </w:rPr>
        <w:t>附件1</w:t>
      </w:r>
    </w:p>
    <w:p w14:paraId="5676474C">
      <w:pPr>
        <w:keepNext w:val="0"/>
        <w:keepLines w:val="0"/>
        <w:widowControl/>
        <w:suppressLineNumbers w:val="0"/>
        <w:ind w:firstLine="482" w:firstLineChars="200"/>
        <w:jc w:val="center"/>
        <w:rPr>
          <w:rFonts w:hint="eastAsia" w:ascii="宋体" w:hAnsi="宋体" w:eastAsia="宋体" w:cs="宋体"/>
          <w:color w:val="auto"/>
          <w:kern w:val="0"/>
          <w:sz w:val="24"/>
          <w:szCs w:val="24"/>
          <w:highlight w:val="none"/>
          <w:lang w:val="en-US" w:eastAsia="zh-CN" w:bidi="ar"/>
        </w:rPr>
      </w:pPr>
      <w:r>
        <w:rPr>
          <w:rFonts w:hint="eastAsia" w:cs="宋体"/>
          <w:b/>
          <w:bCs/>
          <w:color w:val="auto"/>
          <w:kern w:val="0"/>
          <w:sz w:val="24"/>
          <w:szCs w:val="24"/>
          <w:highlight w:val="none"/>
          <w:lang w:val="en-US" w:eastAsia="zh-CN" w:bidi="ar"/>
        </w:rPr>
        <w:t>（一）</w:t>
      </w:r>
      <w:r>
        <w:rPr>
          <w:rFonts w:hint="eastAsia" w:ascii="宋体" w:hAnsi="宋体" w:eastAsia="宋体" w:cs="宋体"/>
          <w:b/>
          <w:bCs/>
          <w:color w:val="auto"/>
          <w:kern w:val="0"/>
          <w:sz w:val="24"/>
          <w:szCs w:val="24"/>
          <w:highlight w:val="none"/>
          <w:lang w:val="en-US" w:eastAsia="zh-CN" w:bidi="ar"/>
        </w:rPr>
        <w:t>关于符合本国产品标准的声明函</w:t>
      </w:r>
    </w:p>
    <w:p w14:paraId="4E43082D">
      <w:pPr>
        <w:keepNext w:val="0"/>
        <w:keepLines w:val="0"/>
        <w:widowControl/>
        <w:suppressLineNumbers w:val="0"/>
        <w:ind w:firstLine="420" w:firstLineChars="200"/>
        <w:jc w:val="both"/>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本公司（单位）郑重声明，根据《国务院办公厅关于在政府采购中实施本国产品标准及相关政策的通知》（国办发〔2025〕34号）的规定，本公司（单位）提供的以下产品属于本国产品。具体情况如下：</w:t>
      </w:r>
    </w:p>
    <w:p w14:paraId="57EC3BEC">
      <w:pPr>
        <w:keepNext w:val="0"/>
        <w:keepLines w:val="0"/>
        <w:widowControl/>
        <w:suppressLineNumbers w:val="0"/>
        <w:ind w:firstLine="420" w:firstLineChars="200"/>
        <w:jc w:val="both"/>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1.</w:t>
      </w:r>
      <w:r>
        <w:rPr>
          <w:rFonts w:hint="eastAsia" w:ascii="宋体" w:hAnsi="宋体" w:eastAsia="宋体" w:cs="宋体"/>
          <w:color w:val="auto"/>
          <w:kern w:val="0"/>
          <w:sz w:val="21"/>
          <w:szCs w:val="21"/>
          <w:highlight w:val="none"/>
          <w:u w:val="single"/>
          <w:lang w:val="en-US" w:eastAsia="zh-CN" w:bidi="ar"/>
        </w:rPr>
        <w:t>（产品名称1）</w:t>
      </w:r>
      <w:r>
        <w:rPr>
          <w:rFonts w:hint="eastAsia" w:ascii="宋体" w:hAnsi="宋体" w:eastAsia="宋体" w:cs="宋体"/>
          <w:color w:val="auto"/>
          <w:kern w:val="0"/>
          <w:sz w:val="21"/>
          <w:szCs w:val="21"/>
          <w:highlight w:val="none"/>
          <w:lang w:val="en-US" w:eastAsia="zh-CN" w:bidi="ar"/>
        </w:rPr>
        <w:t>1，生产厂为</w:t>
      </w:r>
      <w:r>
        <w:rPr>
          <w:rFonts w:hint="eastAsia" w:ascii="宋体" w:hAnsi="宋体" w:eastAsia="宋体" w:cs="宋体"/>
          <w:color w:val="auto"/>
          <w:kern w:val="0"/>
          <w:sz w:val="21"/>
          <w:szCs w:val="21"/>
          <w:highlight w:val="none"/>
          <w:u w:val="single"/>
          <w:lang w:val="en-US" w:eastAsia="zh-CN" w:bidi="ar"/>
        </w:rPr>
        <w:t>（厂名）</w:t>
      </w:r>
      <w:r>
        <w:rPr>
          <w:rFonts w:hint="eastAsia" w:ascii="宋体" w:hAnsi="宋体" w:eastAsia="宋体" w:cs="宋体"/>
          <w:color w:val="auto"/>
          <w:kern w:val="0"/>
          <w:sz w:val="21"/>
          <w:szCs w:val="21"/>
          <w:highlight w:val="none"/>
          <w:lang w:val="en-US" w:eastAsia="zh-CN" w:bidi="ar"/>
        </w:rPr>
        <w:t>2，厂址为</w:t>
      </w:r>
      <w:r>
        <w:rPr>
          <w:rFonts w:hint="eastAsia" w:ascii="宋体" w:hAnsi="宋体" w:eastAsia="宋体" w:cs="宋体"/>
          <w:color w:val="auto"/>
          <w:kern w:val="0"/>
          <w:sz w:val="21"/>
          <w:szCs w:val="21"/>
          <w:highlight w:val="none"/>
          <w:u w:val="single"/>
          <w:lang w:val="en-US" w:eastAsia="zh-CN" w:bidi="ar"/>
        </w:rPr>
        <w:t>（生产厂址）</w:t>
      </w:r>
      <w:r>
        <w:rPr>
          <w:rFonts w:hint="eastAsia" w:ascii="宋体" w:hAnsi="宋体" w:eastAsia="宋体" w:cs="宋体"/>
          <w:color w:val="auto"/>
          <w:kern w:val="0"/>
          <w:sz w:val="21"/>
          <w:szCs w:val="21"/>
          <w:highlight w:val="none"/>
          <w:lang w:val="en-US" w:eastAsia="zh-CN" w:bidi="ar"/>
        </w:rPr>
        <w:t>。</w:t>
      </w:r>
      <w:r>
        <w:rPr>
          <w:rFonts w:hint="eastAsia" w:ascii="宋体" w:hAnsi="宋体" w:eastAsia="宋体" w:cs="宋体"/>
          <w:color w:val="auto"/>
          <w:kern w:val="0"/>
          <w:sz w:val="21"/>
          <w:szCs w:val="21"/>
          <w:highlight w:val="none"/>
          <w:u w:val="single"/>
          <w:lang w:val="en-US" w:eastAsia="zh-CN" w:bidi="ar"/>
        </w:rPr>
        <w:t>（产品名称1）</w:t>
      </w:r>
      <w:r>
        <w:rPr>
          <w:rFonts w:hint="eastAsia" w:ascii="宋体" w:hAnsi="宋体" w:eastAsia="宋体" w:cs="宋体"/>
          <w:color w:val="auto"/>
          <w:kern w:val="0"/>
          <w:sz w:val="21"/>
          <w:szCs w:val="21"/>
          <w:highlight w:val="none"/>
          <w:lang w:val="en-US" w:eastAsia="zh-CN" w:bidi="ar"/>
        </w:rPr>
        <w:t>的中国境内生产的组件成本占比≥</w:t>
      </w:r>
      <w:r>
        <w:rPr>
          <w:rFonts w:hint="eastAsia" w:ascii="宋体" w:hAnsi="宋体" w:eastAsia="宋体" w:cs="宋体"/>
          <w:color w:val="auto"/>
          <w:kern w:val="0"/>
          <w:sz w:val="21"/>
          <w:szCs w:val="21"/>
          <w:highlight w:val="none"/>
          <w:u w:val="single"/>
          <w:lang w:val="en-US" w:eastAsia="zh-CN" w:bidi="ar"/>
        </w:rPr>
        <w:t>（规定比例）</w:t>
      </w:r>
      <w:r>
        <w:rPr>
          <w:rFonts w:hint="eastAsia" w:ascii="宋体" w:hAnsi="宋体" w:eastAsia="宋体" w:cs="宋体"/>
          <w:color w:val="auto"/>
          <w:kern w:val="0"/>
          <w:sz w:val="21"/>
          <w:szCs w:val="21"/>
          <w:highlight w:val="none"/>
          <w:lang w:val="en-US" w:eastAsia="zh-CN" w:bidi="ar"/>
        </w:rPr>
        <w:t>3。</w:t>
      </w:r>
      <w:r>
        <w:rPr>
          <w:rFonts w:hint="eastAsia" w:ascii="宋体" w:hAnsi="宋体" w:eastAsia="宋体" w:cs="宋体"/>
          <w:color w:val="auto"/>
          <w:kern w:val="0"/>
          <w:sz w:val="21"/>
          <w:szCs w:val="21"/>
          <w:highlight w:val="none"/>
          <w:u w:val="single"/>
          <w:lang w:val="en-US" w:eastAsia="zh-CN" w:bidi="ar"/>
        </w:rPr>
        <w:t>（产品名称1）</w:t>
      </w:r>
      <w:r>
        <w:rPr>
          <w:rFonts w:hint="eastAsia" w:ascii="宋体" w:hAnsi="宋体" w:eastAsia="宋体" w:cs="宋体"/>
          <w:color w:val="auto"/>
          <w:kern w:val="0"/>
          <w:sz w:val="21"/>
          <w:szCs w:val="21"/>
          <w:highlight w:val="none"/>
          <w:lang w:val="en-US" w:eastAsia="zh-CN" w:bidi="ar"/>
        </w:rPr>
        <w:t>的</w:t>
      </w:r>
      <w:r>
        <w:rPr>
          <w:rFonts w:hint="eastAsia" w:ascii="宋体" w:hAnsi="宋体" w:eastAsia="宋体" w:cs="宋体"/>
          <w:color w:val="auto"/>
          <w:kern w:val="0"/>
          <w:sz w:val="21"/>
          <w:szCs w:val="21"/>
          <w:highlight w:val="none"/>
          <w:u w:val="single"/>
          <w:lang w:val="en-US" w:eastAsia="zh-CN" w:bidi="ar"/>
        </w:rPr>
        <w:t>（关键组件）</w:t>
      </w:r>
      <w:r>
        <w:rPr>
          <w:rFonts w:hint="eastAsia" w:ascii="宋体" w:hAnsi="宋体" w:eastAsia="宋体" w:cs="宋体"/>
          <w:color w:val="auto"/>
          <w:kern w:val="0"/>
          <w:sz w:val="21"/>
          <w:szCs w:val="21"/>
          <w:highlight w:val="none"/>
          <w:lang w:val="en-US" w:eastAsia="zh-CN" w:bidi="ar"/>
        </w:rPr>
        <w:t>4在中国境内生产。</w:t>
      </w:r>
      <w:r>
        <w:rPr>
          <w:rFonts w:hint="eastAsia" w:ascii="宋体" w:hAnsi="宋体" w:eastAsia="宋体" w:cs="宋体"/>
          <w:color w:val="auto"/>
          <w:kern w:val="0"/>
          <w:sz w:val="21"/>
          <w:szCs w:val="21"/>
          <w:highlight w:val="none"/>
          <w:u w:val="single"/>
          <w:lang w:val="en-US" w:eastAsia="zh-CN" w:bidi="ar"/>
        </w:rPr>
        <w:t>（产品名称1）</w:t>
      </w:r>
      <w:r>
        <w:rPr>
          <w:rFonts w:hint="eastAsia" w:ascii="宋体" w:hAnsi="宋体" w:eastAsia="宋体" w:cs="宋体"/>
          <w:color w:val="auto"/>
          <w:kern w:val="0"/>
          <w:sz w:val="21"/>
          <w:szCs w:val="21"/>
          <w:highlight w:val="none"/>
          <w:lang w:val="en-US" w:eastAsia="zh-CN" w:bidi="ar"/>
        </w:rPr>
        <w:t>的</w:t>
      </w:r>
      <w:r>
        <w:rPr>
          <w:rFonts w:hint="eastAsia" w:ascii="宋体" w:hAnsi="宋体" w:eastAsia="宋体" w:cs="宋体"/>
          <w:color w:val="auto"/>
          <w:kern w:val="0"/>
          <w:sz w:val="21"/>
          <w:szCs w:val="21"/>
          <w:highlight w:val="none"/>
          <w:u w:val="single"/>
          <w:lang w:val="en-US" w:eastAsia="zh-CN" w:bidi="ar"/>
        </w:rPr>
        <w:t>（关键工序）</w:t>
      </w:r>
      <w:r>
        <w:rPr>
          <w:rFonts w:hint="eastAsia" w:ascii="宋体" w:hAnsi="宋体" w:eastAsia="宋体" w:cs="宋体"/>
          <w:color w:val="auto"/>
          <w:kern w:val="0"/>
          <w:sz w:val="21"/>
          <w:szCs w:val="21"/>
          <w:highlight w:val="none"/>
          <w:lang w:val="en-US" w:eastAsia="zh-CN" w:bidi="ar"/>
        </w:rPr>
        <w:t>5在中国境内完成。</w:t>
      </w:r>
    </w:p>
    <w:p w14:paraId="31678879">
      <w:pPr>
        <w:keepNext w:val="0"/>
        <w:keepLines w:val="0"/>
        <w:widowControl/>
        <w:suppressLineNumbers w:val="0"/>
        <w:ind w:firstLine="420" w:firstLineChars="200"/>
        <w:jc w:val="both"/>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2.</w:t>
      </w:r>
      <w:r>
        <w:rPr>
          <w:rFonts w:hint="eastAsia" w:ascii="宋体" w:hAnsi="宋体" w:eastAsia="宋体" w:cs="宋体"/>
          <w:color w:val="auto"/>
          <w:kern w:val="0"/>
          <w:sz w:val="21"/>
          <w:szCs w:val="21"/>
          <w:highlight w:val="none"/>
          <w:u w:val="single"/>
          <w:lang w:val="en-US" w:eastAsia="zh-CN" w:bidi="ar"/>
        </w:rPr>
        <w:t>（产品名称2）</w:t>
      </w:r>
      <w:r>
        <w:rPr>
          <w:rFonts w:hint="eastAsia" w:ascii="宋体" w:hAnsi="宋体" w:eastAsia="宋体" w:cs="宋体"/>
          <w:color w:val="auto"/>
          <w:kern w:val="0"/>
          <w:sz w:val="21"/>
          <w:szCs w:val="21"/>
          <w:highlight w:val="none"/>
          <w:lang w:val="en-US" w:eastAsia="zh-CN" w:bidi="ar"/>
        </w:rPr>
        <w:t>，生产厂为</w:t>
      </w:r>
      <w:r>
        <w:rPr>
          <w:rFonts w:hint="eastAsia" w:ascii="宋体" w:hAnsi="宋体" w:eastAsia="宋体" w:cs="宋体"/>
          <w:color w:val="auto"/>
          <w:kern w:val="0"/>
          <w:sz w:val="21"/>
          <w:szCs w:val="21"/>
          <w:highlight w:val="none"/>
          <w:u w:val="single"/>
          <w:lang w:val="en-US" w:eastAsia="zh-CN" w:bidi="ar"/>
        </w:rPr>
        <w:t>（厂名）</w:t>
      </w:r>
      <w:r>
        <w:rPr>
          <w:rFonts w:hint="eastAsia" w:ascii="宋体" w:hAnsi="宋体" w:eastAsia="宋体" w:cs="宋体"/>
          <w:color w:val="auto"/>
          <w:kern w:val="0"/>
          <w:sz w:val="21"/>
          <w:szCs w:val="21"/>
          <w:highlight w:val="none"/>
          <w:lang w:val="en-US" w:eastAsia="zh-CN" w:bidi="ar"/>
        </w:rPr>
        <w:t>，厂址为</w:t>
      </w:r>
      <w:r>
        <w:rPr>
          <w:rFonts w:hint="eastAsia" w:ascii="宋体" w:hAnsi="宋体" w:eastAsia="宋体" w:cs="宋体"/>
          <w:color w:val="auto"/>
          <w:kern w:val="0"/>
          <w:sz w:val="21"/>
          <w:szCs w:val="21"/>
          <w:highlight w:val="none"/>
          <w:u w:val="single"/>
          <w:lang w:val="en-US" w:eastAsia="zh-CN" w:bidi="ar"/>
        </w:rPr>
        <w:t>（生产厂址）</w:t>
      </w:r>
      <w:r>
        <w:rPr>
          <w:rFonts w:hint="eastAsia" w:ascii="宋体" w:hAnsi="宋体" w:eastAsia="宋体" w:cs="宋体"/>
          <w:color w:val="auto"/>
          <w:kern w:val="0"/>
          <w:sz w:val="21"/>
          <w:szCs w:val="21"/>
          <w:highlight w:val="none"/>
          <w:lang w:val="en-US" w:eastAsia="zh-CN" w:bidi="ar"/>
        </w:rPr>
        <w:t>。</w:t>
      </w:r>
      <w:r>
        <w:rPr>
          <w:rFonts w:hint="eastAsia" w:ascii="宋体" w:hAnsi="宋体" w:eastAsia="宋体" w:cs="宋体"/>
          <w:color w:val="auto"/>
          <w:kern w:val="0"/>
          <w:sz w:val="21"/>
          <w:szCs w:val="21"/>
          <w:highlight w:val="none"/>
          <w:u w:val="single"/>
          <w:lang w:val="en-US" w:eastAsia="zh-CN" w:bidi="ar"/>
        </w:rPr>
        <w:t>（产品名称2）</w:t>
      </w:r>
      <w:r>
        <w:rPr>
          <w:rFonts w:hint="eastAsia" w:ascii="宋体" w:hAnsi="宋体" w:eastAsia="宋体" w:cs="宋体"/>
          <w:color w:val="auto"/>
          <w:kern w:val="0"/>
          <w:sz w:val="21"/>
          <w:szCs w:val="21"/>
          <w:highlight w:val="none"/>
          <w:lang w:val="en-US" w:eastAsia="zh-CN" w:bidi="ar"/>
        </w:rPr>
        <w:t>的中国境内生产的组件成本占比≥</w:t>
      </w:r>
      <w:r>
        <w:rPr>
          <w:rFonts w:hint="eastAsia" w:ascii="宋体" w:hAnsi="宋体" w:eastAsia="宋体" w:cs="宋体"/>
          <w:color w:val="auto"/>
          <w:kern w:val="0"/>
          <w:sz w:val="21"/>
          <w:szCs w:val="21"/>
          <w:highlight w:val="none"/>
          <w:u w:val="single"/>
          <w:lang w:val="en-US" w:eastAsia="zh-CN" w:bidi="ar"/>
        </w:rPr>
        <w:t>（规定比例）</w:t>
      </w:r>
      <w:r>
        <w:rPr>
          <w:rFonts w:hint="eastAsia" w:ascii="宋体" w:hAnsi="宋体" w:eastAsia="宋体" w:cs="宋体"/>
          <w:color w:val="auto"/>
          <w:kern w:val="0"/>
          <w:sz w:val="21"/>
          <w:szCs w:val="21"/>
          <w:highlight w:val="none"/>
          <w:lang w:val="en-US" w:eastAsia="zh-CN" w:bidi="ar"/>
        </w:rPr>
        <w:t>。</w:t>
      </w:r>
      <w:r>
        <w:rPr>
          <w:rFonts w:hint="eastAsia" w:ascii="宋体" w:hAnsi="宋体" w:eastAsia="宋体" w:cs="宋体"/>
          <w:color w:val="auto"/>
          <w:kern w:val="0"/>
          <w:sz w:val="21"/>
          <w:szCs w:val="21"/>
          <w:highlight w:val="none"/>
          <w:u w:val="single"/>
          <w:lang w:val="en-US" w:eastAsia="zh-CN" w:bidi="ar"/>
        </w:rPr>
        <w:t>（产品名称2）</w:t>
      </w:r>
      <w:r>
        <w:rPr>
          <w:rFonts w:hint="eastAsia" w:ascii="宋体" w:hAnsi="宋体" w:eastAsia="宋体" w:cs="宋体"/>
          <w:color w:val="auto"/>
          <w:kern w:val="0"/>
          <w:sz w:val="21"/>
          <w:szCs w:val="21"/>
          <w:highlight w:val="none"/>
          <w:lang w:val="en-US" w:eastAsia="zh-CN" w:bidi="ar"/>
        </w:rPr>
        <w:t>的</w:t>
      </w:r>
      <w:r>
        <w:rPr>
          <w:rFonts w:hint="eastAsia" w:ascii="宋体" w:hAnsi="宋体" w:eastAsia="宋体" w:cs="宋体"/>
          <w:color w:val="auto"/>
          <w:kern w:val="0"/>
          <w:sz w:val="21"/>
          <w:szCs w:val="21"/>
          <w:highlight w:val="none"/>
          <w:u w:val="single"/>
          <w:lang w:val="en-US" w:eastAsia="zh-CN" w:bidi="ar"/>
        </w:rPr>
        <w:t>（关键组件）</w:t>
      </w:r>
      <w:r>
        <w:rPr>
          <w:rFonts w:hint="eastAsia" w:ascii="宋体" w:hAnsi="宋体" w:eastAsia="宋体" w:cs="宋体"/>
          <w:color w:val="auto"/>
          <w:kern w:val="0"/>
          <w:sz w:val="21"/>
          <w:szCs w:val="21"/>
          <w:highlight w:val="none"/>
          <w:lang w:val="en-US" w:eastAsia="zh-CN" w:bidi="ar"/>
        </w:rPr>
        <w:t>在中国境内生产。</w:t>
      </w:r>
      <w:r>
        <w:rPr>
          <w:rFonts w:hint="eastAsia" w:ascii="宋体" w:hAnsi="宋体" w:eastAsia="宋体" w:cs="宋体"/>
          <w:color w:val="auto"/>
          <w:kern w:val="0"/>
          <w:sz w:val="21"/>
          <w:szCs w:val="21"/>
          <w:highlight w:val="none"/>
          <w:u w:val="single"/>
          <w:lang w:val="en-US" w:eastAsia="zh-CN" w:bidi="ar"/>
        </w:rPr>
        <w:t>（产品名称2）</w:t>
      </w:r>
      <w:r>
        <w:rPr>
          <w:rFonts w:hint="eastAsia" w:ascii="宋体" w:hAnsi="宋体" w:eastAsia="宋体" w:cs="宋体"/>
          <w:color w:val="auto"/>
          <w:kern w:val="0"/>
          <w:sz w:val="21"/>
          <w:szCs w:val="21"/>
          <w:highlight w:val="none"/>
          <w:lang w:val="en-US" w:eastAsia="zh-CN" w:bidi="ar"/>
        </w:rPr>
        <w:t>的（关键工序）在中国境内完成。</w:t>
      </w:r>
    </w:p>
    <w:p w14:paraId="39D5F96B">
      <w:pPr>
        <w:keepNext w:val="0"/>
        <w:keepLines w:val="0"/>
        <w:widowControl/>
        <w:suppressLineNumbers w:val="0"/>
        <w:ind w:firstLine="420" w:firstLineChars="200"/>
        <w:jc w:val="both"/>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w:t>
      </w:r>
    </w:p>
    <w:p w14:paraId="0D9C897B">
      <w:pPr>
        <w:keepNext w:val="0"/>
        <w:keepLines w:val="0"/>
        <w:widowControl/>
        <w:suppressLineNumbers w:val="0"/>
        <w:ind w:firstLine="420" w:firstLineChars="200"/>
        <w:jc w:val="both"/>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本公司（单位）对上述声明内容的真实性负责。如有虚假，愿承担相应法律责任。</w:t>
      </w:r>
    </w:p>
    <w:p w14:paraId="1ADA7C7D">
      <w:pPr>
        <w:keepNext w:val="0"/>
        <w:keepLines w:val="0"/>
        <w:widowControl/>
        <w:suppressLineNumbers w:val="0"/>
        <w:ind w:firstLine="420" w:firstLineChars="200"/>
        <w:jc w:val="both"/>
        <w:rPr>
          <w:rFonts w:hint="eastAsia" w:ascii="宋体" w:hAnsi="宋体" w:eastAsia="宋体" w:cs="宋体"/>
          <w:color w:val="auto"/>
          <w:kern w:val="0"/>
          <w:sz w:val="21"/>
          <w:szCs w:val="21"/>
          <w:highlight w:val="none"/>
          <w:lang w:val="en-US" w:eastAsia="zh-CN" w:bidi="ar"/>
        </w:rPr>
      </w:pPr>
    </w:p>
    <w:p w14:paraId="10BFACF5">
      <w:pPr>
        <w:keepNext w:val="0"/>
        <w:keepLines w:val="0"/>
        <w:widowControl/>
        <w:suppressLineNumbers w:val="0"/>
        <w:ind w:firstLine="420" w:firstLineChars="200"/>
        <w:jc w:val="both"/>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公司（单位）名称（盖章）：　        </w:t>
      </w:r>
    </w:p>
    <w:p w14:paraId="7EB9AE85">
      <w:pPr>
        <w:keepNext w:val="0"/>
        <w:keepLines w:val="0"/>
        <w:widowControl/>
        <w:suppressLineNumbers w:val="0"/>
        <w:ind w:firstLine="420" w:firstLineChars="200"/>
        <w:jc w:val="both"/>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日期：　     年　  月　  日         </w:t>
      </w:r>
    </w:p>
    <w:p w14:paraId="72A84A28">
      <w:pPr>
        <w:keepNext w:val="0"/>
        <w:keepLines w:val="0"/>
        <w:widowControl/>
        <w:suppressLineNumbers w:val="0"/>
        <w:ind w:firstLine="420" w:firstLineChars="200"/>
        <w:jc w:val="left"/>
        <w:rPr>
          <w:rFonts w:hint="eastAsia" w:ascii="宋体" w:hAnsi="宋体" w:eastAsia="宋体" w:cs="宋体"/>
          <w:color w:val="auto"/>
          <w:kern w:val="0"/>
          <w:sz w:val="21"/>
          <w:szCs w:val="21"/>
          <w:highlight w:val="none"/>
          <w:lang w:val="en-US" w:eastAsia="zh-CN" w:bidi="ar"/>
        </w:rPr>
      </w:pPr>
    </w:p>
    <w:p w14:paraId="3C20D06F">
      <w:pPr>
        <w:keepNext w:val="0"/>
        <w:keepLines w:val="0"/>
        <w:widowControl/>
        <w:suppressLineNumbers w:val="0"/>
        <w:jc w:val="left"/>
        <w:rPr>
          <w:rFonts w:hint="eastAsia" w:ascii="宋体" w:hAnsi="宋体" w:eastAsia="宋体" w:cs="宋体"/>
          <w:color w:val="auto"/>
          <w:kern w:val="0"/>
          <w:sz w:val="21"/>
          <w:szCs w:val="21"/>
          <w:highlight w:val="none"/>
          <w:lang w:val="en-US" w:eastAsia="zh-CN" w:bidi="ar"/>
        </w:rPr>
      </w:pPr>
      <w:r>
        <w:rPr>
          <w:rFonts w:hint="eastAsia" w:cs="宋体"/>
          <w:b/>
          <w:bCs/>
          <w:color w:val="auto"/>
          <w:kern w:val="0"/>
          <w:sz w:val="21"/>
          <w:szCs w:val="21"/>
          <w:highlight w:val="none"/>
          <w:lang w:val="en-US" w:eastAsia="zh-CN" w:bidi="ar"/>
        </w:rPr>
        <w:t>注：</w:t>
      </w:r>
      <w:r>
        <w:rPr>
          <w:rFonts w:hint="eastAsia" w:ascii="宋体" w:hAnsi="宋体" w:eastAsia="宋体" w:cs="宋体"/>
          <w:color w:val="auto"/>
          <w:kern w:val="0"/>
          <w:sz w:val="21"/>
          <w:szCs w:val="21"/>
          <w:highlight w:val="none"/>
          <w:lang w:val="en-US" w:eastAsia="zh-CN" w:bidi="ar"/>
        </w:rPr>
        <w:t>1.产品如有型号，请在“产品名称”栏一并填写。</w:t>
      </w:r>
    </w:p>
    <w:p w14:paraId="78267413">
      <w:pPr>
        <w:keepNext w:val="0"/>
        <w:keepLines w:val="0"/>
        <w:widowControl/>
        <w:suppressLineNumbers w:val="0"/>
        <w:ind w:firstLine="420" w:firstLineChars="200"/>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2.生产厂名与厂址应与生产厂营业执照载明的相关信息保持一致。</w:t>
      </w:r>
    </w:p>
    <w:p w14:paraId="497E7BB9">
      <w:pPr>
        <w:keepNext w:val="0"/>
        <w:keepLines w:val="0"/>
        <w:widowControl/>
        <w:suppressLineNumbers w:val="0"/>
        <w:ind w:firstLine="420" w:firstLineChars="200"/>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3.该产品的中国境内生产的组件成本占比相关要求实施前，“规定比例”栏可不填，下同。</w:t>
      </w:r>
    </w:p>
    <w:p w14:paraId="509B4ACE">
      <w:pPr>
        <w:keepNext w:val="0"/>
        <w:keepLines w:val="0"/>
        <w:widowControl/>
        <w:suppressLineNumbers w:val="0"/>
        <w:ind w:firstLine="420" w:firstLineChars="200"/>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4.该产品的关键组件要求实施前，“关键组件”栏可不填，下同。</w:t>
      </w:r>
    </w:p>
    <w:p w14:paraId="301AB172">
      <w:pPr>
        <w:keepNext w:val="0"/>
        <w:keepLines w:val="0"/>
        <w:widowControl/>
        <w:suppressLineNumbers w:val="0"/>
        <w:ind w:firstLine="420" w:firstLineChars="200"/>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5.该产品的关键工序要求实施前，“关键工序”栏可不填，下同。</w:t>
      </w:r>
    </w:p>
    <w:p w14:paraId="4AE36C1C">
      <w:pPr>
        <w:rPr>
          <w:rFonts w:hint="eastAsia" w:ascii="宋体" w:hAnsi="宋体" w:eastAsia="宋体" w:cs="宋体"/>
          <w:b w:val="0"/>
          <w:bCs w:val="0"/>
          <w:i w:val="0"/>
          <w:iCs w:val="0"/>
          <w:color w:val="auto"/>
          <w:kern w:val="0"/>
          <w:sz w:val="21"/>
          <w:szCs w:val="21"/>
          <w:highlight w:val="none"/>
          <w:lang w:val="en-US" w:eastAsia="zh-CN" w:bidi="ar"/>
        </w:rPr>
      </w:pPr>
      <w:r>
        <w:rPr>
          <w:rFonts w:hint="eastAsia" w:ascii="宋体" w:hAnsi="宋体" w:eastAsia="宋体" w:cs="宋体"/>
          <w:b w:val="0"/>
          <w:bCs w:val="0"/>
          <w:i w:val="0"/>
          <w:iCs w:val="0"/>
          <w:color w:val="auto"/>
          <w:kern w:val="0"/>
          <w:sz w:val="21"/>
          <w:szCs w:val="21"/>
          <w:highlight w:val="none"/>
          <w:lang w:val="en-US" w:eastAsia="zh-CN" w:bidi="ar"/>
        </w:rPr>
        <w:br w:type="page"/>
      </w:r>
    </w:p>
    <w:p w14:paraId="0F8F4702">
      <w:pPr>
        <w:rPr>
          <w:rFonts w:hint="default" w:cs="宋体"/>
          <w:color w:val="auto"/>
          <w:spacing w:val="6"/>
          <w:sz w:val="21"/>
          <w:szCs w:val="21"/>
          <w:highlight w:val="none"/>
          <w:lang w:val="en-US" w:eastAsia="zh-CN"/>
        </w:rPr>
      </w:pPr>
      <w:r>
        <w:rPr>
          <w:rFonts w:hint="eastAsia" w:cs="宋体"/>
          <w:color w:val="auto"/>
          <w:spacing w:val="6"/>
          <w:sz w:val="21"/>
          <w:szCs w:val="21"/>
          <w:highlight w:val="none"/>
          <w:lang w:val="en-US" w:eastAsia="zh-CN"/>
        </w:rPr>
        <w:t>附件2</w:t>
      </w:r>
    </w:p>
    <w:p w14:paraId="6662B597">
      <w:pPr>
        <w:jc w:val="center"/>
        <w:rPr>
          <w:rFonts w:hint="eastAsia" w:ascii="宋体" w:hAnsi="宋体" w:eastAsia="宋体" w:cs="宋体"/>
          <w:b/>
          <w:bCs/>
          <w:color w:val="auto"/>
          <w:kern w:val="0"/>
          <w:sz w:val="24"/>
          <w:szCs w:val="24"/>
          <w:highlight w:val="none"/>
          <w:lang w:val="en-US" w:eastAsia="zh-CN" w:bidi="ar"/>
        </w:rPr>
      </w:pPr>
      <w:r>
        <w:rPr>
          <w:rFonts w:hint="eastAsia" w:cs="宋体"/>
          <w:b/>
          <w:bCs/>
          <w:color w:val="auto"/>
          <w:kern w:val="0"/>
          <w:sz w:val="24"/>
          <w:szCs w:val="24"/>
          <w:highlight w:val="none"/>
          <w:lang w:val="en-US" w:eastAsia="zh-CN" w:bidi="ar"/>
        </w:rPr>
        <w:t>（二）</w:t>
      </w:r>
      <w:r>
        <w:rPr>
          <w:rFonts w:hint="eastAsia" w:ascii="宋体" w:hAnsi="宋体" w:eastAsia="宋体" w:cs="宋体"/>
          <w:b/>
          <w:bCs/>
          <w:color w:val="auto"/>
          <w:kern w:val="0"/>
          <w:sz w:val="24"/>
          <w:szCs w:val="24"/>
          <w:highlight w:val="none"/>
          <w:lang w:val="en-US" w:eastAsia="zh-CN" w:bidi="ar"/>
        </w:rPr>
        <w:t>本国产品成本占比承诺函</w:t>
      </w:r>
    </w:p>
    <w:p w14:paraId="1E46F03A">
      <w:pPr>
        <w:keepNext w:val="0"/>
        <w:keepLines w:val="0"/>
        <w:pageBreakBefore w:val="0"/>
        <w:widowControl w:val="0"/>
        <w:kinsoku/>
        <w:wordWrap/>
        <w:overflowPunct/>
        <w:topLinePunct w:val="0"/>
        <w:autoSpaceDE/>
        <w:autoSpaceDN/>
        <w:bidi w:val="0"/>
        <w:adjustRightInd/>
        <w:snapToGrid/>
        <w:spacing w:line="640" w:lineRule="exact"/>
        <w:textAlignment w:val="auto"/>
        <w:rPr>
          <w:rFonts w:hint="eastAsia"/>
          <w:color w:val="auto"/>
          <w:sz w:val="24"/>
          <w:szCs w:val="24"/>
          <w:highlight w:val="none"/>
        </w:rPr>
      </w:pPr>
    </w:p>
    <w:p w14:paraId="58B0E73F">
      <w:pPr>
        <w:keepNext w:val="0"/>
        <w:keepLines w:val="0"/>
        <w:widowControl/>
        <w:suppressLineNumbers w:val="0"/>
        <w:ind w:firstLine="420" w:firstLineChars="200"/>
        <w:jc w:val="both"/>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致:[采购人/采购代理机构名称]</w:t>
      </w:r>
    </w:p>
    <w:p w14:paraId="35665E38">
      <w:pPr>
        <w:keepNext w:val="0"/>
        <w:keepLines w:val="0"/>
        <w:widowControl/>
        <w:suppressLineNumbers w:val="0"/>
        <w:ind w:firstLine="420" w:firstLineChars="200"/>
        <w:jc w:val="both"/>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本单位就参与[项目名称      、编号      ]政府采购项目，郑重承诺如下:</w:t>
      </w:r>
    </w:p>
    <w:p w14:paraId="2F0FA20D">
      <w:pPr>
        <w:keepNext w:val="0"/>
        <w:keepLines w:val="0"/>
        <w:widowControl/>
        <w:suppressLineNumbers w:val="0"/>
        <w:ind w:firstLine="420" w:firstLineChars="200"/>
        <w:jc w:val="both"/>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本单位为该项目(或采购包)提供的符合本国产品标准的产品成本之和，占所提供全部产品成本之和的比例为</w:t>
      </w:r>
      <w:r>
        <w:rPr>
          <w:rFonts w:hint="eastAsia" w:cs="宋体"/>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lang w:val="en-US" w:eastAsia="zh-CN" w:bidi="ar"/>
        </w:rPr>
        <w:t>%。本承诺内容真实有效，若存在虚假承诺，愿意承担相应法律责任，放弃中标(成交)资格，并接受政府采购监管部门处罚。</w:t>
      </w:r>
    </w:p>
    <w:p w14:paraId="2FEAB4C6">
      <w:pPr>
        <w:keepNext w:val="0"/>
        <w:keepLines w:val="0"/>
        <w:widowControl/>
        <w:suppressLineNumbers w:val="0"/>
        <w:ind w:firstLine="420" w:firstLineChars="200"/>
        <w:jc w:val="both"/>
        <w:rPr>
          <w:rFonts w:hint="eastAsia" w:ascii="宋体" w:hAnsi="宋体" w:eastAsia="宋体" w:cs="宋体"/>
          <w:color w:val="auto"/>
          <w:kern w:val="0"/>
          <w:sz w:val="21"/>
          <w:szCs w:val="21"/>
          <w:highlight w:val="none"/>
          <w:lang w:val="en-US" w:eastAsia="zh-CN" w:bidi="ar"/>
        </w:rPr>
      </w:pPr>
    </w:p>
    <w:p w14:paraId="23191A52">
      <w:pPr>
        <w:keepNext w:val="0"/>
        <w:keepLines w:val="0"/>
        <w:widowControl/>
        <w:suppressLineNumbers w:val="0"/>
        <w:ind w:firstLine="420" w:firstLineChars="200"/>
        <w:jc w:val="both"/>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承诺人(供应商公章):</w:t>
      </w:r>
    </w:p>
    <w:p w14:paraId="492D49FA">
      <w:pPr>
        <w:keepNext w:val="0"/>
        <w:keepLines w:val="0"/>
        <w:widowControl/>
        <w:suppressLineNumbers w:val="0"/>
        <w:ind w:firstLine="420" w:firstLineChars="200"/>
        <w:jc w:val="both"/>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法定代表人或授权代表签字:</w:t>
      </w:r>
    </w:p>
    <w:p w14:paraId="28BE8647">
      <w:pPr>
        <w:keepNext w:val="0"/>
        <w:keepLines w:val="0"/>
        <w:widowControl/>
        <w:suppressLineNumbers w:val="0"/>
        <w:ind w:firstLine="420" w:firstLineChars="200"/>
        <w:jc w:val="both"/>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日期:  年  月  日</w:t>
      </w:r>
    </w:p>
    <w:p w14:paraId="62B3730C">
      <w:pPr>
        <w:keepNext w:val="0"/>
        <w:keepLines w:val="0"/>
        <w:widowControl/>
        <w:suppressLineNumbers w:val="0"/>
        <w:ind w:firstLine="420" w:firstLineChars="200"/>
        <w:jc w:val="both"/>
        <w:rPr>
          <w:rFonts w:hint="eastAsia" w:ascii="宋体" w:hAnsi="宋体" w:eastAsia="宋体" w:cs="宋体"/>
          <w:color w:val="auto"/>
          <w:kern w:val="0"/>
          <w:sz w:val="21"/>
          <w:szCs w:val="21"/>
          <w:highlight w:val="none"/>
          <w:lang w:val="en-US" w:eastAsia="zh-CN" w:bidi="ar"/>
        </w:rPr>
      </w:pPr>
    </w:p>
    <w:p w14:paraId="49A0CD8B">
      <w:pPr>
        <w:keepNext w:val="0"/>
        <w:keepLines w:val="0"/>
        <w:widowControl/>
        <w:suppressLineNumbers w:val="0"/>
        <w:ind w:firstLine="420" w:firstLineChars="200"/>
        <w:jc w:val="both"/>
        <w:rPr>
          <w:rFonts w:hint="eastAsia" w:ascii="宋体" w:hAnsi="宋体" w:eastAsia="宋体" w:cs="宋体"/>
          <w:color w:val="auto"/>
          <w:kern w:val="0"/>
          <w:sz w:val="21"/>
          <w:szCs w:val="21"/>
          <w:highlight w:val="none"/>
          <w:lang w:val="en-US" w:eastAsia="zh-CN" w:bidi="ar"/>
        </w:rPr>
      </w:pPr>
    </w:p>
    <w:p w14:paraId="4B4300D7">
      <w:pPr>
        <w:keepNext w:val="0"/>
        <w:keepLines w:val="0"/>
        <w:widowControl/>
        <w:suppressLineNumbers w:val="0"/>
        <w:ind w:firstLine="420" w:firstLineChars="200"/>
        <w:jc w:val="both"/>
        <w:rPr>
          <w:rFonts w:hint="eastAsia" w:ascii="宋体" w:hAnsi="宋体" w:eastAsia="宋体" w:cs="宋体"/>
          <w:color w:val="auto"/>
          <w:kern w:val="0"/>
          <w:sz w:val="21"/>
          <w:szCs w:val="21"/>
          <w:highlight w:val="none"/>
          <w:lang w:val="en-US" w:eastAsia="zh-CN" w:bidi="ar"/>
        </w:rPr>
      </w:pPr>
    </w:p>
    <w:p w14:paraId="547ADD6E">
      <w:pPr>
        <w:keepNext w:val="0"/>
        <w:keepLines w:val="0"/>
        <w:widowControl/>
        <w:suppressLineNumbers w:val="0"/>
        <w:ind w:firstLine="420" w:firstLineChars="200"/>
        <w:jc w:val="both"/>
        <w:rPr>
          <w:rFonts w:hint="eastAsia" w:ascii="宋体" w:hAnsi="宋体" w:eastAsia="宋体" w:cs="宋体"/>
          <w:color w:val="auto"/>
          <w:kern w:val="0"/>
          <w:sz w:val="21"/>
          <w:szCs w:val="21"/>
          <w:highlight w:val="none"/>
          <w:lang w:val="en-US" w:eastAsia="zh-CN" w:bidi="ar"/>
        </w:rPr>
      </w:pPr>
    </w:p>
    <w:p w14:paraId="1E91AD67">
      <w:pPr>
        <w:keepNext w:val="0"/>
        <w:keepLines w:val="0"/>
        <w:widowControl/>
        <w:suppressLineNumbers w:val="0"/>
        <w:ind w:firstLine="420" w:firstLineChars="200"/>
        <w:jc w:val="both"/>
        <w:rPr>
          <w:rFonts w:hint="eastAsia" w:ascii="宋体" w:hAnsi="宋体" w:eastAsia="宋体" w:cs="宋体"/>
          <w:color w:val="auto"/>
          <w:kern w:val="0"/>
          <w:sz w:val="21"/>
          <w:szCs w:val="21"/>
          <w:highlight w:val="none"/>
          <w:lang w:val="en-US" w:eastAsia="zh-CN" w:bidi="ar"/>
        </w:rPr>
      </w:pPr>
    </w:p>
    <w:p w14:paraId="1C1085AD">
      <w:pPr>
        <w:keepNext w:val="0"/>
        <w:keepLines w:val="0"/>
        <w:widowControl/>
        <w:suppressLineNumbers w:val="0"/>
        <w:ind w:firstLine="420" w:firstLineChars="200"/>
        <w:jc w:val="both"/>
        <w:rPr>
          <w:rFonts w:hint="eastAsia" w:ascii="宋体" w:hAnsi="宋体" w:eastAsia="宋体" w:cs="宋体"/>
          <w:color w:val="auto"/>
          <w:kern w:val="0"/>
          <w:sz w:val="21"/>
          <w:szCs w:val="21"/>
          <w:highlight w:val="none"/>
          <w:lang w:val="en-US" w:eastAsia="zh-CN" w:bidi="ar"/>
        </w:rPr>
      </w:pPr>
    </w:p>
    <w:p w14:paraId="5ED9EEAD">
      <w:pPr>
        <w:keepNext w:val="0"/>
        <w:keepLines w:val="0"/>
        <w:widowControl/>
        <w:suppressLineNumbers w:val="0"/>
        <w:ind w:firstLine="420" w:firstLineChars="200"/>
        <w:jc w:val="both"/>
        <w:rPr>
          <w:rFonts w:hint="eastAsia" w:ascii="宋体" w:hAnsi="宋体" w:eastAsia="宋体" w:cs="宋体"/>
          <w:color w:val="auto"/>
          <w:kern w:val="0"/>
          <w:sz w:val="21"/>
          <w:szCs w:val="21"/>
          <w:highlight w:val="none"/>
          <w:lang w:val="en-US" w:eastAsia="zh-CN" w:bidi="ar"/>
        </w:rPr>
      </w:pPr>
    </w:p>
    <w:p w14:paraId="1B57883A">
      <w:pPr>
        <w:keepNext w:val="0"/>
        <w:keepLines w:val="0"/>
        <w:widowControl/>
        <w:suppressLineNumbers w:val="0"/>
        <w:ind w:firstLine="420" w:firstLineChars="200"/>
        <w:jc w:val="both"/>
        <w:rPr>
          <w:rFonts w:hint="eastAsia" w:ascii="宋体" w:hAnsi="宋体" w:eastAsia="宋体" w:cs="宋体"/>
          <w:color w:val="auto"/>
          <w:kern w:val="0"/>
          <w:sz w:val="21"/>
          <w:szCs w:val="21"/>
          <w:highlight w:val="none"/>
          <w:lang w:val="en-US" w:eastAsia="zh-CN" w:bidi="ar"/>
        </w:rPr>
      </w:pPr>
    </w:p>
    <w:p w14:paraId="0CC4D559">
      <w:pPr>
        <w:keepNext w:val="0"/>
        <w:keepLines w:val="0"/>
        <w:widowControl/>
        <w:suppressLineNumbers w:val="0"/>
        <w:ind w:firstLine="420" w:firstLineChars="200"/>
        <w:jc w:val="both"/>
        <w:rPr>
          <w:rFonts w:hint="eastAsia" w:ascii="宋体" w:hAnsi="宋体" w:eastAsia="宋体" w:cs="宋体"/>
          <w:color w:val="auto"/>
          <w:kern w:val="0"/>
          <w:sz w:val="21"/>
          <w:szCs w:val="21"/>
          <w:highlight w:val="none"/>
          <w:lang w:val="en-US" w:eastAsia="zh-CN" w:bidi="ar"/>
        </w:rPr>
      </w:pPr>
    </w:p>
    <w:p w14:paraId="23C5A329">
      <w:pPr>
        <w:keepNext w:val="0"/>
        <w:keepLines w:val="0"/>
        <w:widowControl/>
        <w:suppressLineNumbers w:val="0"/>
        <w:ind w:firstLine="420" w:firstLineChars="200"/>
        <w:jc w:val="both"/>
        <w:rPr>
          <w:rFonts w:hint="eastAsia" w:ascii="宋体" w:hAnsi="宋体" w:eastAsia="宋体" w:cs="宋体"/>
          <w:color w:val="auto"/>
          <w:kern w:val="0"/>
          <w:sz w:val="21"/>
          <w:szCs w:val="21"/>
          <w:highlight w:val="none"/>
          <w:lang w:val="en-US" w:eastAsia="zh-CN" w:bidi="ar"/>
        </w:rPr>
      </w:pPr>
    </w:p>
    <w:p w14:paraId="5E3FA7A7">
      <w:pPr>
        <w:keepNext w:val="0"/>
        <w:keepLines w:val="0"/>
        <w:widowControl/>
        <w:suppressLineNumbers w:val="0"/>
        <w:jc w:val="both"/>
        <w:rPr>
          <w:rFonts w:hint="default" w:cs="宋体"/>
          <w:strike w:val="0"/>
          <w:dstrike w:val="0"/>
          <w:color w:val="auto"/>
          <w:kern w:val="0"/>
          <w:sz w:val="21"/>
          <w:szCs w:val="21"/>
          <w:highlight w:val="none"/>
          <w:lang w:val="en-US" w:eastAsia="zh-CN" w:bidi="ar"/>
        </w:rPr>
        <w:sectPr>
          <w:pgSz w:w="11906" w:h="16838"/>
          <w:pgMar w:top="1440" w:right="1803" w:bottom="1440" w:left="1803" w:header="851" w:footer="992" w:gutter="0"/>
          <w:pgBorders>
            <w:top w:val="none" w:sz="0" w:space="0"/>
            <w:left w:val="none" w:sz="0" w:space="0"/>
            <w:bottom w:val="none" w:sz="0" w:space="0"/>
            <w:right w:val="none" w:sz="0" w:space="0"/>
          </w:pgBorders>
          <w:pgNumType w:fmt="numberInDash"/>
          <w:cols w:space="0" w:num="1"/>
          <w:rtlGutter w:val="0"/>
          <w:docGrid w:type="lines" w:linePitch="332" w:charSpace="0"/>
        </w:sectPr>
      </w:pPr>
      <w:r>
        <w:rPr>
          <w:rFonts w:hint="eastAsia" w:ascii="宋体" w:hAnsi="宋体" w:eastAsia="宋体" w:cs="宋体"/>
          <w:b/>
          <w:bCs/>
          <w:strike w:val="0"/>
          <w:dstrike w:val="0"/>
          <w:color w:val="auto"/>
          <w:kern w:val="0"/>
          <w:sz w:val="21"/>
          <w:szCs w:val="21"/>
          <w:highlight w:val="none"/>
          <w:lang w:val="en-US" w:eastAsia="zh-CN" w:bidi="ar"/>
        </w:rPr>
        <w:t>注：</w:t>
      </w:r>
      <w:r>
        <w:rPr>
          <w:rFonts w:hint="eastAsia" w:ascii="宋体" w:hAnsi="宋体" w:eastAsia="宋体" w:cs="宋体"/>
          <w:strike w:val="0"/>
          <w:dstrike w:val="0"/>
          <w:color w:val="auto"/>
          <w:kern w:val="0"/>
          <w:sz w:val="21"/>
          <w:szCs w:val="21"/>
          <w:highlight w:val="none"/>
          <w:lang w:val="en-US" w:eastAsia="zh-CN" w:bidi="ar"/>
        </w:rPr>
        <w:t>若供应商所投产品均符合本国产品标准，且已提供《声明函》，可不填写《承诺函》。</w:t>
      </w:r>
    </w:p>
    <w:p w14:paraId="6D484F75">
      <w:pPr>
        <w:spacing w:line="360" w:lineRule="auto"/>
        <w:ind w:firstLine="435"/>
        <w:rPr>
          <w:rFonts w:hint="eastAsia" w:ascii="宋体" w:hAnsi="宋体" w:eastAsia="宋体" w:cs="宋体"/>
          <w:color w:val="auto"/>
          <w:sz w:val="24"/>
          <w:szCs w:val="24"/>
          <w:highlight w:val="none"/>
        </w:rPr>
      </w:pPr>
    </w:p>
    <w:p w14:paraId="4A59D451">
      <w:pPr>
        <w:pStyle w:val="60"/>
        <w:keepNext w:val="0"/>
        <w:keepLines w:val="0"/>
        <w:pageBreakBefore w:val="0"/>
        <w:widowControl/>
        <w:shd w:val="clear" w:color="auto" w:fill="auto"/>
        <w:kinsoku/>
        <w:wordWrap/>
        <w:overflowPunct/>
        <w:topLinePunct w:val="0"/>
        <w:autoSpaceDE/>
        <w:autoSpaceDN/>
        <w:bidi w:val="0"/>
        <w:adjustRightInd/>
        <w:snapToGrid/>
        <w:spacing w:afterAutospacing="0" w:line="360" w:lineRule="exact"/>
        <w:textAlignment w:val="auto"/>
        <w:rPr>
          <w:rFonts w:hint="eastAsia" w:ascii="宋体" w:hAnsi="宋体" w:eastAsia="宋体" w:cs="宋体"/>
          <w:b/>
          <w:bCs/>
          <w:color w:val="auto"/>
          <w:highlight w:val="none"/>
          <w:lang w:val="en-US" w:eastAsia="zh-CN"/>
        </w:rPr>
      </w:pPr>
    </w:p>
    <w:p w14:paraId="42253C07">
      <w:pPr>
        <w:ind w:firstLine="480" w:firstLineChars="200"/>
        <w:rPr>
          <w:rFonts w:cs="仿宋_GB2312"/>
          <w:color w:val="auto"/>
          <w:szCs w:val="24"/>
          <w:highlight w:val="none"/>
          <w:lang w:val="zh-CN"/>
        </w:rPr>
      </w:pPr>
      <w:r>
        <w:rPr>
          <w:rFonts w:hint="eastAsia" w:cs="仿宋_GB2312"/>
          <w:color w:val="auto"/>
          <w:szCs w:val="24"/>
          <w:highlight w:val="none"/>
          <w:lang w:val="zh-CN"/>
        </w:rPr>
        <w:t>封面：</w:t>
      </w:r>
    </w:p>
    <w:p w14:paraId="1369E9F7">
      <w:pPr>
        <w:autoSpaceDE w:val="0"/>
        <w:autoSpaceDN w:val="0"/>
        <w:adjustRightInd w:val="0"/>
        <w:rPr>
          <w:color w:val="auto"/>
          <w:sz w:val="21"/>
          <w:szCs w:val="24"/>
          <w:highlight w:val="none"/>
        </w:rPr>
      </w:pPr>
    </w:p>
    <w:p w14:paraId="7545DFD8">
      <w:pPr>
        <w:autoSpaceDE w:val="0"/>
        <w:autoSpaceDN w:val="0"/>
        <w:adjustRightInd w:val="0"/>
        <w:rPr>
          <w:color w:val="auto"/>
          <w:sz w:val="21"/>
          <w:szCs w:val="24"/>
          <w:highlight w:val="none"/>
        </w:rPr>
      </w:pPr>
    </w:p>
    <w:p w14:paraId="6E9DF04D">
      <w:pPr>
        <w:autoSpaceDE w:val="0"/>
        <w:autoSpaceDN w:val="0"/>
        <w:adjustRightInd w:val="0"/>
        <w:jc w:val="center"/>
        <w:rPr>
          <w:color w:val="auto"/>
          <w:sz w:val="21"/>
          <w:szCs w:val="24"/>
          <w:highlight w:val="none"/>
        </w:rPr>
      </w:pPr>
    </w:p>
    <w:p w14:paraId="4A09F0AA">
      <w:pPr>
        <w:pStyle w:val="2"/>
        <w:bidi w:val="0"/>
        <w:rPr>
          <w:color w:val="auto"/>
          <w:sz w:val="56"/>
          <w:szCs w:val="56"/>
          <w:highlight w:val="none"/>
        </w:rPr>
      </w:pPr>
      <w:bookmarkStart w:id="651" w:name="_Toc29933"/>
      <w:r>
        <w:rPr>
          <w:rFonts w:hint="eastAsia"/>
          <w:color w:val="auto"/>
          <w:sz w:val="56"/>
          <w:szCs w:val="56"/>
          <w:highlight w:val="none"/>
        </w:rPr>
        <w:t>投 标 文 件</w:t>
      </w:r>
      <w:bookmarkEnd w:id="651"/>
    </w:p>
    <w:p w14:paraId="4E8ADE01">
      <w:pPr>
        <w:pStyle w:val="2"/>
        <w:bidi w:val="0"/>
        <w:rPr>
          <w:rFonts w:hint="eastAsia"/>
          <w:color w:val="auto"/>
          <w:sz w:val="56"/>
          <w:szCs w:val="56"/>
          <w:highlight w:val="none"/>
          <w:lang w:val="en-US" w:eastAsia="zh-CN"/>
        </w:rPr>
      </w:pPr>
      <w:bookmarkStart w:id="652" w:name="_Toc6309"/>
      <w:r>
        <w:rPr>
          <w:rFonts w:hint="eastAsia"/>
          <w:color w:val="auto"/>
          <w:sz w:val="56"/>
          <w:szCs w:val="56"/>
          <w:highlight w:val="none"/>
          <w:lang w:val="en-US" w:eastAsia="zh-CN"/>
        </w:rPr>
        <w:t>商务技术文件</w:t>
      </w:r>
      <w:bookmarkEnd w:id="652"/>
    </w:p>
    <w:p w14:paraId="570FB9DD">
      <w:pPr>
        <w:autoSpaceDE w:val="0"/>
        <w:autoSpaceDN w:val="0"/>
        <w:adjustRightInd w:val="0"/>
        <w:jc w:val="center"/>
        <w:rPr>
          <w:rFonts w:hint="eastAsia" w:eastAsia="宋体"/>
          <w:color w:val="auto"/>
          <w:sz w:val="36"/>
          <w:szCs w:val="36"/>
          <w:highlight w:val="none"/>
          <w:lang w:eastAsia="zh-CN"/>
        </w:rPr>
      </w:pPr>
      <w:r>
        <w:rPr>
          <w:rFonts w:hint="eastAsia"/>
          <w:color w:val="auto"/>
          <w:sz w:val="36"/>
          <w:szCs w:val="36"/>
          <w:highlight w:val="none"/>
          <w:lang w:val="en-US" w:eastAsia="zh-CN"/>
        </w:rPr>
        <w:t>（第XX标段</w:t>
      </w:r>
      <w:r>
        <w:rPr>
          <w:rFonts w:hint="eastAsia"/>
          <w:color w:val="auto"/>
          <w:sz w:val="36"/>
          <w:szCs w:val="36"/>
          <w:highlight w:val="none"/>
          <w:lang w:eastAsia="zh-CN"/>
        </w:rPr>
        <w:t>）</w:t>
      </w:r>
    </w:p>
    <w:p w14:paraId="3BFF9900">
      <w:pPr>
        <w:pStyle w:val="3"/>
        <w:rPr>
          <w:color w:val="auto"/>
          <w:sz w:val="21"/>
          <w:szCs w:val="21"/>
          <w:highlight w:val="none"/>
        </w:rPr>
      </w:pPr>
    </w:p>
    <w:p w14:paraId="3304790D">
      <w:pPr>
        <w:rPr>
          <w:color w:val="auto"/>
          <w:sz w:val="21"/>
          <w:szCs w:val="21"/>
          <w:highlight w:val="none"/>
        </w:rPr>
      </w:pPr>
    </w:p>
    <w:p w14:paraId="414CC1ED">
      <w:pPr>
        <w:rPr>
          <w:color w:val="auto"/>
          <w:highlight w:val="none"/>
        </w:rPr>
      </w:pPr>
    </w:p>
    <w:p w14:paraId="789512AB">
      <w:pPr>
        <w:autoSpaceDE w:val="0"/>
        <w:autoSpaceDN w:val="0"/>
        <w:adjustRightInd w:val="0"/>
        <w:rPr>
          <w:color w:val="auto"/>
          <w:sz w:val="21"/>
          <w:szCs w:val="21"/>
          <w:highlight w:val="none"/>
        </w:rPr>
      </w:pPr>
    </w:p>
    <w:p w14:paraId="4BE21783">
      <w:pPr>
        <w:autoSpaceDE w:val="0"/>
        <w:autoSpaceDN w:val="0"/>
        <w:adjustRightInd w:val="0"/>
        <w:rPr>
          <w:color w:val="auto"/>
          <w:sz w:val="21"/>
          <w:szCs w:val="21"/>
          <w:highlight w:val="none"/>
        </w:rPr>
      </w:pPr>
    </w:p>
    <w:p w14:paraId="037029E5">
      <w:pPr>
        <w:ind w:left="420" w:leftChars="175"/>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t>项目编号</w:t>
      </w:r>
      <w:r>
        <w:rPr>
          <w:rFonts w:hint="eastAsia" w:ascii="宋体" w:hAnsi="宋体" w:eastAsia="宋体" w:cs="宋体"/>
          <w:color w:val="auto"/>
          <w:sz w:val="36"/>
          <w:szCs w:val="36"/>
          <w:highlight w:val="none"/>
          <w:lang w:val="en-US" w:eastAsia="zh-CN"/>
        </w:rPr>
        <w:t>/包号</w:t>
      </w:r>
      <w:r>
        <w:rPr>
          <w:rFonts w:hint="eastAsia" w:ascii="宋体" w:hAnsi="宋体" w:eastAsia="宋体" w:cs="宋体"/>
          <w:color w:val="auto"/>
          <w:sz w:val="36"/>
          <w:szCs w:val="36"/>
          <w:highlight w:val="none"/>
        </w:rPr>
        <w:t>：</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p>
    <w:p w14:paraId="0538909E">
      <w:pPr>
        <w:ind w:left="420" w:leftChars="175"/>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t>项目名称：</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p>
    <w:p w14:paraId="6D86FB53">
      <w:pPr>
        <w:ind w:left="420" w:leftChars="175"/>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t>投</w:t>
      </w:r>
      <w:r>
        <w:rPr>
          <w:rFonts w:hint="eastAsia" w:ascii="宋体" w:hAnsi="宋体" w:eastAsia="宋体" w:cs="宋体"/>
          <w:color w:val="auto"/>
          <w:sz w:val="36"/>
          <w:szCs w:val="36"/>
          <w:highlight w:val="none"/>
          <w:lang w:val="en-US" w:eastAsia="zh-CN"/>
        </w:rPr>
        <w:t xml:space="preserve"> </w:t>
      </w:r>
      <w:r>
        <w:rPr>
          <w:rFonts w:hint="eastAsia" w:ascii="宋体" w:hAnsi="宋体" w:eastAsia="宋体" w:cs="宋体"/>
          <w:color w:val="auto"/>
          <w:sz w:val="36"/>
          <w:szCs w:val="36"/>
          <w:highlight w:val="none"/>
        </w:rPr>
        <w:t>标</w:t>
      </w:r>
      <w:r>
        <w:rPr>
          <w:rFonts w:hint="eastAsia" w:ascii="宋体" w:hAnsi="宋体" w:eastAsia="宋体" w:cs="宋体"/>
          <w:color w:val="auto"/>
          <w:sz w:val="36"/>
          <w:szCs w:val="36"/>
          <w:highlight w:val="none"/>
          <w:lang w:val="en-US" w:eastAsia="zh-CN"/>
        </w:rPr>
        <w:t xml:space="preserve"> </w:t>
      </w:r>
      <w:r>
        <w:rPr>
          <w:rFonts w:hint="eastAsia" w:ascii="宋体" w:hAnsi="宋体" w:eastAsia="宋体" w:cs="宋体"/>
          <w:color w:val="auto"/>
          <w:sz w:val="36"/>
          <w:szCs w:val="36"/>
          <w:highlight w:val="none"/>
        </w:rPr>
        <w:t>人：</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p>
    <w:p w14:paraId="02BCF110">
      <w:pPr>
        <w:ind w:left="420" w:leftChars="175"/>
        <w:rPr>
          <w:rFonts w:ascii="黑体" w:hAnsi="黑体" w:eastAsia="黑体"/>
          <w:color w:val="auto"/>
          <w:sz w:val="32"/>
          <w:szCs w:val="32"/>
          <w:highlight w:val="none"/>
        </w:rPr>
      </w:pPr>
    </w:p>
    <w:p w14:paraId="70A32CAD">
      <w:pPr>
        <w:ind w:left="840" w:firstLine="420"/>
        <w:rPr>
          <w:b/>
          <w:bCs/>
          <w:color w:val="auto"/>
          <w:sz w:val="28"/>
          <w:szCs w:val="28"/>
          <w:highlight w:val="none"/>
        </w:rPr>
      </w:pPr>
    </w:p>
    <w:p w14:paraId="25D3DD60">
      <w:pPr>
        <w:ind w:left="840" w:firstLine="420"/>
        <w:rPr>
          <w:b/>
          <w:bCs/>
          <w:color w:val="auto"/>
          <w:sz w:val="28"/>
          <w:szCs w:val="28"/>
          <w:highlight w:val="none"/>
        </w:rPr>
      </w:pPr>
    </w:p>
    <w:p w14:paraId="2F9296DD">
      <w:pPr>
        <w:jc w:val="center"/>
        <w:rPr>
          <w:rFonts w:ascii="黑体" w:hAnsi="黑体" w:eastAsia="黑体"/>
          <w:color w:val="auto"/>
          <w:sz w:val="32"/>
          <w:szCs w:val="32"/>
          <w:highlight w:val="none"/>
        </w:rPr>
      </w:pPr>
      <w:r>
        <w:rPr>
          <w:rFonts w:hint="eastAsia" w:ascii="宋体" w:hAnsi="宋体" w:eastAsia="宋体" w:cs="宋体"/>
          <w:color w:val="auto"/>
          <w:sz w:val="32"/>
          <w:szCs w:val="32"/>
          <w:highlight w:val="none"/>
        </w:rPr>
        <w:t>年   月    日</w:t>
      </w:r>
    </w:p>
    <w:p w14:paraId="5C2AEB63">
      <w:pPr>
        <w:rPr>
          <w:color w:val="auto"/>
          <w:highlight w:val="none"/>
          <w:lang w:val="zh-CN"/>
        </w:rPr>
      </w:pPr>
      <w:r>
        <w:rPr>
          <w:color w:val="auto"/>
          <w:highlight w:val="none"/>
          <w:lang w:val="zh-CN"/>
        </w:rPr>
        <w:br w:type="page"/>
      </w:r>
    </w:p>
    <w:p w14:paraId="374BEE88">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eastAsia="宋体" w:asciiTheme="majorHAnsi" w:hAnsiTheme="majorHAnsi" w:cstheme="majorBidi"/>
          <w:b/>
          <w:bCs/>
          <w:color w:val="auto"/>
          <w:kern w:val="2"/>
          <w:sz w:val="32"/>
          <w:szCs w:val="32"/>
          <w:highlight w:val="none"/>
          <w:lang w:val="en-US" w:eastAsia="zh-CN" w:bidi="ar-SA"/>
        </w:rPr>
      </w:pPr>
      <w:bookmarkStart w:id="653" w:name="_Toc25402"/>
      <w:bookmarkStart w:id="654" w:name="_Toc140132831"/>
      <w:bookmarkStart w:id="655" w:name="_Toc155185921"/>
      <w:bookmarkStart w:id="656" w:name="_Toc3577"/>
      <w:bookmarkStart w:id="657" w:name="_Toc109899489"/>
      <w:bookmarkStart w:id="658" w:name="_Toc13736"/>
      <w:bookmarkStart w:id="659" w:name="_Toc28532"/>
      <w:bookmarkStart w:id="660" w:name="_Toc109899908"/>
      <w:bookmarkStart w:id="661" w:name="_Toc109900327"/>
      <w:r>
        <w:rPr>
          <w:rFonts w:hint="eastAsia" w:eastAsia="宋体" w:asciiTheme="majorHAnsi" w:hAnsiTheme="majorHAnsi" w:cstheme="majorBidi"/>
          <w:b/>
          <w:bCs/>
          <w:color w:val="auto"/>
          <w:kern w:val="2"/>
          <w:sz w:val="32"/>
          <w:szCs w:val="32"/>
          <w:highlight w:val="none"/>
          <w:lang w:val="en-US" w:eastAsia="zh-CN" w:bidi="ar-SA"/>
        </w:rPr>
        <w:t>一、投标函</w:t>
      </w:r>
      <w:bookmarkEnd w:id="653"/>
      <w:bookmarkEnd w:id="654"/>
      <w:bookmarkEnd w:id="655"/>
      <w:bookmarkEnd w:id="656"/>
      <w:bookmarkEnd w:id="657"/>
      <w:bookmarkEnd w:id="658"/>
      <w:bookmarkEnd w:id="659"/>
      <w:bookmarkEnd w:id="660"/>
      <w:bookmarkEnd w:id="661"/>
    </w:p>
    <w:p w14:paraId="0ABD9EA3">
      <w:pPr>
        <w:rPr>
          <w:color w:val="auto"/>
          <w:highlight w:val="none"/>
        </w:rPr>
      </w:pPr>
      <w:r>
        <w:rPr>
          <w:rFonts w:hint="eastAsia"/>
          <w:color w:val="auto"/>
          <w:highlight w:val="none"/>
        </w:rPr>
        <w:t>致：（采购人）</w:t>
      </w:r>
    </w:p>
    <w:p w14:paraId="35C4266A">
      <w:pPr>
        <w:ind w:firstLine="480" w:firstLineChars="200"/>
        <w:rPr>
          <w:rFonts w:cs="仿宋_GB2312"/>
          <w:b/>
          <w:bCs/>
          <w:color w:val="auto"/>
          <w:szCs w:val="24"/>
          <w:highlight w:val="none"/>
        </w:rPr>
      </w:pPr>
      <w:r>
        <w:rPr>
          <w:rFonts w:hint="eastAsia" w:cs="仿宋_GB2312"/>
          <w:color w:val="auto"/>
          <w:szCs w:val="24"/>
          <w:highlight w:val="none"/>
        </w:rPr>
        <w:t>根据贵方</w:t>
      </w:r>
      <w:r>
        <w:rPr>
          <w:rFonts w:hint="eastAsia" w:cs="仿宋_GB2312"/>
          <w:color w:val="auto"/>
          <w:szCs w:val="24"/>
          <w:highlight w:val="none"/>
          <w:u w:val="single"/>
        </w:rPr>
        <w:t>（项目名称）（项目编号</w:t>
      </w:r>
      <w:r>
        <w:rPr>
          <w:rFonts w:hint="eastAsia" w:cs="仿宋_GB2312"/>
          <w:color w:val="auto"/>
          <w:szCs w:val="24"/>
          <w:highlight w:val="none"/>
          <w:u w:val="single"/>
          <w:lang w:val="en-US" w:eastAsia="zh-CN"/>
        </w:rPr>
        <w:t>/包号</w:t>
      </w:r>
      <w:r>
        <w:rPr>
          <w:rFonts w:hint="eastAsia" w:cs="仿宋_GB2312"/>
          <w:color w:val="auto"/>
          <w:szCs w:val="24"/>
          <w:highlight w:val="none"/>
          <w:u w:val="single"/>
        </w:rPr>
        <w:t>）</w:t>
      </w:r>
      <w:r>
        <w:rPr>
          <w:rFonts w:hint="eastAsia" w:cs="仿宋_GB2312"/>
          <w:color w:val="auto"/>
          <w:szCs w:val="24"/>
          <w:highlight w:val="none"/>
          <w:lang w:val="en-US" w:eastAsia="zh-CN"/>
        </w:rPr>
        <w:t>项目</w:t>
      </w:r>
      <w:r>
        <w:rPr>
          <w:rFonts w:hint="eastAsia" w:cs="仿宋_GB2312"/>
          <w:color w:val="auto"/>
          <w:szCs w:val="24"/>
          <w:highlight w:val="none"/>
        </w:rPr>
        <w:t>的</w:t>
      </w:r>
      <w:r>
        <w:rPr>
          <w:rFonts w:hint="eastAsia" w:cs="仿宋_GB2312"/>
          <w:color w:val="auto"/>
          <w:szCs w:val="24"/>
          <w:highlight w:val="none"/>
          <w:lang w:val="en-US" w:eastAsia="zh-CN"/>
        </w:rPr>
        <w:t>招标公告</w:t>
      </w:r>
      <w:r>
        <w:rPr>
          <w:rFonts w:hint="eastAsia" w:cs="仿宋_GB2312"/>
          <w:color w:val="auto"/>
          <w:szCs w:val="24"/>
          <w:highlight w:val="none"/>
        </w:rPr>
        <w:t>，签字代表</w:t>
      </w:r>
      <w:r>
        <w:rPr>
          <w:rFonts w:hint="eastAsia" w:cs="仿宋_GB2312"/>
          <w:color w:val="auto"/>
          <w:szCs w:val="24"/>
          <w:highlight w:val="none"/>
          <w:u w:val="single"/>
        </w:rPr>
        <w:t>（姓名、职务）</w:t>
      </w:r>
      <w:r>
        <w:rPr>
          <w:rFonts w:hint="eastAsia" w:cs="仿宋_GB2312"/>
          <w:color w:val="auto"/>
          <w:szCs w:val="24"/>
          <w:highlight w:val="none"/>
        </w:rPr>
        <w:t>经正式授权并代表投标人</w:t>
      </w:r>
      <w:r>
        <w:rPr>
          <w:rFonts w:hint="eastAsia" w:cs="仿宋_GB2312"/>
          <w:color w:val="auto"/>
          <w:szCs w:val="24"/>
          <w:highlight w:val="none"/>
          <w:u w:val="single"/>
        </w:rPr>
        <w:t>（投标人名称、地址）</w:t>
      </w:r>
      <w:r>
        <w:rPr>
          <w:rFonts w:hint="eastAsia" w:cs="仿宋_GB2312"/>
          <w:color w:val="auto"/>
          <w:szCs w:val="24"/>
          <w:highlight w:val="none"/>
        </w:rPr>
        <w:t>提交下述文件</w:t>
      </w:r>
      <w:r>
        <w:rPr>
          <w:rFonts w:hint="eastAsia" w:cs="仿宋_GB2312"/>
          <w:b/>
          <w:bCs/>
          <w:color w:val="auto"/>
          <w:szCs w:val="24"/>
          <w:highlight w:val="none"/>
        </w:rPr>
        <w:t>：</w:t>
      </w:r>
    </w:p>
    <w:p w14:paraId="21BBF032">
      <w:pPr>
        <w:numPr>
          <w:ilvl w:val="0"/>
          <w:numId w:val="0"/>
        </w:numPr>
        <w:spacing w:line="324" w:lineRule="auto"/>
        <w:ind w:firstLine="480" w:firstLineChars="200"/>
        <w:jc w:val="both"/>
        <w:rPr>
          <w:rFonts w:cs="Arial"/>
          <w:color w:val="auto"/>
          <w:szCs w:val="24"/>
          <w:highlight w:val="none"/>
        </w:rPr>
      </w:pPr>
      <w:r>
        <w:rPr>
          <w:rFonts w:hint="eastAsia" w:ascii="宋体" w:hAnsi="宋体" w:eastAsia="宋体" w:cs="Arial"/>
          <w:color w:val="auto"/>
          <w:kern w:val="2"/>
          <w:sz w:val="24"/>
          <w:szCs w:val="24"/>
          <w:highlight w:val="none"/>
          <w:lang w:val="en-US" w:eastAsia="zh-CN" w:bidi="ar-SA"/>
        </w:rPr>
        <w:t>1.</w:t>
      </w:r>
      <w:r>
        <w:rPr>
          <w:rFonts w:hint="eastAsia" w:cs="Arial"/>
          <w:color w:val="auto"/>
          <w:szCs w:val="24"/>
          <w:highlight w:val="none"/>
        </w:rPr>
        <w:t>资格</w:t>
      </w:r>
      <w:r>
        <w:rPr>
          <w:rFonts w:hint="eastAsia" w:cs="Arial"/>
          <w:color w:val="auto"/>
          <w:szCs w:val="24"/>
          <w:highlight w:val="none"/>
          <w:lang w:val="en-US" w:eastAsia="zh-CN"/>
        </w:rPr>
        <w:t>证明</w:t>
      </w:r>
      <w:r>
        <w:rPr>
          <w:rFonts w:hint="eastAsia" w:cs="Arial"/>
          <w:color w:val="auto"/>
          <w:szCs w:val="24"/>
          <w:highlight w:val="none"/>
        </w:rPr>
        <w:t>文件</w:t>
      </w:r>
      <w:r>
        <w:rPr>
          <w:rFonts w:cs="Arial"/>
          <w:color w:val="auto"/>
          <w:szCs w:val="24"/>
          <w:highlight w:val="none"/>
        </w:rPr>
        <w:t>；</w:t>
      </w:r>
    </w:p>
    <w:p w14:paraId="0A0EA079">
      <w:pPr>
        <w:numPr>
          <w:ilvl w:val="0"/>
          <w:numId w:val="0"/>
        </w:numPr>
        <w:spacing w:line="324" w:lineRule="auto"/>
        <w:ind w:firstLine="480" w:firstLineChars="200"/>
        <w:jc w:val="both"/>
        <w:rPr>
          <w:rFonts w:cs="Arial"/>
          <w:color w:val="auto"/>
          <w:szCs w:val="24"/>
          <w:highlight w:val="none"/>
        </w:rPr>
      </w:pPr>
      <w:r>
        <w:rPr>
          <w:rFonts w:hint="eastAsia" w:ascii="宋体" w:hAnsi="宋体" w:eastAsia="宋体" w:cs="Arial"/>
          <w:color w:val="auto"/>
          <w:kern w:val="2"/>
          <w:sz w:val="24"/>
          <w:szCs w:val="24"/>
          <w:highlight w:val="none"/>
          <w:lang w:val="en-US" w:eastAsia="zh-CN" w:bidi="ar-SA"/>
        </w:rPr>
        <w:t>2.</w:t>
      </w:r>
      <w:r>
        <w:rPr>
          <w:rFonts w:hint="eastAsia" w:cs="Arial"/>
          <w:color w:val="auto"/>
          <w:szCs w:val="24"/>
          <w:highlight w:val="none"/>
        </w:rPr>
        <w:t>投标报价</w:t>
      </w:r>
      <w:r>
        <w:rPr>
          <w:rFonts w:cs="Arial"/>
          <w:color w:val="auto"/>
          <w:szCs w:val="24"/>
          <w:highlight w:val="none"/>
        </w:rPr>
        <w:t>文件</w:t>
      </w:r>
      <w:r>
        <w:rPr>
          <w:rFonts w:hint="eastAsia" w:cs="Arial"/>
          <w:color w:val="auto"/>
          <w:szCs w:val="24"/>
          <w:highlight w:val="none"/>
        </w:rPr>
        <w:t>；</w:t>
      </w:r>
    </w:p>
    <w:p w14:paraId="7C008F28">
      <w:pPr>
        <w:numPr>
          <w:ilvl w:val="0"/>
          <w:numId w:val="0"/>
        </w:numPr>
        <w:spacing w:line="324" w:lineRule="auto"/>
        <w:ind w:firstLine="480" w:firstLineChars="200"/>
        <w:jc w:val="both"/>
        <w:rPr>
          <w:rFonts w:cs="Arial"/>
          <w:color w:val="auto"/>
          <w:szCs w:val="24"/>
          <w:highlight w:val="none"/>
        </w:rPr>
      </w:pPr>
      <w:r>
        <w:rPr>
          <w:rFonts w:hint="eastAsia" w:ascii="宋体" w:hAnsi="宋体" w:eastAsia="宋体" w:cs="Arial"/>
          <w:color w:val="auto"/>
          <w:kern w:val="2"/>
          <w:sz w:val="24"/>
          <w:szCs w:val="24"/>
          <w:highlight w:val="none"/>
          <w:lang w:val="en-US" w:eastAsia="zh-CN" w:bidi="ar-SA"/>
        </w:rPr>
        <w:t>3.</w:t>
      </w:r>
      <w:r>
        <w:rPr>
          <w:rFonts w:hint="eastAsia" w:cs="Arial"/>
          <w:color w:val="auto"/>
          <w:szCs w:val="24"/>
          <w:highlight w:val="none"/>
          <w:lang w:val="en-US" w:eastAsia="zh-CN"/>
        </w:rPr>
        <w:t>商务技术</w:t>
      </w:r>
      <w:r>
        <w:rPr>
          <w:rFonts w:hint="eastAsia" w:cs="Arial"/>
          <w:color w:val="auto"/>
          <w:szCs w:val="24"/>
          <w:highlight w:val="none"/>
        </w:rPr>
        <w:t>文件</w:t>
      </w:r>
      <w:r>
        <w:rPr>
          <w:rFonts w:cs="Arial"/>
          <w:color w:val="auto"/>
          <w:szCs w:val="24"/>
          <w:highlight w:val="none"/>
        </w:rPr>
        <w:t>。</w:t>
      </w:r>
    </w:p>
    <w:p w14:paraId="2038C573">
      <w:pPr>
        <w:spacing w:line="324" w:lineRule="auto"/>
        <w:ind w:firstLine="480" w:firstLineChars="200"/>
        <w:rPr>
          <w:rFonts w:cs="Arial"/>
          <w:color w:val="auto"/>
          <w:szCs w:val="24"/>
          <w:highlight w:val="none"/>
        </w:rPr>
      </w:pPr>
      <w:r>
        <w:rPr>
          <w:rFonts w:cs="Arial"/>
          <w:color w:val="auto"/>
          <w:szCs w:val="24"/>
          <w:highlight w:val="none"/>
        </w:rPr>
        <w:t>根据此函，签字代表宣布同意如下：</w:t>
      </w:r>
    </w:p>
    <w:p w14:paraId="7021F257">
      <w:pPr>
        <w:numPr>
          <w:ilvl w:val="0"/>
          <w:numId w:val="0"/>
        </w:numPr>
        <w:spacing w:line="324" w:lineRule="auto"/>
        <w:ind w:firstLine="480" w:firstLineChars="200"/>
        <w:jc w:val="both"/>
        <w:rPr>
          <w:rFonts w:cs="Arial"/>
          <w:color w:val="auto"/>
          <w:szCs w:val="24"/>
          <w:highlight w:val="none"/>
        </w:rPr>
      </w:pPr>
      <w:r>
        <w:rPr>
          <w:rFonts w:hint="eastAsia" w:ascii="宋体" w:hAnsi="宋体" w:eastAsia="宋体" w:cs="Arial"/>
          <w:color w:val="auto"/>
          <w:kern w:val="2"/>
          <w:sz w:val="24"/>
          <w:szCs w:val="24"/>
          <w:highlight w:val="none"/>
          <w:lang w:val="en-US" w:eastAsia="zh-CN" w:bidi="ar-SA"/>
        </w:rPr>
        <w:t>1.</w:t>
      </w:r>
      <w:r>
        <w:rPr>
          <w:rFonts w:cs="Arial"/>
          <w:color w:val="auto"/>
          <w:szCs w:val="24"/>
          <w:highlight w:val="none"/>
        </w:rPr>
        <w:t>所附投标价格表中规定的应提交和交付的服务和</w:t>
      </w:r>
      <w:r>
        <w:rPr>
          <w:rFonts w:hint="eastAsia" w:cs="Arial"/>
          <w:color w:val="auto"/>
          <w:szCs w:val="24"/>
          <w:highlight w:val="none"/>
          <w:lang w:val="en-US" w:eastAsia="zh-CN"/>
        </w:rPr>
        <w:t>相关</w:t>
      </w:r>
      <w:r>
        <w:rPr>
          <w:rFonts w:hint="eastAsia" w:cs="Arial"/>
          <w:color w:val="auto"/>
          <w:szCs w:val="24"/>
          <w:highlight w:val="none"/>
        </w:rPr>
        <w:t>货物（如有）</w:t>
      </w:r>
      <w:r>
        <w:rPr>
          <w:rFonts w:cs="Arial"/>
          <w:color w:val="auto"/>
          <w:szCs w:val="24"/>
          <w:highlight w:val="none"/>
        </w:rPr>
        <w:t>的</w:t>
      </w:r>
      <w:r>
        <w:rPr>
          <w:rFonts w:hint="eastAsia" w:cs="Arial"/>
          <w:color w:val="auto"/>
          <w:szCs w:val="24"/>
          <w:highlight w:val="none"/>
        </w:rPr>
        <w:t>投标报价</w:t>
      </w:r>
      <w:r>
        <w:rPr>
          <w:rFonts w:cs="Arial"/>
          <w:color w:val="auto"/>
          <w:szCs w:val="24"/>
          <w:highlight w:val="none"/>
        </w:rPr>
        <w:t>为</w:t>
      </w:r>
      <w:r>
        <w:rPr>
          <w:rFonts w:hint="eastAsia" w:cs="Arial"/>
          <w:color w:val="auto"/>
          <w:szCs w:val="24"/>
          <w:highlight w:val="none"/>
        </w:rPr>
        <w:t xml:space="preserve"> </w:t>
      </w:r>
      <w:r>
        <w:rPr>
          <w:rFonts w:hint="eastAsia" w:cs="Arial"/>
          <w:color w:val="auto"/>
          <w:szCs w:val="24"/>
          <w:highlight w:val="none"/>
          <w:u w:val="single"/>
        </w:rPr>
        <w:t xml:space="preserve">                  </w:t>
      </w:r>
      <w:r>
        <w:rPr>
          <w:rFonts w:cs="Arial"/>
          <w:color w:val="auto"/>
          <w:szCs w:val="24"/>
          <w:highlight w:val="none"/>
        </w:rPr>
        <w:t>。</w:t>
      </w:r>
    </w:p>
    <w:p w14:paraId="3FF1B405">
      <w:pPr>
        <w:numPr>
          <w:ilvl w:val="0"/>
          <w:numId w:val="0"/>
        </w:numPr>
        <w:spacing w:line="324" w:lineRule="auto"/>
        <w:ind w:firstLine="480" w:firstLineChars="200"/>
        <w:jc w:val="both"/>
        <w:rPr>
          <w:rFonts w:cs="Arial"/>
          <w:color w:val="auto"/>
          <w:szCs w:val="24"/>
          <w:highlight w:val="none"/>
        </w:rPr>
      </w:pPr>
      <w:r>
        <w:rPr>
          <w:rFonts w:hint="eastAsia" w:ascii="宋体" w:hAnsi="宋体" w:eastAsia="宋体" w:cs="Arial"/>
          <w:color w:val="auto"/>
          <w:kern w:val="2"/>
          <w:sz w:val="24"/>
          <w:szCs w:val="24"/>
          <w:highlight w:val="none"/>
          <w:lang w:val="en-US" w:eastAsia="zh-CN" w:bidi="ar-SA"/>
        </w:rPr>
        <w:t>2.</w:t>
      </w:r>
      <w:r>
        <w:rPr>
          <w:rFonts w:hint="eastAsia" w:cs="Arial"/>
          <w:color w:val="auto"/>
          <w:szCs w:val="24"/>
          <w:highlight w:val="none"/>
        </w:rPr>
        <w:t>我方</w:t>
      </w:r>
      <w:r>
        <w:rPr>
          <w:rFonts w:cs="Arial"/>
          <w:color w:val="auto"/>
          <w:szCs w:val="24"/>
          <w:highlight w:val="none"/>
        </w:rPr>
        <w:t>将按招标文件的规定履行合同责任和义务。</w:t>
      </w:r>
    </w:p>
    <w:p w14:paraId="464D767C">
      <w:pPr>
        <w:numPr>
          <w:ilvl w:val="0"/>
          <w:numId w:val="0"/>
        </w:numPr>
        <w:spacing w:line="324" w:lineRule="auto"/>
        <w:ind w:firstLine="480" w:firstLineChars="200"/>
        <w:jc w:val="both"/>
        <w:rPr>
          <w:rFonts w:cs="Arial"/>
          <w:i w:val="0"/>
          <w:iCs w:val="0"/>
          <w:color w:val="auto"/>
          <w:szCs w:val="24"/>
          <w:highlight w:val="none"/>
        </w:rPr>
      </w:pPr>
      <w:r>
        <w:rPr>
          <w:rFonts w:hint="eastAsia" w:ascii="宋体" w:hAnsi="宋体" w:eastAsia="宋体" w:cs="Arial"/>
          <w:color w:val="auto"/>
          <w:kern w:val="2"/>
          <w:sz w:val="24"/>
          <w:szCs w:val="24"/>
          <w:highlight w:val="none"/>
          <w:lang w:val="en-US" w:eastAsia="zh-CN" w:bidi="ar-SA"/>
        </w:rPr>
        <w:t>3.</w:t>
      </w:r>
      <w:r>
        <w:rPr>
          <w:rFonts w:hint="eastAsia" w:cs="Arial"/>
          <w:color w:val="auto"/>
          <w:szCs w:val="24"/>
          <w:highlight w:val="none"/>
        </w:rPr>
        <w:t>我方</w:t>
      </w:r>
      <w:r>
        <w:rPr>
          <w:rFonts w:cs="Arial"/>
          <w:color w:val="auto"/>
          <w:szCs w:val="24"/>
          <w:highlight w:val="none"/>
        </w:rPr>
        <w:t>已详细审查全部招标文件，包括</w:t>
      </w:r>
      <w:r>
        <w:rPr>
          <w:rFonts w:cs="Arial"/>
          <w:i w:val="0"/>
          <w:iCs w:val="0"/>
          <w:color w:val="auto"/>
          <w:szCs w:val="24"/>
          <w:highlight w:val="none"/>
        </w:rPr>
        <w:t>第</w:t>
      </w:r>
      <w:r>
        <w:rPr>
          <w:rFonts w:cs="Arial"/>
          <w:i w:val="0"/>
          <w:iCs w:val="0"/>
          <w:color w:val="auto"/>
          <w:szCs w:val="24"/>
          <w:highlight w:val="none"/>
          <w:u w:val="single"/>
        </w:rPr>
        <w:t>（编号、补遗书）（如果有的话）</w:t>
      </w:r>
      <w:r>
        <w:rPr>
          <w:rFonts w:cs="Arial"/>
          <w:i w:val="0"/>
          <w:iCs w:val="0"/>
          <w:color w:val="auto"/>
          <w:szCs w:val="24"/>
          <w:highlight w:val="none"/>
        </w:rPr>
        <w:t>。我</w:t>
      </w:r>
      <w:r>
        <w:rPr>
          <w:rFonts w:hint="eastAsia" w:cs="Arial"/>
          <w:i w:val="0"/>
          <w:iCs w:val="0"/>
          <w:color w:val="auto"/>
          <w:szCs w:val="24"/>
          <w:highlight w:val="none"/>
        </w:rPr>
        <w:t>方</w:t>
      </w:r>
      <w:r>
        <w:rPr>
          <w:rFonts w:cs="Arial"/>
          <w:i w:val="0"/>
          <w:iCs w:val="0"/>
          <w:color w:val="auto"/>
          <w:szCs w:val="24"/>
          <w:highlight w:val="none"/>
        </w:rPr>
        <w:t>完全理解并同意放弃对这方面有不明及误解的权力。</w:t>
      </w:r>
    </w:p>
    <w:p w14:paraId="70CAE828">
      <w:pPr>
        <w:numPr>
          <w:ilvl w:val="0"/>
          <w:numId w:val="0"/>
        </w:numPr>
        <w:spacing w:line="324" w:lineRule="auto"/>
        <w:ind w:firstLine="480" w:firstLineChars="200"/>
        <w:jc w:val="both"/>
        <w:rPr>
          <w:rFonts w:cs="Arial"/>
          <w:i w:val="0"/>
          <w:iCs w:val="0"/>
          <w:color w:val="auto"/>
          <w:szCs w:val="24"/>
          <w:highlight w:val="none"/>
        </w:rPr>
      </w:pPr>
      <w:r>
        <w:rPr>
          <w:rFonts w:hint="eastAsia" w:ascii="宋体" w:hAnsi="宋体" w:eastAsia="宋体" w:cs="Arial"/>
          <w:i w:val="0"/>
          <w:iCs w:val="0"/>
          <w:color w:val="auto"/>
          <w:kern w:val="2"/>
          <w:sz w:val="24"/>
          <w:szCs w:val="24"/>
          <w:highlight w:val="none"/>
          <w:lang w:val="en-US" w:eastAsia="zh-CN" w:bidi="ar-SA"/>
        </w:rPr>
        <w:t>4.</w:t>
      </w:r>
      <w:r>
        <w:rPr>
          <w:rFonts w:hint="eastAsia" w:cs="Arial"/>
          <w:i w:val="0"/>
          <w:iCs w:val="0"/>
          <w:color w:val="auto"/>
          <w:szCs w:val="24"/>
          <w:highlight w:val="none"/>
        </w:rPr>
        <w:t>投标有效期为自提交投标文件的截止之日起</w:t>
      </w:r>
      <w:r>
        <w:rPr>
          <w:rFonts w:hint="eastAsia" w:cs="Arial"/>
          <w:i w:val="0"/>
          <w:iCs w:val="0"/>
          <w:color w:val="auto"/>
          <w:szCs w:val="24"/>
          <w:highlight w:val="none"/>
          <w:u w:val="single"/>
        </w:rPr>
        <w:t xml:space="preserve"> （由投标人填写）</w:t>
      </w:r>
      <w:r>
        <w:rPr>
          <w:rFonts w:cs="Arial"/>
          <w:i w:val="0"/>
          <w:iCs w:val="0"/>
          <w:color w:val="auto"/>
          <w:szCs w:val="24"/>
          <w:highlight w:val="none"/>
        </w:rPr>
        <w:t>个日历天。</w:t>
      </w:r>
    </w:p>
    <w:p w14:paraId="52EDF2A7">
      <w:pPr>
        <w:numPr>
          <w:ilvl w:val="0"/>
          <w:numId w:val="0"/>
        </w:numPr>
        <w:spacing w:line="324" w:lineRule="auto"/>
        <w:ind w:firstLine="480" w:firstLineChars="200"/>
        <w:jc w:val="both"/>
        <w:rPr>
          <w:rFonts w:cs="Arial"/>
          <w:i w:val="0"/>
          <w:iCs w:val="0"/>
          <w:color w:val="auto"/>
          <w:szCs w:val="24"/>
          <w:highlight w:val="none"/>
        </w:rPr>
      </w:pPr>
      <w:r>
        <w:rPr>
          <w:rFonts w:hint="eastAsia" w:ascii="宋体" w:hAnsi="宋体" w:eastAsia="宋体" w:cs="Arial"/>
          <w:i w:val="0"/>
          <w:iCs w:val="0"/>
          <w:color w:val="auto"/>
          <w:kern w:val="2"/>
          <w:sz w:val="24"/>
          <w:szCs w:val="24"/>
          <w:highlight w:val="none"/>
          <w:lang w:val="en-US" w:eastAsia="zh-CN" w:bidi="ar-SA"/>
        </w:rPr>
        <w:t>5.</w:t>
      </w:r>
      <w:r>
        <w:rPr>
          <w:rFonts w:hint="eastAsia" w:cs="Arial"/>
          <w:i w:val="0"/>
          <w:iCs w:val="0"/>
          <w:color w:val="auto"/>
          <w:szCs w:val="24"/>
          <w:highlight w:val="none"/>
        </w:rPr>
        <w:t>我方</w:t>
      </w:r>
      <w:r>
        <w:rPr>
          <w:rFonts w:cs="Arial"/>
          <w:i w:val="0"/>
          <w:iCs w:val="0"/>
          <w:color w:val="auto"/>
          <w:szCs w:val="24"/>
          <w:highlight w:val="none"/>
        </w:rPr>
        <w:t>同意提供按照贵方</w:t>
      </w:r>
      <w:r>
        <w:rPr>
          <w:rFonts w:hint="eastAsia" w:cs="Arial"/>
          <w:i w:val="0"/>
          <w:iCs w:val="0"/>
          <w:color w:val="auto"/>
          <w:szCs w:val="24"/>
          <w:highlight w:val="none"/>
          <w:lang w:val="en-US" w:eastAsia="zh-CN"/>
        </w:rPr>
        <w:t>招标</w:t>
      </w:r>
      <w:r>
        <w:rPr>
          <w:rFonts w:hint="eastAsia" w:cs="Arial"/>
          <w:i w:val="0"/>
          <w:iCs w:val="0"/>
          <w:color w:val="auto"/>
          <w:szCs w:val="24"/>
          <w:highlight w:val="none"/>
        </w:rPr>
        <w:t>文件</w:t>
      </w:r>
      <w:r>
        <w:rPr>
          <w:rFonts w:cs="Arial"/>
          <w:i w:val="0"/>
          <w:iCs w:val="0"/>
          <w:color w:val="auto"/>
          <w:szCs w:val="24"/>
          <w:highlight w:val="none"/>
        </w:rPr>
        <w:t>要求的与投标有关的一切数据或资料，</w:t>
      </w:r>
      <w:r>
        <w:rPr>
          <w:rFonts w:hint="eastAsia" w:cs="Arial"/>
          <w:i w:val="0"/>
          <w:iCs w:val="0"/>
          <w:color w:val="auto"/>
          <w:szCs w:val="24"/>
          <w:highlight w:val="none"/>
        </w:rPr>
        <w:t>采用综合评分法时，我方</w:t>
      </w:r>
      <w:r>
        <w:rPr>
          <w:rFonts w:cs="Arial"/>
          <w:i w:val="0"/>
          <w:iCs w:val="0"/>
          <w:color w:val="auto"/>
          <w:szCs w:val="24"/>
          <w:highlight w:val="none"/>
        </w:rPr>
        <w:t>完全理解贵方不一定接受最低价的投标。</w:t>
      </w:r>
    </w:p>
    <w:p w14:paraId="3CF5A666">
      <w:pPr>
        <w:numPr>
          <w:ilvl w:val="0"/>
          <w:numId w:val="0"/>
        </w:numPr>
        <w:spacing w:line="324" w:lineRule="auto"/>
        <w:ind w:firstLine="480" w:firstLineChars="200"/>
        <w:jc w:val="both"/>
        <w:rPr>
          <w:rFonts w:cs="Arial"/>
          <w:i w:val="0"/>
          <w:iCs w:val="0"/>
          <w:color w:val="auto"/>
          <w:szCs w:val="24"/>
          <w:highlight w:val="none"/>
        </w:rPr>
      </w:pPr>
      <w:r>
        <w:rPr>
          <w:rFonts w:hint="eastAsia" w:ascii="宋体" w:hAnsi="宋体" w:eastAsia="宋体" w:cs="Arial"/>
          <w:i w:val="0"/>
          <w:iCs w:val="0"/>
          <w:color w:val="auto"/>
          <w:kern w:val="2"/>
          <w:sz w:val="24"/>
          <w:szCs w:val="24"/>
          <w:highlight w:val="none"/>
          <w:lang w:val="en-US" w:eastAsia="zh-CN" w:bidi="ar-SA"/>
        </w:rPr>
        <w:t>6.</w:t>
      </w:r>
      <w:r>
        <w:rPr>
          <w:rFonts w:hint="eastAsia" w:cs="Arial"/>
          <w:i w:val="0"/>
          <w:iCs w:val="0"/>
          <w:color w:val="auto"/>
          <w:szCs w:val="24"/>
          <w:highlight w:val="none"/>
        </w:rPr>
        <w:t>本项目如由中标人支付采购代理服务费，我方同意按投标人须知前附表中规定向采购代理机构支付采购代理服务费。</w:t>
      </w:r>
    </w:p>
    <w:p w14:paraId="6A150207">
      <w:pPr>
        <w:numPr>
          <w:ilvl w:val="0"/>
          <w:numId w:val="0"/>
        </w:numPr>
        <w:snapToGrid w:val="0"/>
        <w:spacing w:line="324" w:lineRule="auto"/>
        <w:ind w:firstLine="480" w:firstLineChars="200"/>
        <w:jc w:val="both"/>
        <w:rPr>
          <w:rFonts w:cs="Arial"/>
          <w:i w:val="0"/>
          <w:iCs w:val="0"/>
          <w:color w:val="auto"/>
          <w:szCs w:val="24"/>
          <w:highlight w:val="none"/>
        </w:rPr>
      </w:pPr>
      <w:r>
        <w:rPr>
          <w:rFonts w:hint="eastAsia" w:ascii="宋体" w:hAnsi="宋体" w:eastAsia="宋体" w:cs="Arial"/>
          <w:i w:val="0"/>
          <w:iCs w:val="0"/>
          <w:color w:val="auto"/>
          <w:kern w:val="2"/>
          <w:sz w:val="24"/>
          <w:szCs w:val="24"/>
          <w:highlight w:val="none"/>
          <w:lang w:val="en-US" w:eastAsia="zh-CN" w:bidi="ar-SA"/>
        </w:rPr>
        <w:t>7.</w:t>
      </w:r>
      <w:r>
        <w:rPr>
          <w:rFonts w:hint="eastAsia" w:cs="Arial"/>
          <w:i w:val="0"/>
          <w:iCs w:val="0"/>
          <w:color w:val="auto"/>
          <w:szCs w:val="24"/>
          <w:highlight w:val="none"/>
        </w:rPr>
        <w:t>重要声明：</w:t>
      </w:r>
    </w:p>
    <w:p w14:paraId="40AFB77A">
      <w:pPr>
        <w:snapToGrid w:val="0"/>
        <w:spacing w:line="324" w:lineRule="auto"/>
        <w:ind w:firstLine="480" w:firstLineChars="200"/>
        <w:rPr>
          <w:i w:val="0"/>
          <w:iCs w:val="0"/>
          <w:color w:val="auto"/>
          <w:szCs w:val="24"/>
          <w:highlight w:val="none"/>
        </w:rPr>
      </w:pPr>
      <w:r>
        <w:rPr>
          <w:rFonts w:hint="eastAsia"/>
          <w:i w:val="0"/>
          <w:iCs w:val="0"/>
          <w:color w:val="auto"/>
          <w:szCs w:val="24"/>
          <w:highlight w:val="none"/>
        </w:rPr>
        <w:t>1）与我方单位负责人为同一人的其他单位名称：</w:t>
      </w:r>
    </w:p>
    <w:p w14:paraId="409D2F71">
      <w:pPr>
        <w:snapToGrid w:val="0"/>
        <w:spacing w:line="324" w:lineRule="auto"/>
        <w:ind w:left="456" w:leftChars="190" w:firstLine="355" w:firstLineChars="148"/>
        <w:rPr>
          <w:i w:val="0"/>
          <w:iCs w:val="0"/>
          <w:color w:val="auto"/>
          <w:szCs w:val="24"/>
          <w:highlight w:val="none"/>
        </w:rPr>
      </w:pPr>
      <w:r>
        <w:rPr>
          <w:rFonts w:hint="eastAsia"/>
          <w:i w:val="0"/>
          <w:iCs w:val="0"/>
          <w:color w:val="auto"/>
          <w:szCs w:val="24"/>
          <w:highlight w:val="none"/>
          <w:lang w:eastAsia="zh-CN"/>
        </w:rPr>
        <w:t>□</w:t>
      </w:r>
      <w:r>
        <w:rPr>
          <w:rFonts w:hint="eastAsia"/>
          <w:i w:val="0"/>
          <w:iCs w:val="0"/>
          <w:color w:val="auto"/>
          <w:szCs w:val="24"/>
          <w:highlight w:val="none"/>
        </w:rPr>
        <w:t>无；</w:t>
      </w:r>
      <w:r>
        <w:rPr>
          <w:rFonts w:hint="eastAsia"/>
          <w:i w:val="0"/>
          <w:iCs w:val="0"/>
          <w:color w:val="auto"/>
          <w:szCs w:val="24"/>
          <w:highlight w:val="none"/>
          <w:lang w:eastAsia="zh-CN"/>
        </w:rPr>
        <w:t>□</w:t>
      </w:r>
      <w:r>
        <w:rPr>
          <w:rFonts w:hint="eastAsia"/>
          <w:i w:val="0"/>
          <w:iCs w:val="0"/>
          <w:color w:val="auto"/>
          <w:szCs w:val="24"/>
          <w:highlight w:val="none"/>
        </w:rPr>
        <w:t>有，具体单位名称为：</w:t>
      </w:r>
      <w:r>
        <w:rPr>
          <w:rFonts w:hint="eastAsia" w:cs="Arial"/>
          <w:i w:val="0"/>
          <w:iCs w:val="0"/>
          <w:color w:val="auto"/>
          <w:szCs w:val="24"/>
          <w:highlight w:val="none"/>
          <w:u w:val="single"/>
        </w:rPr>
        <w:t>（由投标人如实填写）</w:t>
      </w:r>
      <w:r>
        <w:rPr>
          <w:rFonts w:hint="eastAsia"/>
          <w:i w:val="0"/>
          <w:iCs w:val="0"/>
          <w:color w:val="auto"/>
          <w:szCs w:val="24"/>
          <w:highlight w:val="none"/>
        </w:rPr>
        <w:t>。</w:t>
      </w:r>
    </w:p>
    <w:p w14:paraId="0B2F52C6">
      <w:pPr>
        <w:snapToGrid w:val="0"/>
        <w:spacing w:line="324" w:lineRule="auto"/>
        <w:ind w:firstLine="480" w:firstLineChars="200"/>
        <w:rPr>
          <w:i w:val="0"/>
          <w:iCs w:val="0"/>
          <w:color w:val="auto"/>
          <w:szCs w:val="24"/>
          <w:highlight w:val="none"/>
        </w:rPr>
      </w:pPr>
      <w:r>
        <w:rPr>
          <w:rFonts w:hint="eastAsia"/>
          <w:i w:val="0"/>
          <w:iCs w:val="0"/>
          <w:color w:val="auto"/>
          <w:szCs w:val="24"/>
          <w:highlight w:val="none"/>
        </w:rPr>
        <w:t>2）与我方存在控股、管理关系的其他单位的名称：</w:t>
      </w:r>
    </w:p>
    <w:p w14:paraId="3BE8BBB8">
      <w:pPr>
        <w:snapToGrid w:val="0"/>
        <w:spacing w:line="324" w:lineRule="auto"/>
        <w:ind w:left="456" w:leftChars="190" w:firstLine="355" w:firstLineChars="148"/>
        <w:rPr>
          <w:i w:val="0"/>
          <w:iCs w:val="0"/>
          <w:color w:val="auto"/>
          <w:szCs w:val="24"/>
          <w:highlight w:val="none"/>
        </w:rPr>
      </w:pPr>
      <w:r>
        <w:rPr>
          <w:rFonts w:hint="eastAsia"/>
          <w:i w:val="0"/>
          <w:iCs w:val="0"/>
          <w:color w:val="auto"/>
          <w:szCs w:val="24"/>
          <w:highlight w:val="none"/>
          <w:lang w:eastAsia="zh-CN"/>
        </w:rPr>
        <w:t>□</w:t>
      </w:r>
      <w:r>
        <w:rPr>
          <w:rFonts w:hint="eastAsia"/>
          <w:i w:val="0"/>
          <w:iCs w:val="0"/>
          <w:color w:val="auto"/>
          <w:szCs w:val="24"/>
          <w:highlight w:val="none"/>
        </w:rPr>
        <w:t xml:space="preserve">无；□有，具体单位名称为： </w:t>
      </w:r>
      <w:r>
        <w:rPr>
          <w:rFonts w:hint="eastAsia" w:cs="Arial"/>
          <w:i w:val="0"/>
          <w:iCs w:val="0"/>
          <w:color w:val="auto"/>
          <w:szCs w:val="24"/>
          <w:highlight w:val="none"/>
          <w:u w:val="single"/>
        </w:rPr>
        <w:t>（由投标人如实填写）</w:t>
      </w:r>
      <w:r>
        <w:rPr>
          <w:rFonts w:hint="eastAsia"/>
          <w:i w:val="0"/>
          <w:iCs w:val="0"/>
          <w:color w:val="auto"/>
          <w:szCs w:val="24"/>
          <w:highlight w:val="none"/>
        </w:rPr>
        <w:t>。</w:t>
      </w:r>
    </w:p>
    <w:p w14:paraId="1103F8A2">
      <w:pPr>
        <w:snapToGrid w:val="0"/>
        <w:spacing w:line="324" w:lineRule="auto"/>
        <w:ind w:firstLine="480" w:firstLineChars="200"/>
        <w:rPr>
          <w:i w:val="0"/>
          <w:iCs w:val="0"/>
          <w:color w:val="auto"/>
          <w:szCs w:val="24"/>
          <w:highlight w:val="none"/>
        </w:rPr>
      </w:pPr>
      <w:r>
        <w:rPr>
          <w:rFonts w:hint="eastAsia"/>
          <w:i w:val="0"/>
          <w:iCs w:val="0"/>
          <w:color w:val="auto"/>
          <w:szCs w:val="24"/>
          <w:highlight w:val="none"/>
        </w:rPr>
        <w:t>3）参与本项目采购活动前，是否为本项目前期准备提供过整体设计、规范编制或者项目管理、监理、检测等服务：</w:t>
      </w:r>
    </w:p>
    <w:p w14:paraId="73BE978C">
      <w:pPr>
        <w:snapToGrid w:val="0"/>
        <w:spacing w:line="324" w:lineRule="auto"/>
        <w:ind w:left="456" w:leftChars="190" w:firstLine="355" w:firstLineChars="148"/>
        <w:rPr>
          <w:i w:val="0"/>
          <w:iCs w:val="0"/>
          <w:color w:val="auto"/>
          <w:szCs w:val="24"/>
          <w:highlight w:val="none"/>
        </w:rPr>
      </w:pPr>
      <w:r>
        <w:rPr>
          <w:rFonts w:hint="eastAsia"/>
          <w:i w:val="0"/>
          <w:iCs w:val="0"/>
          <w:color w:val="auto"/>
          <w:szCs w:val="24"/>
          <w:highlight w:val="none"/>
          <w:lang w:eastAsia="zh-CN"/>
        </w:rPr>
        <w:t>□</w:t>
      </w:r>
      <w:r>
        <w:rPr>
          <w:rFonts w:hint="eastAsia"/>
          <w:i w:val="0"/>
          <w:iCs w:val="0"/>
          <w:color w:val="auto"/>
          <w:szCs w:val="24"/>
          <w:highlight w:val="none"/>
        </w:rPr>
        <w:t xml:space="preserve">无；□有，已提供的具体服务内容为： </w:t>
      </w:r>
      <w:r>
        <w:rPr>
          <w:rFonts w:hint="eastAsia" w:cs="Arial"/>
          <w:i w:val="0"/>
          <w:iCs w:val="0"/>
          <w:color w:val="auto"/>
          <w:szCs w:val="24"/>
          <w:highlight w:val="none"/>
          <w:u w:val="single"/>
        </w:rPr>
        <w:t>（由投标人如实填写）</w:t>
      </w:r>
      <w:r>
        <w:rPr>
          <w:rFonts w:hint="eastAsia"/>
          <w:i w:val="0"/>
          <w:iCs w:val="0"/>
          <w:color w:val="auto"/>
          <w:szCs w:val="24"/>
          <w:highlight w:val="none"/>
        </w:rPr>
        <w:t>。</w:t>
      </w:r>
    </w:p>
    <w:p w14:paraId="4FC84088">
      <w:pPr>
        <w:spacing w:line="324" w:lineRule="auto"/>
        <w:ind w:firstLine="480" w:firstLineChars="200"/>
        <w:rPr>
          <w:color w:val="auto"/>
          <w:szCs w:val="24"/>
          <w:highlight w:val="none"/>
        </w:rPr>
      </w:pPr>
      <w:r>
        <w:rPr>
          <w:rFonts w:hint="eastAsia"/>
          <w:color w:val="auto"/>
          <w:szCs w:val="24"/>
          <w:highlight w:val="none"/>
        </w:rPr>
        <w:t>（备注：以上</w:t>
      </w:r>
      <w:r>
        <w:rPr>
          <w:color w:val="auto"/>
          <w:szCs w:val="24"/>
          <w:highlight w:val="none"/>
        </w:rPr>
        <w:t>3</w:t>
      </w:r>
      <w:r>
        <w:rPr>
          <w:rFonts w:hint="eastAsia"/>
          <w:color w:val="auto"/>
          <w:szCs w:val="24"/>
          <w:highlight w:val="none"/>
        </w:rPr>
        <w:t>项声明，必须如实选择，选中项用</w:t>
      </w:r>
      <w:r>
        <w:rPr>
          <w:rFonts w:hint="eastAsia"/>
          <w:color w:val="auto"/>
          <w:szCs w:val="24"/>
          <w:highlight w:val="none"/>
          <w:lang w:eastAsia="zh-CN"/>
        </w:rPr>
        <w:t>☑</w:t>
      </w:r>
      <w:r>
        <w:rPr>
          <w:rFonts w:hint="eastAsia"/>
          <w:color w:val="auto"/>
          <w:szCs w:val="24"/>
          <w:highlight w:val="none"/>
        </w:rPr>
        <w:t>表示，未选中项用□表示。①“单位负责人”是指单位法定代表人或者法律、行政法规规定代表单位行使职权的主要负责人。②本条所规定的控股、管理关系仅限于直接控股、直接管理关系，不包括间接的控股或管理关系。③供应商如未如实填报，视为提供虚假材料谋取中标，应承担相应法律责任。）</w:t>
      </w:r>
    </w:p>
    <w:p w14:paraId="19A44DC4">
      <w:pPr>
        <w:snapToGrid w:val="0"/>
        <w:spacing w:line="324" w:lineRule="auto"/>
        <w:ind w:firstLine="480" w:firstLineChars="200"/>
        <w:rPr>
          <w:color w:val="auto"/>
          <w:szCs w:val="24"/>
          <w:highlight w:val="none"/>
        </w:rPr>
      </w:pPr>
      <w:r>
        <w:rPr>
          <w:rFonts w:hint="eastAsia"/>
          <w:color w:val="auto"/>
          <w:szCs w:val="24"/>
          <w:highlight w:val="none"/>
        </w:rPr>
        <w:t>4）我方在本投标文件中所提供的全部资料均真实有效，我方承诺对其真实性负责并承担相应后果。</w:t>
      </w:r>
    </w:p>
    <w:p w14:paraId="5FB2607B">
      <w:pPr>
        <w:snapToGrid w:val="0"/>
        <w:spacing w:line="324" w:lineRule="auto"/>
        <w:ind w:firstLine="480" w:firstLineChars="200"/>
        <w:rPr>
          <w:color w:val="auto"/>
          <w:szCs w:val="24"/>
          <w:highlight w:val="none"/>
        </w:rPr>
      </w:pPr>
      <w:r>
        <w:rPr>
          <w:rFonts w:hint="eastAsia"/>
          <w:color w:val="auto"/>
          <w:szCs w:val="24"/>
          <w:highlight w:val="none"/>
        </w:rPr>
        <w:t>5）</w:t>
      </w:r>
      <w:bookmarkStart w:id="662" w:name="_Hlk161604053"/>
      <w:r>
        <w:rPr>
          <w:rFonts w:hint="eastAsia"/>
          <w:color w:val="auto"/>
          <w:szCs w:val="24"/>
          <w:highlight w:val="none"/>
        </w:rPr>
        <w:t>我方承诺本《投标函》的签章对本投标文件全部内容具有约束力并承担法律责任。</w:t>
      </w:r>
      <w:bookmarkEnd w:id="662"/>
    </w:p>
    <w:p w14:paraId="2A195747">
      <w:pPr>
        <w:spacing w:line="300" w:lineRule="auto"/>
        <w:rPr>
          <w:rFonts w:cs="Arial"/>
          <w:color w:val="auto"/>
          <w:szCs w:val="24"/>
          <w:highlight w:val="none"/>
        </w:rPr>
      </w:pPr>
    </w:p>
    <w:p w14:paraId="3F664789">
      <w:pPr>
        <w:spacing w:line="300" w:lineRule="auto"/>
        <w:rPr>
          <w:rFonts w:cs="Arial"/>
          <w:color w:val="auto"/>
          <w:szCs w:val="24"/>
          <w:highlight w:val="none"/>
        </w:rPr>
      </w:pPr>
    </w:p>
    <w:p w14:paraId="6C365FF0">
      <w:pPr>
        <w:spacing w:line="300" w:lineRule="auto"/>
        <w:rPr>
          <w:rFonts w:cs="Arial"/>
          <w:color w:val="auto"/>
          <w:szCs w:val="24"/>
          <w:highlight w:val="none"/>
        </w:rPr>
      </w:pPr>
    </w:p>
    <w:p w14:paraId="2DB608AC">
      <w:pPr>
        <w:autoSpaceDE w:val="0"/>
        <w:autoSpaceDN w:val="0"/>
        <w:adjustRightInd w:val="0"/>
        <w:snapToGrid w:val="0"/>
        <w:ind w:firstLine="480" w:firstLineChars="200"/>
        <w:rPr>
          <w:rFonts w:cs="宋体"/>
          <w:color w:val="auto"/>
          <w:highlight w:val="none"/>
        </w:rPr>
      </w:pPr>
      <w:r>
        <w:rPr>
          <w:rFonts w:hint="eastAsia" w:cs="宋体"/>
          <w:color w:val="auto"/>
          <w:highlight w:val="none"/>
        </w:rPr>
        <w:t xml:space="preserve">投 </w:t>
      </w:r>
      <w:r>
        <w:rPr>
          <w:rFonts w:cs="宋体"/>
          <w:color w:val="auto"/>
          <w:highlight w:val="none"/>
        </w:rPr>
        <w:t xml:space="preserve">   </w:t>
      </w:r>
      <w:r>
        <w:rPr>
          <w:rFonts w:hint="eastAsia" w:cs="宋体"/>
          <w:color w:val="auto"/>
          <w:highlight w:val="none"/>
        </w:rPr>
        <w:t xml:space="preserve">标 </w:t>
      </w:r>
      <w:r>
        <w:rPr>
          <w:rFonts w:cs="宋体"/>
          <w:color w:val="auto"/>
          <w:highlight w:val="none"/>
        </w:rPr>
        <w:t xml:space="preserve">   </w:t>
      </w:r>
      <w:r>
        <w:rPr>
          <w:rFonts w:hint="eastAsia" w:cs="宋体"/>
          <w:color w:val="auto"/>
          <w:highlight w:val="none"/>
        </w:rPr>
        <w:t>人</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ascii="宋体" w:hAnsi="宋体" w:cs="宋体"/>
          <w:color w:val="auto"/>
          <w:kern w:val="0"/>
          <w:sz w:val="24"/>
          <w:highlight w:val="none"/>
          <w:lang w:val="zh-CN"/>
        </w:rPr>
        <w:t>)：</w:t>
      </w:r>
    </w:p>
    <w:p w14:paraId="6B632FCF">
      <w:pPr>
        <w:autoSpaceDE w:val="0"/>
        <w:autoSpaceDN w:val="0"/>
        <w:adjustRightInd w:val="0"/>
        <w:snapToGrid w:val="0"/>
        <w:ind w:firstLine="480" w:firstLineChars="200"/>
        <w:rPr>
          <w:rFonts w:hint="eastAsia" w:cs="宋体"/>
          <w:color w:val="auto"/>
          <w:highlight w:val="none"/>
        </w:rPr>
      </w:pPr>
      <w:r>
        <w:rPr>
          <w:rFonts w:hint="eastAsia" w:cs="宋体"/>
          <w:color w:val="auto"/>
          <w:highlight w:val="none"/>
        </w:rPr>
        <w:t>法定代表人或授权代表</w:t>
      </w:r>
      <w:r>
        <w:rPr>
          <w:rFonts w:hint="eastAsia" w:cs="宋体"/>
          <w:color w:val="auto"/>
          <w:highlight w:val="none"/>
          <w:lang w:eastAsia="zh-CN"/>
        </w:rPr>
        <w:t>（</w:t>
      </w:r>
      <w:r>
        <w:rPr>
          <w:rFonts w:hint="eastAsia" w:cs="宋体"/>
          <w:color w:val="auto"/>
          <w:highlight w:val="none"/>
        </w:rPr>
        <w:t>签字或印章</w:t>
      </w:r>
      <w:r>
        <w:rPr>
          <w:rFonts w:hint="eastAsia" w:cs="宋体"/>
          <w:color w:val="auto"/>
          <w:highlight w:val="none"/>
          <w:lang w:eastAsia="zh-CN"/>
        </w:rPr>
        <w:t>）</w:t>
      </w:r>
      <w:r>
        <w:rPr>
          <w:rFonts w:hint="eastAsia" w:cs="宋体"/>
          <w:color w:val="auto"/>
          <w:highlight w:val="none"/>
        </w:rPr>
        <w:t>：</w:t>
      </w:r>
    </w:p>
    <w:p w14:paraId="4CCC9D16">
      <w:pPr>
        <w:autoSpaceDE w:val="0"/>
        <w:autoSpaceDN w:val="0"/>
        <w:adjustRightInd w:val="0"/>
        <w:snapToGrid w:val="0"/>
        <w:ind w:firstLine="480" w:firstLineChars="200"/>
        <w:rPr>
          <w:rFonts w:cs="宋体"/>
          <w:color w:val="auto"/>
          <w:highlight w:val="none"/>
        </w:rPr>
      </w:pPr>
      <w:r>
        <w:rPr>
          <w:rFonts w:hint="eastAsia" w:cs="宋体"/>
          <w:color w:val="auto"/>
          <w:highlight w:val="none"/>
        </w:rPr>
        <w:t>通  讯  地  址：</w:t>
      </w:r>
    </w:p>
    <w:p w14:paraId="268281DA">
      <w:pPr>
        <w:autoSpaceDE w:val="0"/>
        <w:autoSpaceDN w:val="0"/>
        <w:adjustRightInd w:val="0"/>
        <w:snapToGrid w:val="0"/>
        <w:ind w:firstLine="480" w:firstLineChars="200"/>
        <w:rPr>
          <w:rFonts w:cs="宋体"/>
          <w:color w:val="auto"/>
          <w:highlight w:val="none"/>
        </w:rPr>
      </w:pPr>
      <w:r>
        <w:rPr>
          <w:rFonts w:hint="eastAsia" w:cs="宋体"/>
          <w:color w:val="auto"/>
          <w:highlight w:val="none"/>
        </w:rPr>
        <w:t xml:space="preserve">传       </w:t>
      </w:r>
      <w:r>
        <w:rPr>
          <w:rFonts w:cs="宋体"/>
          <w:color w:val="auto"/>
          <w:highlight w:val="none"/>
        </w:rPr>
        <w:t xml:space="preserve">   </w:t>
      </w:r>
      <w:r>
        <w:rPr>
          <w:rFonts w:hint="eastAsia" w:cs="宋体"/>
          <w:color w:val="auto"/>
          <w:highlight w:val="none"/>
        </w:rPr>
        <w:t>真：</w:t>
      </w:r>
    </w:p>
    <w:p w14:paraId="0A396883">
      <w:pPr>
        <w:autoSpaceDE w:val="0"/>
        <w:autoSpaceDN w:val="0"/>
        <w:adjustRightInd w:val="0"/>
        <w:snapToGrid w:val="0"/>
        <w:ind w:firstLine="480" w:firstLineChars="200"/>
        <w:rPr>
          <w:rFonts w:cs="宋体"/>
          <w:color w:val="auto"/>
          <w:highlight w:val="none"/>
        </w:rPr>
      </w:pPr>
      <w:r>
        <w:rPr>
          <w:rFonts w:hint="eastAsia" w:cs="宋体"/>
          <w:color w:val="auto"/>
          <w:highlight w:val="none"/>
        </w:rPr>
        <w:t>电          话：</w:t>
      </w:r>
    </w:p>
    <w:p w14:paraId="63C92097">
      <w:pPr>
        <w:ind w:firstLine="480" w:firstLineChars="200"/>
        <w:rPr>
          <w:rFonts w:cs="Arial"/>
          <w:color w:val="auto"/>
          <w:szCs w:val="24"/>
          <w:highlight w:val="none"/>
        </w:rPr>
      </w:pPr>
      <w:r>
        <w:rPr>
          <w:rFonts w:hint="eastAsia" w:cs="宋体"/>
          <w:color w:val="auto"/>
          <w:highlight w:val="none"/>
        </w:rPr>
        <w:t xml:space="preserve">日     </w:t>
      </w:r>
      <w:r>
        <w:rPr>
          <w:rFonts w:cs="宋体"/>
          <w:color w:val="auto"/>
          <w:highlight w:val="none"/>
        </w:rPr>
        <w:t xml:space="preserve">  </w:t>
      </w:r>
      <w:r>
        <w:rPr>
          <w:rFonts w:hint="eastAsia" w:cs="宋体"/>
          <w:color w:val="auto"/>
          <w:highlight w:val="none"/>
        </w:rPr>
        <w:t xml:space="preserve">    期：</w:t>
      </w:r>
    </w:p>
    <w:p w14:paraId="6674502E">
      <w:pPr>
        <w:rPr>
          <w:rFonts w:cs="Arial"/>
          <w:color w:val="auto"/>
          <w:szCs w:val="24"/>
          <w:highlight w:val="none"/>
          <w:u w:val="single"/>
        </w:rPr>
      </w:pPr>
    </w:p>
    <w:p w14:paraId="478BFBB8">
      <w:pPr>
        <w:rPr>
          <w:rFonts w:cs="Arial"/>
          <w:color w:val="auto"/>
          <w:szCs w:val="24"/>
          <w:highlight w:val="none"/>
          <w:u w:val="single"/>
        </w:rPr>
      </w:pPr>
      <w:r>
        <w:rPr>
          <w:rFonts w:cs="Arial"/>
          <w:color w:val="auto"/>
          <w:szCs w:val="24"/>
          <w:highlight w:val="none"/>
          <w:u w:val="single"/>
        </w:rPr>
        <w:br w:type="page"/>
      </w:r>
    </w:p>
    <w:p w14:paraId="24B4BD65">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eastAsia="宋体" w:asciiTheme="majorHAnsi" w:hAnsiTheme="majorHAnsi" w:cstheme="majorBidi"/>
          <w:b/>
          <w:bCs/>
          <w:color w:val="auto"/>
          <w:kern w:val="2"/>
          <w:sz w:val="32"/>
          <w:szCs w:val="32"/>
          <w:highlight w:val="none"/>
          <w:lang w:val="en-US" w:eastAsia="zh-CN" w:bidi="ar-SA"/>
        </w:rPr>
      </w:pPr>
      <w:bookmarkStart w:id="663" w:name="_Toc518"/>
      <w:bookmarkStart w:id="664" w:name="_Toc3285"/>
      <w:bookmarkStart w:id="665" w:name="_Toc155185924"/>
      <w:r>
        <w:rPr>
          <w:rFonts w:hint="eastAsia" w:cstheme="majorBidi"/>
          <w:b/>
          <w:bCs/>
          <w:color w:val="auto"/>
          <w:kern w:val="2"/>
          <w:sz w:val="32"/>
          <w:szCs w:val="32"/>
          <w:highlight w:val="none"/>
          <w:lang w:val="en-US" w:eastAsia="zh-CN" w:bidi="ar-SA"/>
        </w:rPr>
        <w:t>二</w:t>
      </w:r>
      <w:r>
        <w:rPr>
          <w:rFonts w:hint="eastAsia" w:eastAsia="宋体" w:asciiTheme="majorHAnsi" w:hAnsiTheme="majorHAnsi" w:cstheme="majorBidi"/>
          <w:b/>
          <w:bCs/>
          <w:color w:val="auto"/>
          <w:kern w:val="2"/>
          <w:sz w:val="32"/>
          <w:szCs w:val="32"/>
          <w:highlight w:val="none"/>
          <w:lang w:val="en-US" w:eastAsia="zh-CN" w:bidi="ar-SA"/>
        </w:rPr>
        <w:t>、法定代表人（单位负责人）身份证明</w:t>
      </w:r>
      <w:bookmarkEnd w:id="663"/>
      <w:bookmarkEnd w:id="664"/>
      <w:bookmarkEnd w:id="665"/>
    </w:p>
    <w:p w14:paraId="46CF1AA3">
      <w:pPr>
        <w:spacing w:line="480" w:lineRule="auto"/>
        <w:ind w:firstLine="480" w:firstLineChars="200"/>
        <w:rPr>
          <w:rFonts w:hint="eastAsia" w:cs="仿宋_GB2312"/>
          <w:color w:val="auto"/>
          <w:szCs w:val="24"/>
          <w:highlight w:val="none"/>
        </w:rPr>
      </w:pPr>
      <w:r>
        <w:rPr>
          <w:rFonts w:hint="eastAsia" w:cs="仿宋_GB2312"/>
          <w:color w:val="auto"/>
          <w:szCs w:val="24"/>
          <w:highlight w:val="none"/>
          <w:lang w:val="en-US" w:eastAsia="zh-CN"/>
        </w:rPr>
        <w:t xml:space="preserve">致：（采购人或采购代理机构） </w:t>
      </w:r>
    </w:p>
    <w:p w14:paraId="3DE52D6F">
      <w:pPr>
        <w:spacing w:line="480" w:lineRule="auto"/>
        <w:ind w:firstLine="960" w:firstLineChars="400"/>
        <w:rPr>
          <w:rFonts w:hint="eastAsia" w:cs="仿宋_GB2312"/>
          <w:color w:val="auto"/>
          <w:szCs w:val="24"/>
          <w:highlight w:val="none"/>
        </w:rPr>
      </w:pPr>
      <w:r>
        <w:rPr>
          <w:rFonts w:hint="eastAsia" w:cs="仿宋_GB2312"/>
          <w:color w:val="auto"/>
          <w:szCs w:val="24"/>
          <w:highlight w:val="none"/>
          <w:lang w:val="en-US" w:eastAsia="zh-CN"/>
        </w:rPr>
        <w:t xml:space="preserve">兹证明， </w:t>
      </w:r>
    </w:p>
    <w:p w14:paraId="1D36B9E0">
      <w:pPr>
        <w:spacing w:line="480" w:lineRule="auto"/>
        <w:ind w:firstLine="480" w:firstLineChars="200"/>
        <w:rPr>
          <w:rFonts w:hint="eastAsia" w:cs="仿宋_GB2312"/>
          <w:color w:val="auto"/>
          <w:szCs w:val="24"/>
          <w:highlight w:val="none"/>
        </w:rPr>
      </w:pPr>
      <w:r>
        <w:rPr>
          <w:rFonts w:hint="eastAsia" w:cs="仿宋_GB2312"/>
          <w:color w:val="auto"/>
          <w:szCs w:val="24"/>
          <w:highlight w:val="none"/>
          <w:lang w:val="en-US" w:eastAsia="zh-CN"/>
        </w:rPr>
        <w:t xml:space="preserve">姓名：____性别：____年龄：____职务：____ </w:t>
      </w:r>
    </w:p>
    <w:p w14:paraId="38746EB6">
      <w:pPr>
        <w:spacing w:line="480" w:lineRule="auto"/>
        <w:ind w:firstLine="480" w:firstLineChars="200"/>
        <w:rPr>
          <w:rFonts w:hint="eastAsia" w:cs="仿宋_GB2312"/>
          <w:color w:val="auto"/>
          <w:szCs w:val="24"/>
          <w:highlight w:val="none"/>
        </w:rPr>
      </w:pPr>
      <w:r>
        <w:rPr>
          <w:rFonts w:hint="eastAsia" w:cs="仿宋_GB2312"/>
          <w:color w:val="auto"/>
          <w:szCs w:val="24"/>
          <w:highlight w:val="none"/>
          <w:lang w:val="en-US" w:eastAsia="zh-CN"/>
        </w:rPr>
        <w:t xml:space="preserve">系 </w:t>
      </w:r>
      <w:r>
        <w:rPr>
          <w:rFonts w:hint="eastAsia" w:cs="仿宋_GB2312"/>
          <w:color w:val="auto"/>
          <w:szCs w:val="24"/>
          <w:highlight w:val="none"/>
          <w:u w:val="single"/>
          <w:lang w:val="en-US" w:eastAsia="zh-CN"/>
        </w:rPr>
        <w:t xml:space="preserve">            </w:t>
      </w:r>
      <w:r>
        <w:rPr>
          <w:rFonts w:hint="eastAsia" w:cs="仿宋_GB2312"/>
          <w:color w:val="auto"/>
          <w:szCs w:val="24"/>
          <w:highlight w:val="none"/>
          <w:lang w:val="en-US" w:eastAsia="zh-CN"/>
        </w:rPr>
        <w:t xml:space="preserve">（投标人名称）的法定代表人（单位负责人）。 </w:t>
      </w:r>
    </w:p>
    <w:p w14:paraId="3B002BC6">
      <w:pPr>
        <w:spacing w:line="480" w:lineRule="auto"/>
        <w:ind w:firstLine="480" w:firstLineChars="200"/>
        <w:rPr>
          <w:rFonts w:hint="eastAsia" w:cs="仿宋_GB2312"/>
          <w:color w:val="auto"/>
          <w:szCs w:val="24"/>
          <w:highlight w:val="none"/>
        </w:rPr>
      </w:pPr>
      <w:r>
        <w:rPr>
          <w:rFonts w:hint="eastAsia" w:cs="仿宋_GB2312"/>
          <w:color w:val="auto"/>
          <w:szCs w:val="24"/>
          <w:highlight w:val="none"/>
          <w:lang w:val="en-US" w:eastAsia="zh-CN"/>
        </w:rPr>
        <w:t xml:space="preserve">附：法定代表人（单位负责人）身份证、护照等身份证明文件电子件： </w:t>
      </w:r>
    </w:p>
    <w:p w14:paraId="60A8C36F">
      <w:pPr>
        <w:spacing w:line="480" w:lineRule="auto"/>
        <w:ind w:firstLine="480" w:firstLineChars="200"/>
        <w:rPr>
          <w:rFonts w:cs="仿宋_GB2312"/>
          <w:color w:val="auto"/>
          <w:szCs w:val="24"/>
          <w:highlight w:val="none"/>
        </w:rPr>
      </w:pPr>
    </w:p>
    <w:p w14:paraId="473563CD">
      <w:pPr>
        <w:rPr>
          <w:rFonts w:cs="Arial"/>
          <w:color w:val="auto"/>
          <w:sz w:val="21"/>
          <w:szCs w:val="21"/>
          <w:highlight w:val="none"/>
        </w:rPr>
      </w:pPr>
    </w:p>
    <w:tbl>
      <w:tblPr>
        <w:tblStyle w:val="29"/>
        <w:tblW w:w="85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7"/>
      </w:tblGrid>
      <w:tr w14:paraId="2D4F4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1" w:hRule="atLeast"/>
        </w:trPr>
        <w:tc>
          <w:tcPr>
            <w:tcW w:w="8527" w:type="dxa"/>
          </w:tcPr>
          <w:p w14:paraId="4B7B7E19">
            <w:pPr>
              <w:rPr>
                <w:rFonts w:cs="Arial"/>
                <w:color w:val="auto"/>
                <w:highlight w:val="none"/>
              </w:rPr>
            </w:pPr>
          </w:p>
        </w:tc>
      </w:tr>
    </w:tbl>
    <w:p w14:paraId="76B5C725">
      <w:pPr>
        <w:ind w:firstLine="840" w:firstLineChars="350"/>
        <w:jc w:val="center"/>
        <w:rPr>
          <w:rFonts w:cs="Arial"/>
          <w:color w:val="auto"/>
          <w:highlight w:val="none"/>
        </w:rPr>
      </w:pPr>
    </w:p>
    <w:p w14:paraId="4AD74708">
      <w:pPr>
        <w:keepNext w:val="0"/>
        <w:keepLines w:val="0"/>
        <w:widowControl/>
        <w:suppressLineNumbers w:val="0"/>
        <w:jc w:val="left"/>
        <w:rPr>
          <w:color w:val="auto"/>
          <w:highlight w:val="none"/>
        </w:rPr>
      </w:pPr>
      <w:r>
        <w:rPr>
          <w:rFonts w:hint="eastAsia" w:ascii="宋体" w:hAnsi="宋体" w:eastAsia="宋体" w:cs="宋体"/>
          <w:color w:val="auto"/>
          <w:kern w:val="0"/>
          <w:sz w:val="24"/>
          <w:szCs w:val="24"/>
          <w:highlight w:val="none"/>
          <w:lang w:val="en-US" w:eastAsia="zh-CN" w:bidi="ar"/>
        </w:rPr>
        <w:t>投标人名称</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ascii="宋体" w:hAnsi="宋体" w:cs="宋体"/>
          <w:color w:val="auto"/>
          <w:kern w:val="0"/>
          <w:sz w:val="24"/>
          <w:highlight w:val="none"/>
          <w:lang w:val="zh-CN"/>
        </w:rPr>
        <w:t>)：</w:t>
      </w:r>
      <w:r>
        <w:rPr>
          <w:rFonts w:ascii="DejaVuSans" w:hAnsi="DejaVuSans" w:eastAsia="DejaVuSans" w:cs="DejaVuSans"/>
          <w:color w:val="auto"/>
          <w:kern w:val="0"/>
          <w:sz w:val="24"/>
          <w:szCs w:val="24"/>
          <w:highlight w:val="none"/>
          <w:lang w:val="en-US" w:eastAsia="zh-CN" w:bidi="ar"/>
        </w:rPr>
        <w:t xml:space="preserve">________________ </w:t>
      </w:r>
    </w:p>
    <w:p w14:paraId="364A1245">
      <w:pPr>
        <w:keepNext w:val="0"/>
        <w:keepLines w:val="0"/>
        <w:widowControl/>
        <w:suppressLineNumbers w:val="0"/>
        <w:jc w:val="left"/>
        <w:rPr>
          <w:color w:val="auto"/>
          <w:highlight w:val="none"/>
        </w:rPr>
      </w:pPr>
      <w:r>
        <w:rPr>
          <w:rFonts w:hint="eastAsia" w:ascii="宋体" w:hAnsi="宋体" w:eastAsia="宋体" w:cs="宋体"/>
          <w:color w:val="auto"/>
          <w:kern w:val="0"/>
          <w:sz w:val="24"/>
          <w:szCs w:val="24"/>
          <w:highlight w:val="none"/>
          <w:lang w:val="en-US" w:eastAsia="zh-CN" w:bidi="ar"/>
        </w:rPr>
        <w:t>法定代表人（单位负责人）（签字或</w:t>
      </w:r>
      <w:r>
        <w:rPr>
          <w:rFonts w:hint="eastAsia" w:cs="宋体"/>
          <w:color w:val="auto"/>
          <w:kern w:val="0"/>
          <w:sz w:val="24"/>
          <w:szCs w:val="24"/>
          <w:highlight w:val="none"/>
          <w:lang w:eastAsia="zh-CN"/>
        </w:rPr>
        <w:t>盖</w:t>
      </w:r>
      <w:r>
        <w:rPr>
          <w:rFonts w:hint="eastAsia" w:ascii="宋体" w:hAnsi="宋体" w:eastAsia="宋体" w:cs="宋体"/>
          <w:color w:val="auto"/>
          <w:kern w:val="0"/>
          <w:sz w:val="24"/>
          <w:szCs w:val="24"/>
          <w:highlight w:val="none"/>
          <w:lang w:eastAsia="zh-CN"/>
        </w:rPr>
        <w:t>章</w:t>
      </w:r>
      <w:r>
        <w:rPr>
          <w:rFonts w:hint="eastAsia" w:ascii="宋体" w:hAnsi="宋体" w:eastAsia="宋体" w:cs="宋体"/>
          <w:color w:val="auto"/>
          <w:kern w:val="0"/>
          <w:sz w:val="24"/>
          <w:szCs w:val="24"/>
          <w:highlight w:val="none"/>
          <w:lang w:val="en-US" w:eastAsia="zh-CN" w:bidi="ar"/>
        </w:rPr>
        <w:t>）：</w:t>
      </w:r>
      <w:r>
        <w:rPr>
          <w:rFonts w:hint="default" w:ascii="DejaVuSans" w:hAnsi="DejaVuSans" w:eastAsia="DejaVuSans" w:cs="DejaVuSans"/>
          <w:color w:val="auto"/>
          <w:kern w:val="0"/>
          <w:sz w:val="24"/>
          <w:szCs w:val="24"/>
          <w:highlight w:val="none"/>
          <w:lang w:val="en-US" w:eastAsia="zh-CN" w:bidi="ar"/>
        </w:rPr>
        <w:t xml:space="preserve">_______ </w:t>
      </w:r>
    </w:p>
    <w:p w14:paraId="10B3C29F">
      <w:pPr>
        <w:keepNext w:val="0"/>
        <w:keepLines w:val="0"/>
        <w:widowControl/>
        <w:suppressLineNumbers w:val="0"/>
        <w:jc w:val="left"/>
        <w:rPr>
          <w:rFonts w:hint="eastAsia" w:ascii="宋体" w:hAnsi="宋体" w:eastAsia="宋体" w:cs="宋体"/>
          <w:color w:val="auto"/>
          <w:kern w:val="0"/>
          <w:sz w:val="24"/>
          <w:szCs w:val="24"/>
          <w:highlight w:val="none"/>
          <w:lang w:val="en-US" w:eastAsia="zh-CN" w:bidi="ar"/>
        </w:rPr>
      </w:pPr>
    </w:p>
    <w:p w14:paraId="7239FE13">
      <w:pPr>
        <w:keepNext w:val="0"/>
        <w:keepLines w:val="0"/>
        <w:widowControl/>
        <w:suppressLineNumbers w:val="0"/>
        <w:jc w:val="left"/>
        <w:rPr>
          <w:color w:val="auto"/>
          <w:highlight w:val="none"/>
        </w:rPr>
      </w:pPr>
      <w:r>
        <w:rPr>
          <w:rFonts w:hint="eastAsia" w:ascii="宋体" w:hAnsi="宋体" w:eastAsia="宋体" w:cs="宋体"/>
          <w:color w:val="auto"/>
          <w:kern w:val="0"/>
          <w:sz w:val="24"/>
          <w:szCs w:val="24"/>
          <w:highlight w:val="none"/>
          <w:lang w:val="en-US" w:eastAsia="zh-CN" w:bidi="ar"/>
        </w:rPr>
        <w:t>日期：</w:t>
      </w:r>
      <w:r>
        <w:rPr>
          <w:rFonts w:hint="default" w:ascii="DejaVuSans" w:hAnsi="DejaVuSans" w:eastAsia="DejaVuSans" w:cs="DejaVuSans"/>
          <w:color w:val="auto"/>
          <w:kern w:val="0"/>
          <w:sz w:val="24"/>
          <w:szCs w:val="24"/>
          <w:highlight w:val="none"/>
          <w:lang w:val="en-US" w:eastAsia="zh-CN" w:bidi="ar"/>
        </w:rPr>
        <w:t>_____</w:t>
      </w:r>
      <w:r>
        <w:rPr>
          <w:rFonts w:hint="eastAsia" w:ascii="宋体" w:hAnsi="宋体" w:eastAsia="宋体" w:cs="宋体"/>
          <w:color w:val="auto"/>
          <w:kern w:val="0"/>
          <w:sz w:val="24"/>
          <w:szCs w:val="24"/>
          <w:highlight w:val="none"/>
          <w:lang w:val="en-US" w:eastAsia="zh-CN" w:bidi="ar"/>
        </w:rPr>
        <w:t>年</w:t>
      </w:r>
      <w:r>
        <w:rPr>
          <w:rFonts w:hint="default" w:ascii="DejaVuSans" w:hAnsi="DejaVuSans" w:eastAsia="DejaVuSans" w:cs="DejaVuSans"/>
          <w:color w:val="auto"/>
          <w:kern w:val="0"/>
          <w:sz w:val="24"/>
          <w:szCs w:val="24"/>
          <w:highlight w:val="none"/>
          <w:lang w:val="en-US" w:eastAsia="zh-CN" w:bidi="ar"/>
        </w:rPr>
        <w:t>______</w:t>
      </w:r>
      <w:r>
        <w:rPr>
          <w:rFonts w:hint="eastAsia" w:ascii="宋体" w:hAnsi="宋体" w:eastAsia="宋体" w:cs="宋体"/>
          <w:color w:val="auto"/>
          <w:kern w:val="0"/>
          <w:sz w:val="24"/>
          <w:szCs w:val="24"/>
          <w:highlight w:val="none"/>
          <w:lang w:val="en-US" w:eastAsia="zh-CN" w:bidi="ar"/>
        </w:rPr>
        <w:t>月</w:t>
      </w:r>
      <w:r>
        <w:rPr>
          <w:rFonts w:hint="default" w:ascii="DejaVuSans" w:hAnsi="DejaVuSans" w:eastAsia="DejaVuSans" w:cs="DejaVuSans"/>
          <w:color w:val="auto"/>
          <w:kern w:val="0"/>
          <w:sz w:val="24"/>
          <w:szCs w:val="24"/>
          <w:highlight w:val="none"/>
          <w:lang w:val="en-US" w:eastAsia="zh-CN" w:bidi="ar"/>
        </w:rPr>
        <w:t>______</w:t>
      </w:r>
      <w:r>
        <w:rPr>
          <w:rFonts w:hint="eastAsia" w:ascii="宋体" w:hAnsi="宋体" w:eastAsia="宋体" w:cs="宋体"/>
          <w:color w:val="auto"/>
          <w:kern w:val="0"/>
          <w:sz w:val="24"/>
          <w:szCs w:val="24"/>
          <w:highlight w:val="none"/>
          <w:lang w:val="en-US" w:eastAsia="zh-CN" w:bidi="ar"/>
        </w:rPr>
        <w:t>日</w:t>
      </w:r>
    </w:p>
    <w:p w14:paraId="6948CD78">
      <w:pPr>
        <w:rPr>
          <w:b/>
          <w:color w:val="auto"/>
          <w:sz w:val="28"/>
          <w:szCs w:val="28"/>
          <w:highlight w:val="none"/>
        </w:rPr>
      </w:pPr>
    </w:p>
    <w:p w14:paraId="04FDD702">
      <w:pPr>
        <w:rPr>
          <w:b/>
          <w:color w:val="auto"/>
          <w:sz w:val="28"/>
          <w:szCs w:val="28"/>
          <w:highlight w:val="none"/>
        </w:rPr>
      </w:pPr>
      <w:r>
        <w:rPr>
          <w:b/>
          <w:color w:val="auto"/>
          <w:sz w:val="28"/>
          <w:szCs w:val="28"/>
          <w:highlight w:val="none"/>
        </w:rPr>
        <w:br w:type="page"/>
      </w:r>
    </w:p>
    <w:p w14:paraId="0EEE8A23">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eastAsia="宋体" w:asciiTheme="majorHAnsi" w:hAnsiTheme="majorHAnsi" w:cstheme="majorBidi"/>
          <w:b/>
          <w:bCs/>
          <w:color w:val="auto"/>
          <w:kern w:val="2"/>
          <w:sz w:val="32"/>
          <w:szCs w:val="32"/>
          <w:highlight w:val="none"/>
          <w:lang w:val="en-US" w:eastAsia="zh-CN" w:bidi="ar-SA"/>
        </w:rPr>
      </w:pPr>
      <w:bookmarkStart w:id="666" w:name="_Toc22585"/>
      <w:bookmarkStart w:id="667" w:name="_Toc155185925"/>
      <w:bookmarkStart w:id="668" w:name="_Toc29531"/>
      <w:r>
        <w:rPr>
          <w:rFonts w:hint="eastAsia" w:cstheme="majorBidi"/>
          <w:b/>
          <w:bCs/>
          <w:color w:val="auto"/>
          <w:kern w:val="2"/>
          <w:sz w:val="32"/>
          <w:szCs w:val="32"/>
          <w:highlight w:val="none"/>
          <w:lang w:val="en-US" w:eastAsia="zh-CN" w:bidi="ar-SA"/>
        </w:rPr>
        <w:t>三</w:t>
      </w:r>
      <w:r>
        <w:rPr>
          <w:rFonts w:hint="eastAsia" w:eastAsia="宋体" w:asciiTheme="majorHAnsi" w:hAnsiTheme="majorHAnsi" w:cstheme="majorBidi"/>
          <w:b/>
          <w:bCs/>
          <w:color w:val="auto"/>
          <w:kern w:val="2"/>
          <w:sz w:val="32"/>
          <w:szCs w:val="32"/>
          <w:highlight w:val="none"/>
          <w:lang w:val="en-US" w:eastAsia="zh-CN" w:bidi="ar-SA"/>
        </w:rPr>
        <w:t>、授权委托书</w:t>
      </w:r>
      <w:bookmarkEnd w:id="666"/>
      <w:bookmarkEnd w:id="667"/>
      <w:bookmarkEnd w:id="668"/>
    </w:p>
    <w:p w14:paraId="593F068D">
      <w:pPr>
        <w:ind w:firstLine="480" w:firstLineChars="200"/>
        <w:rPr>
          <w:rFonts w:cs="仿宋_GB2312"/>
          <w:color w:val="auto"/>
          <w:szCs w:val="24"/>
          <w:highlight w:val="none"/>
        </w:rPr>
      </w:pPr>
      <w:r>
        <w:rPr>
          <w:rFonts w:hint="eastAsia" w:cs="仿宋_GB2312"/>
          <w:color w:val="auto"/>
          <w:szCs w:val="24"/>
          <w:highlight w:val="none"/>
        </w:rPr>
        <w:t>本人</w:t>
      </w:r>
      <w:r>
        <w:rPr>
          <w:rFonts w:cs="仿宋_GB2312"/>
          <w:color w:val="auto"/>
          <w:szCs w:val="24"/>
          <w:highlight w:val="none"/>
          <w:u w:val="single"/>
        </w:rPr>
        <w:t xml:space="preserve">     </w:t>
      </w:r>
      <w:r>
        <w:rPr>
          <w:rFonts w:hint="eastAsia" w:cs="仿宋_GB2312"/>
          <w:color w:val="auto"/>
          <w:szCs w:val="24"/>
          <w:highlight w:val="none"/>
          <w:u w:val="none"/>
        </w:rPr>
        <w:t>（姓名）</w:t>
      </w:r>
      <w:r>
        <w:rPr>
          <w:rFonts w:hint="eastAsia" w:cs="仿宋_GB2312"/>
          <w:color w:val="auto"/>
          <w:szCs w:val="24"/>
          <w:highlight w:val="none"/>
        </w:rPr>
        <w:t>系</w:t>
      </w:r>
      <w:r>
        <w:rPr>
          <w:rFonts w:hint="eastAsia" w:cs="仿宋_GB2312"/>
          <w:color w:val="auto"/>
          <w:szCs w:val="24"/>
          <w:highlight w:val="none"/>
          <w:u w:val="single"/>
        </w:rPr>
        <w:t xml:space="preserve">   </w:t>
      </w:r>
      <w:r>
        <w:rPr>
          <w:rFonts w:hint="eastAsia" w:cs="仿宋_GB2312"/>
          <w:color w:val="auto"/>
          <w:szCs w:val="24"/>
          <w:highlight w:val="none"/>
          <w:u w:val="single"/>
          <w:lang w:val="en-US" w:eastAsia="zh-CN"/>
        </w:rPr>
        <w:t xml:space="preserve">     </w:t>
      </w:r>
      <w:r>
        <w:rPr>
          <w:rFonts w:hint="eastAsia" w:cs="仿宋_GB2312"/>
          <w:color w:val="auto"/>
          <w:szCs w:val="24"/>
          <w:highlight w:val="none"/>
          <w:u w:val="single"/>
        </w:rPr>
        <w:t xml:space="preserve">  </w:t>
      </w:r>
      <w:r>
        <w:rPr>
          <w:rFonts w:hint="eastAsia" w:cs="仿宋_GB2312"/>
          <w:color w:val="auto"/>
          <w:szCs w:val="24"/>
          <w:highlight w:val="none"/>
          <w:u w:val="none"/>
        </w:rPr>
        <w:t>（投标人名称）</w:t>
      </w:r>
      <w:r>
        <w:rPr>
          <w:rFonts w:hint="eastAsia" w:cs="仿宋_GB2312"/>
          <w:color w:val="auto"/>
          <w:szCs w:val="24"/>
          <w:highlight w:val="none"/>
        </w:rPr>
        <w:t>的法定代表人</w:t>
      </w:r>
      <w:r>
        <w:rPr>
          <w:rFonts w:hint="eastAsia"/>
          <w:color w:val="auto"/>
          <w:highlight w:val="none"/>
        </w:rPr>
        <w:t>（</w:t>
      </w:r>
      <w:r>
        <w:rPr>
          <w:rFonts w:hint="eastAsia"/>
          <w:color w:val="auto"/>
          <w:highlight w:val="none"/>
          <w:lang w:val="en-US" w:eastAsia="zh-CN"/>
        </w:rPr>
        <w:t>单位</w:t>
      </w:r>
      <w:r>
        <w:rPr>
          <w:rFonts w:hint="eastAsia"/>
          <w:color w:val="auto"/>
          <w:highlight w:val="none"/>
        </w:rPr>
        <w:t>负责人）</w:t>
      </w:r>
      <w:r>
        <w:rPr>
          <w:rFonts w:hint="eastAsia" w:cs="仿宋_GB2312"/>
          <w:color w:val="auto"/>
          <w:szCs w:val="24"/>
          <w:highlight w:val="none"/>
        </w:rPr>
        <w:t>，现委托</w:t>
      </w:r>
      <w:r>
        <w:rPr>
          <w:rFonts w:hint="eastAsia" w:cs="仿宋_GB2312"/>
          <w:color w:val="auto"/>
          <w:szCs w:val="24"/>
          <w:highlight w:val="none"/>
          <w:u w:val="single"/>
        </w:rPr>
        <w:t xml:space="preserve">     </w:t>
      </w:r>
      <w:r>
        <w:rPr>
          <w:rFonts w:hint="eastAsia" w:cs="仿宋_GB2312"/>
          <w:color w:val="auto"/>
          <w:szCs w:val="24"/>
          <w:highlight w:val="none"/>
        </w:rPr>
        <w:t>（姓名）为我方代理人。代理人根据授权，以我方名义签署、澄清</w:t>
      </w:r>
      <w:r>
        <w:rPr>
          <w:rFonts w:hint="eastAsia" w:cs="仿宋_GB2312"/>
          <w:color w:val="auto"/>
          <w:szCs w:val="24"/>
          <w:highlight w:val="none"/>
          <w:lang w:val="en-US" w:eastAsia="zh-CN"/>
        </w:rPr>
        <w:t>确认</w:t>
      </w:r>
      <w:r>
        <w:rPr>
          <w:rFonts w:hint="eastAsia" w:cs="仿宋_GB2312"/>
          <w:color w:val="auto"/>
          <w:szCs w:val="24"/>
          <w:highlight w:val="none"/>
        </w:rPr>
        <w:t>、说明、补正、递交、撤回、修改</w:t>
      </w:r>
      <w:r>
        <w:rPr>
          <w:rFonts w:hint="eastAsia" w:cs="仿宋_GB2312"/>
          <w:color w:val="auto"/>
          <w:szCs w:val="24"/>
          <w:highlight w:val="none"/>
          <w:u w:val="single"/>
        </w:rPr>
        <w:t xml:space="preserve">   </w:t>
      </w:r>
      <w:r>
        <w:rPr>
          <w:rFonts w:hint="eastAsia" w:cs="仿宋_GB2312"/>
          <w:color w:val="auto"/>
          <w:szCs w:val="24"/>
          <w:highlight w:val="none"/>
          <w:u w:val="single"/>
          <w:lang w:val="en-US" w:eastAsia="zh-CN"/>
        </w:rPr>
        <w:t xml:space="preserve">      </w:t>
      </w:r>
      <w:r>
        <w:rPr>
          <w:rFonts w:hint="eastAsia" w:cs="仿宋_GB2312"/>
          <w:color w:val="auto"/>
          <w:szCs w:val="24"/>
          <w:highlight w:val="none"/>
          <w:u w:val="single"/>
        </w:rPr>
        <w:t xml:space="preserve">  </w:t>
      </w:r>
      <w:r>
        <w:rPr>
          <w:rFonts w:hint="eastAsia" w:cs="仿宋_GB2312"/>
          <w:color w:val="auto"/>
          <w:szCs w:val="24"/>
          <w:highlight w:val="none"/>
        </w:rPr>
        <w:t>（项目名称）投标文件、签订合同和处理有关事宜，其法律后果由我方承担。</w:t>
      </w:r>
    </w:p>
    <w:p w14:paraId="56B80D1C">
      <w:pPr>
        <w:ind w:firstLine="480" w:firstLineChars="200"/>
        <w:rPr>
          <w:rFonts w:hint="eastAsia" w:cs="仿宋_GB2312"/>
          <w:color w:val="auto"/>
          <w:szCs w:val="24"/>
          <w:highlight w:val="none"/>
        </w:rPr>
      </w:pPr>
      <w:r>
        <w:rPr>
          <w:rFonts w:hint="eastAsia" w:cs="仿宋_GB2312"/>
          <w:color w:val="auto"/>
          <w:szCs w:val="24"/>
          <w:highlight w:val="none"/>
        </w:rPr>
        <w:t>委托期限：</w:t>
      </w:r>
      <w:r>
        <w:rPr>
          <w:rFonts w:hint="eastAsia" w:cs="仿宋_GB2312"/>
          <w:color w:val="auto"/>
          <w:szCs w:val="24"/>
          <w:highlight w:val="none"/>
          <w:lang w:val="en-US" w:eastAsia="zh-CN"/>
        </w:rPr>
        <w:t>自本授权委托书签署之日起至投标有效期届满之日止。</w:t>
      </w:r>
    </w:p>
    <w:p w14:paraId="0A605ABE">
      <w:pPr>
        <w:ind w:firstLine="480" w:firstLineChars="200"/>
        <w:rPr>
          <w:rFonts w:cs="仿宋_GB2312"/>
          <w:color w:val="auto"/>
          <w:szCs w:val="24"/>
          <w:highlight w:val="none"/>
        </w:rPr>
      </w:pPr>
      <w:r>
        <w:rPr>
          <w:rFonts w:hint="eastAsia" w:cs="仿宋_GB2312"/>
          <w:color w:val="auto"/>
          <w:szCs w:val="24"/>
          <w:highlight w:val="none"/>
        </w:rPr>
        <w:t>代理人无转委托权。</w:t>
      </w:r>
    </w:p>
    <w:p w14:paraId="03C5EAD4">
      <w:pPr>
        <w:keepNext w:val="0"/>
        <w:keepLines w:val="0"/>
        <w:pageBreakBefore w:val="0"/>
        <w:widowControl w:val="0"/>
        <w:kinsoku/>
        <w:wordWrap/>
        <w:overflowPunct/>
        <w:topLinePunct w:val="0"/>
        <w:autoSpaceDE/>
        <w:autoSpaceDN/>
        <w:bidi w:val="0"/>
        <w:adjustRightInd/>
        <w:snapToGrid/>
        <w:spacing w:line="240" w:lineRule="exact"/>
        <w:ind w:firstLine="480" w:firstLineChars="200"/>
        <w:textAlignment w:val="auto"/>
        <w:rPr>
          <w:rFonts w:hint="eastAsia" w:cs="仿宋_GB2312"/>
          <w:color w:val="auto"/>
          <w:szCs w:val="24"/>
          <w:highlight w:val="none"/>
        </w:rPr>
      </w:pPr>
    </w:p>
    <w:p w14:paraId="27333291">
      <w:pPr>
        <w:keepNext w:val="0"/>
        <w:keepLines w:val="0"/>
        <w:pageBreakBefore w:val="0"/>
        <w:widowControl/>
        <w:suppressLineNumbers w:val="0"/>
        <w:kinsoku/>
        <w:wordWrap/>
        <w:overflowPunct/>
        <w:topLinePunct w:val="0"/>
        <w:autoSpaceDE/>
        <w:autoSpaceDN/>
        <w:bidi w:val="0"/>
        <w:adjustRightInd/>
        <w:snapToGrid/>
        <w:jc w:val="left"/>
        <w:textAlignment w:val="auto"/>
        <w:rPr>
          <w:color w:val="auto"/>
          <w:highlight w:val="none"/>
        </w:rPr>
      </w:pPr>
      <w:r>
        <w:rPr>
          <w:rFonts w:hint="eastAsia" w:ascii="宋体" w:hAnsi="宋体" w:eastAsia="宋体" w:cs="宋体"/>
          <w:color w:val="auto"/>
          <w:kern w:val="0"/>
          <w:sz w:val="24"/>
          <w:szCs w:val="24"/>
          <w:highlight w:val="none"/>
          <w:lang w:val="en-US" w:eastAsia="zh-CN" w:bidi="ar"/>
        </w:rPr>
        <w:t>投标人名称</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ascii="宋体" w:hAnsi="宋体" w:cs="宋体"/>
          <w:color w:val="auto"/>
          <w:kern w:val="0"/>
          <w:sz w:val="24"/>
          <w:highlight w:val="none"/>
          <w:lang w:val="zh-CN"/>
        </w:rPr>
        <w:t>)：</w:t>
      </w:r>
      <w:r>
        <w:rPr>
          <w:rFonts w:ascii="DejaVuSans" w:hAnsi="DejaVuSans" w:eastAsia="DejaVuSans" w:cs="DejaVuSans"/>
          <w:color w:val="auto"/>
          <w:kern w:val="0"/>
          <w:sz w:val="24"/>
          <w:szCs w:val="24"/>
          <w:highlight w:val="none"/>
          <w:lang w:val="en-US" w:eastAsia="zh-CN" w:bidi="ar"/>
        </w:rPr>
        <w:t xml:space="preserve">________________ </w:t>
      </w:r>
    </w:p>
    <w:p w14:paraId="4CD5B2EF">
      <w:pPr>
        <w:keepNext w:val="0"/>
        <w:keepLines w:val="0"/>
        <w:pageBreakBefore w:val="0"/>
        <w:widowControl/>
        <w:suppressLineNumbers w:val="0"/>
        <w:kinsoku/>
        <w:wordWrap/>
        <w:overflowPunct/>
        <w:topLinePunct w:val="0"/>
        <w:autoSpaceDE/>
        <w:autoSpaceDN/>
        <w:bidi w:val="0"/>
        <w:adjustRightInd/>
        <w:snapToGrid/>
        <w:jc w:val="left"/>
        <w:textAlignment w:val="auto"/>
        <w:rPr>
          <w:color w:val="auto"/>
          <w:highlight w:val="none"/>
        </w:rPr>
      </w:pPr>
      <w:r>
        <w:rPr>
          <w:rFonts w:hint="eastAsia" w:ascii="宋体" w:hAnsi="宋体" w:eastAsia="宋体" w:cs="宋体"/>
          <w:color w:val="auto"/>
          <w:kern w:val="0"/>
          <w:sz w:val="24"/>
          <w:szCs w:val="24"/>
          <w:highlight w:val="none"/>
          <w:lang w:val="en-US" w:eastAsia="zh-CN" w:bidi="ar"/>
        </w:rPr>
        <w:t>法定代表人（单位负责人）（签字或</w:t>
      </w:r>
      <w:r>
        <w:rPr>
          <w:rFonts w:hint="eastAsia" w:cs="宋体"/>
          <w:color w:val="auto"/>
          <w:kern w:val="0"/>
          <w:sz w:val="24"/>
          <w:szCs w:val="24"/>
          <w:highlight w:val="none"/>
          <w:lang w:eastAsia="zh-CN"/>
        </w:rPr>
        <w:t>盖</w:t>
      </w:r>
      <w:r>
        <w:rPr>
          <w:rFonts w:hint="eastAsia" w:ascii="宋体" w:hAnsi="宋体" w:eastAsia="宋体" w:cs="宋体"/>
          <w:color w:val="auto"/>
          <w:kern w:val="0"/>
          <w:sz w:val="24"/>
          <w:szCs w:val="24"/>
          <w:highlight w:val="none"/>
          <w:lang w:eastAsia="zh-CN"/>
        </w:rPr>
        <w:t>章</w:t>
      </w:r>
      <w:r>
        <w:rPr>
          <w:rFonts w:hint="eastAsia" w:ascii="宋体" w:hAnsi="宋体" w:eastAsia="宋体" w:cs="宋体"/>
          <w:color w:val="auto"/>
          <w:kern w:val="0"/>
          <w:sz w:val="24"/>
          <w:szCs w:val="24"/>
          <w:highlight w:val="none"/>
          <w:lang w:val="en-US" w:eastAsia="zh-CN" w:bidi="ar"/>
        </w:rPr>
        <w:t>）：</w:t>
      </w:r>
      <w:r>
        <w:rPr>
          <w:rFonts w:hint="default" w:ascii="DejaVuSans" w:hAnsi="DejaVuSans" w:eastAsia="DejaVuSans" w:cs="DejaVuSans"/>
          <w:color w:val="auto"/>
          <w:kern w:val="0"/>
          <w:sz w:val="24"/>
          <w:szCs w:val="24"/>
          <w:highlight w:val="none"/>
          <w:lang w:val="en-US" w:eastAsia="zh-CN" w:bidi="ar"/>
        </w:rPr>
        <w:t xml:space="preserve">________________ </w:t>
      </w:r>
    </w:p>
    <w:p w14:paraId="77AA3C36">
      <w:pPr>
        <w:keepNext w:val="0"/>
        <w:keepLines w:val="0"/>
        <w:pageBreakBefore w:val="0"/>
        <w:widowControl/>
        <w:suppressLineNumbers w:val="0"/>
        <w:kinsoku/>
        <w:wordWrap/>
        <w:overflowPunct/>
        <w:topLinePunct w:val="0"/>
        <w:autoSpaceDE/>
        <w:autoSpaceDN/>
        <w:bidi w:val="0"/>
        <w:adjustRightInd/>
        <w:snapToGrid/>
        <w:jc w:val="left"/>
        <w:textAlignment w:val="auto"/>
        <w:rPr>
          <w:color w:val="auto"/>
          <w:highlight w:val="none"/>
        </w:rPr>
      </w:pPr>
      <w:r>
        <w:rPr>
          <w:rFonts w:hint="eastAsia" w:ascii="宋体" w:hAnsi="宋体" w:eastAsia="宋体" w:cs="宋体"/>
          <w:color w:val="auto"/>
          <w:kern w:val="0"/>
          <w:sz w:val="24"/>
          <w:szCs w:val="24"/>
          <w:highlight w:val="none"/>
          <w:lang w:val="en-US" w:eastAsia="zh-CN" w:bidi="ar"/>
        </w:rPr>
        <w:t>委托代理人（签字或</w:t>
      </w:r>
      <w:r>
        <w:rPr>
          <w:rFonts w:hint="eastAsia" w:cs="宋体"/>
          <w:color w:val="auto"/>
          <w:kern w:val="0"/>
          <w:sz w:val="24"/>
          <w:szCs w:val="24"/>
          <w:highlight w:val="none"/>
          <w:lang w:eastAsia="zh-CN"/>
        </w:rPr>
        <w:t>盖</w:t>
      </w:r>
      <w:r>
        <w:rPr>
          <w:rFonts w:hint="eastAsia" w:ascii="宋体" w:hAnsi="宋体" w:eastAsia="宋体" w:cs="宋体"/>
          <w:color w:val="auto"/>
          <w:kern w:val="0"/>
          <w:sz w:val="24"/>
          <w:szCs w:val="24"/>
          <w:highlight w:val="none"/>
          <w:lang w:eastAsia="zh-CN"/>
        </w:rPr>
        <w:t>章</w:t>
      </w:r>
      <w:r>
        <w:rPr>
          <w:rFonts w:hint="eastAsia" w:ascii="宋体" w:hAnsi="宋体" w:eastAsia="宋体" w:cs="宋体"/>
          <w:color w:val="auto"/>
          <w:kern w:val="0"/>
          <w:sz w:val="24"/>
          <w:szCs w:val="24"/>
          <w:highlight w:val="none"/>
          <w:lang w:val="en-US" w:eastAsia="zh-CN" w:bidi="ar"/>
        </w:rPr>
        <w:t>）：</w:t>
      </w:r>
      <w:r>
        <w:rPr>
          <w:rFonts w:hint="default" w:ascii="DejaVuSans" w:hAnsi="DejaVuSans" w:eastAsia="DejaVuSans" w:cs="DejaVuSans"/>
          <w:color w:val="auto"/>
          <w:kern w:val="0"/>
          <w:sz w:val="24"/>
          <w:szCs w:val="24"/>
          <w:highlight w:val="none"/>
          <w:lang w:val="en-US" w:eastAsia="zh-CN" w:bidi="ar"/>
        </w:rPr>
        <w:t xml:space="preserve">________________ </w:t>
      </w:r>
      <w:r>
        <w:rPr>
          <w:rFonts w:hint="eastAsia" w:ascii="DejaVuSans" w:hAnsi="DejaVuSans" w:eastAsia="DejaVuSans" w:cs="DejaVuSans"/>
          <w:color w:val="auto"/>
          <w:kern w:val="0"/>
          <w:sz w:val="24"/>
          <w:szCs w:val="24"/>
          <w:highlight w:val="none"/>
          <w:lang w:val="en-US" w:eastAsia="zh-CN" w:bidi="ar"/>
        </w:rPr>
        <w:t xml:space="preserve">   联系电话：</w:t>
      </w:r>
      <w:r>
        <w:rPr>
          <w:rFonts w:hint="eastAsia" w:ascii="DejaVuSans" w:hAnsi="DejaVuSans" w:eastAsia="DejaVuSans" w:cs="DejaVuSans"/>
          <w:color w:val="auto"/>
          <w:kern w:val="0"/>
          <w:sz w:val="24"/>
          <w:szCs w:val="24"/>
          <w:highlight w:val="none"/>
          <w:u w:val="single"/>
          <w:lang w:val="en-US" w:eastAsia="zh-CN" w:bidi="ar"/>
        </w:rPr>
        <w:t xml:space="preserve">               </w:t>
      </w:r>
      <w:r>
        <w:rPr>
          <w:rFonts w:hint="default" w:ascii="DejaVuSans" w:hAnsi="DejaVuSans" w:eastAsia="DejaVuSans" w:cs="DejaVuSans"/>
          <w:color w:val="auto"/>
          <w:kern w:val="0"/>
          <w:sz w:val="24"/>
          <w:szCs w:val="24"/>
          <w:highlight w:val="none"/>
          <w:lang w:val="en-US" w:eastAsia="zh-CN" w:bidi="ar"/>
        </w:rPr>
        <w:t xml:space="preserve"> </w:t>
      </w:r>
    </w:p>
    <w:p w14:paraId="4FD66B47">
      <w:pPr>
        <w:keepNext w:val="0"/>
        <w:keepLines w:val="0"/>
        <w:pageBreakBefore w:val="0"/>
        <w:widowControl/>
        <w:suppressLineNumbers w:val="0"/>
        <w:kinsoku/>
        <w:wordWrap/>
        <w:overflowPunct/>
        <w:topLinePunct w:val="0"/>
        <w:autoSpaceDE/>
        <w:autoSpaceDN/>
        <w:bidi w:val="0"/>
        <w:adjustRightInd/>
        <w:snapToGrid/>
        <w:jc w:val="left"/>
        <w:textAlignment w:val="auto"/>
        <w:rPr>
          <w:color w:val="auto"/>
          <w:highlight w:val="none"/>
        </w:rPr>
      </w:pPr>
      <w:r>
        <w:rPr>
          <w:rFonts w:hint="eastAsia" w:ascii="宋体" w:hAnsi="宋体" w:eastAsia="宋体" w:cs="宋体"/>
          <w:color w:val="auto"/>
          <w:kern w:val="0"/>
          <w:sz w:val="24"/>
          <w:szCs w:val="24"/>
          <w:highlight w:val="none"/>
          <w:lang w:val="en-US" w:eastAsia="zh-CN" w:bidi="ar"/>
        </w:rPr>
        <w:t>日期：</w:t>
      </w:r>
      <w:r>
        <w:rPr>
          <w:rFonts w:hint="default" w:ascii="DejaVuSans" w:hAnsi="DejaVuSans" w:eastAsia="DejaVuSans" w:cs="DejaVuSans"/>
          <w:color w:val="auto"/>
          <w:kern w:val="0"/>
          <w:sz w:val="24"/>
          <w:szCs w:val="24"/>
          <w:highlight w:val="none"/>
          <w:lang w:val="en-US" w:eastAsia="zh-CN" w:bidi="ar"/>
        </w:rPr>
        <w:t>_____</w:t>
      </w:r>
      <w:r>
        <w:rPr>
          <w:rFonts w:hint="eastAsia" w:ascii="宋体" w:hAnsi="宋体" w:eastAsia="宋体" w:cs="宋体"/>
          <w:color w:val="auto"/>
          <w:kern w:val="0"/>
          <w:sz w:val="24"/>
          <w:szCs w:val="24"/>
          <w:highlight w:val="none"/>
          <w:lang w:val="en-US" w:eastAsia="zh-CN" w:bidi="ar"/>
        </w:rPr>
        <w:t>年</w:t>
      </w:r>
      <w:r>
        <w:rPr>
          <w:rFonts w:hint="default" w:ascii="DejaVuSans" w:hAnsi="DejaVuSans" w:eastAsia="DejaVuSans" w:cs="DejaVuSans"/>
          <w:color w:val="auto"/>
          <w:kern w:val="0"/>
          <w:sz w:val="24"/>
          <w:szCs w:val="24"/>
          <w:highlight w:val="none"/>
          <w:lang w:val="en-US" w:eastAsia="zh-CN" w:bidi="ar"/>
        </w:rPr>
        <w:t>______</w:t>
      </w:r>
      <w:r>
        <w:rPr>
          <w:rFonts w:hint="eastAsia" w:ascii="宋体" w:hAnsi="宋体" w:eastAsia="宋体" w:cs="宋体"/>
          <w:color w:val="auto"/>
          <w:kern w:val="0"/>
          <w:sz w:val="24"/>
          <w:szCs w:val="24"/>
          <w:highlight w:val="none"/>
          <w:lang w:val="en-US" w:eastAsia="zh-CN" w:bidi="ar"/>
        </w:rPr>
        <w:t>月</w:t>
      </w:r>
      <w:r>
        <w:rPr>
          <w:rFonts w:hint="default" w:ascii="DejaVuSans" w:hAnsi="DejaVuSans" w:eastAsia="DejaVuSans" w:cs="DejaVuSans"/>
          <w:color w:val="auto"/>
          <w:kern w:val="0"/>
          <w:sz w:val="24"/>
          <w:szCs w:val="24"/>
          <w:highlight w:val="none"/>
          <w:lang w:val="en-US" w:eastAsia="zh-CN" w:bidi="ar"/>
        </w:rPr>
        <w:t>______</w:t>
      </w:r>
      <w:r>
        <w:rPr>
          <w:rFonts w:hint="eastAsia" w:ascii="宋体" w:hAnsi="宋体" w:eastAsia="宋体" w:cs="宋体"/>
          <w:color w:val="auto"/>
          <w:kern w:val="0"/>
          <w:sz w:val="24"/>
          <w:szCs w:val="24"/>
          <w:highlight w:val="none"/>
          <w:lang w:val="en-US" w:eastAsia="zh-CN" w:bidi="ar"/>
        </w:rPr>
        <w:t xml:space="preserve">日 </w:t>
      </w:r>
    </w:p>
    <w:p w14:paraId="0D7E210D">
      <w:pPr>
        <w:keepNext w:val="0"/>
        <w:keepLines w:val="0"/>
        <w:pageBreakBefore w:val="0"/>
        <w:widowControl w:val="0"/>
        <w:kinsoku/>
        <w:wordWrap/>
        <w:overflowPunct/>
        <w:topLinePunct w:val="0"/>
        <w:autoSpaceDE/>
        <w:autoSpaceDN/>
        <w:bidi w:val="0"/>
        <w:adjustRightInd/>
        <w:snapToGrid/>
        <w:spacing w:line="240" w:lineRule="exact"/>
        <w:ind w:firstLine="480" w:firstLineChars="200"/>
        <w:textAlignment w:val="auto"/>
        <w:rPr>
          <w:rFonts w:hint="eastAsia" w:cs="仿宋_GB2312"/>
          <w:color w:val="auto"/>
          <w:szCs w:val="24"/>
          <w:highlight w:val="none"/>
          <w:lang w:val="en-US" w:eastAsia="zh-CN"/>
        </w:rPr>
      </w:pPr>
    </w:p>
    <w:p w14:paraId="7CE346A7">
      <w:pPr>
        <w:keepNext w:val="0"/>
        <w:keepLines w:val="0"/>
        <w:pageBreakBefore w:val="0"/>
        <w:widowControl/>
        <w:suppressLineNumbers w:val="0"/>
        <w:kinsoku/>
        <w:wordWrap/>
        <w:overflowPunct/>
        <w:topLinePunct w:val="0"/>
        <w:autoSpaceDE/>
        <w:autoSpaceDN/>
        <w:bidi w:val="0"/>
        <w:adjustRightInd/>
        <w:snapToGrid/>
        <w:jc w:val="left"/>
        <w:textAlignment w:val="auto"/>
        <w:rPr>
          <w:color w:val="auto"/>
          <w:highlight w:val="none"/>
        </w:rPr>
      </w:pPr>
      <w:r>
        <w:rPr>
          <w:rFonts w:hint="eastAsia" w:ascii="宋体" w:hAnsi="宋体" w:eastAsia="宋体" w:cs="宋体"/>
          <w:color w:val="auto"/>
          <w:kern w:val="0"/>
          <w:sz w:val="24"/>
          <w:szCs w:val="24"/>
          <w:highlight w:val="none"/>
          <w:lang w:val="en-US" w:eastAsia="zh-CN" w:bidi="ar"/>
        </w:rPr>
        <w:t xml:space="preserve">附：法定代表人及委托代理人身份证明文件电子件： </w:t>
      </w:r>
    </w:p>
    <w:tbl>
      <w:tblPr>
        <w:tblStyle w:val="29"/>
        <w:tblW w:w="85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7"/>
      </w:tblGrid>
      <w:tr w14:paraId="6A575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1" w:hRule="atLeast"/>
        </w:trPr>
        <w:tc>
          <w:tcPr>
            <w:tcW w:w="8527" w:type="dxa"/>
          </w:tcPr>
          <w:p w14:paraId="66EBC6FA">
            <w:pPr>
              <w:rPr>
                <w:rFonts w:cs="Arial"/>
                <w:color w:val="auto"/>
                <w:highlight w:val="none"/>
              </w:rPr>
            </w:pPr>
          </w:p>
        </w:tc>
      </w:tr>
    </w:tbl>
    <w:p w14:paraId="003FC2D7">
      <w:pPr>
        <w:ind w:firstLine="480" w:firstLineChars="200"/>
        <w:rPr>
          <w:rFonts w:hint="eastAsia" w:cs="仿宋_GB2312"/>
          <w:color w:val="auto"/>
          <w:szCs w:val="24"/>
          <w:highlight w:val="none"/>
        </w:rPr>
      </w:pPr>
      <w:r>
        <w:rPr>
          <w:rFonts w:hint="eastAsia" w:cs="仿宋_GB2312"/>
          <w:color w:val="auto"/>
          <w:szCs w:val="24"/>
          <w:highlight w:val="none"/>
          <w:lang w:val="en-US" w:eastAsia="zh-CN"/>
        </w:rPr>
        <w:t xml:space="preserve">说明： </w:t>
      </w:r>
    </w:p>
    <w:p w14:paraId="6A6FAC65">
      <w:pPr>
        <w:ind w:firstLine="480" w:firstLineChars="200"/>
        <w:rPr>
          <w:rFonts w:hint="eastAsia" w:cs="仿宋_GB2312"/>
          <w:color w:val="auto"/>
          <w:szCs w:val="24"/>
          <w:highlight w:val="none"/>
        </w:rPr>
      </w:pPr>
      <w:r>
        <w:rPr>
          <w:rFonts w:hint="eastAsia" w:cs="仿宋_GB2312"/>
          <w:color w:val="auto"/>
          <w:szCs w:val="24"/>
          <w:highlight w:val="none"/>
          <w:lang w:val="en-US" w:eastAsia="zh-CN"/>
        </w:rPr>
        <w:t xml:space="preserve">1.若投标人为事业单位或其他组织或分支机构，则法定代表人（单位负责人）处的签署人可为单位负责人。 </w:t>
      </w:r>
    </w:p>
    <w:p w14:paraId="7579C425">
      <w:pPr>
        <w:ind w:firstLine="480" w:firstLineChars="200"/>
        <w:rPr>
          <w:rFonts w:hint="eastAsia" w:cs="仿宋_GB2312"/>
          <w:color w:val="auto"/>
          <w:szCs w:val="24"/>
          <w:highlight w:val="none"/>
        </w:rPr>
      </w:pPr>
      <w:r>
        <w:rPr>
          <w:rFonts w:hint="default" w:cs="仿宋_GB2312"/>
          <w:color w:val="auto"/>
          <w:szCs w:val="24"/>
          <w:highlight w:val="none"/>
          <w:lang w:val="en-US" w:eastAsia="zh-CN"/>
        </w:rPr>
        <w:t>2.</w:t>
      </w:r>
      <w:r>
        <w:rPr>
          <w:rFonts w:hint="eastAsia" w:cs="仿宋_GB2312"/>
          <w:color w:val="auto"/>
          <w:szCs w:val="24"/>
          <w:highlight w:val="none"/>
          <w:lang w:val="en-US" w:eastAsia="zh-CN"/>
        </w:rPr>
        <w:t xml:space="preserve">若投标文件中签字之处均为法定代表人（单位负责人）本人签署，则可不提供本《授权委托书》，但须提供《法定代表人（单位负责人）身份证明》。 </w:t>
      </w:r>
    </w:p>
    <w:p w14:paraId="7D81952A">
      <w:pPr>
        <w:ind w:firstLine="480" w:firstLineChars="200"/>
        <w:rPr>
          <w:rFonts w:hint="eastAsia" w:cs="仿宋_GB2312"/>
          <w:color w:val="auto"/>
          <w:szCs w:val="24"/>
          <w:highlight w:val="none"/>
        </w:rPr>
      </w:pPr>
      <w:r>
        <w:rPr>
          <w:rFonts w:hint="default" w:cs="仿宋_GB2312"/>
          <w:color w:val="auto"/>
          <w:szCs w:val="24"/>
          <w:highlight w:val="none"/>
          <w:lang w:val="en-US" w:eastAsia="zh-CN"/>
        </w:rPr>
        <w:t>3.</w:t>
      </w:r>
      <w:r>
        <w:rPr>
          <w:rFonts w:hint="eastAsia" w:cs="仿宋_GB2312"/>
          <w:color w:val="auto"/>
          <w:szCs w:val="24"/>
          <w:highlight w:val="none"/>
          <w:lang w:val="en-US" w:eastAsia="zh-CN"/>
        </w:rPr>
        <w:t xml:space="preserve">投标人为自然人的情形，可不提供本《授权委托书》。 </w:t>
      </w:r>
    </w:p>
    <w:p w14:paraId="16E91B57">
      <w:pPr>
        <w:ind w:firstLine="480" w:firstLineChars="200"/>
        <w:rPr>
          <w:rFonts w:hint="eastAsia" w:cs="仿宋_GB2312"/>
          <w:color w:val="auto"/>
          <w:szCs w:val="24"/>
          <w:highlight w:val="none"/>
        </w:rPr>
      </w:pPr>
      <w:r>
        <w:rPr>
          <w:rFonts w:hint="default" w:cs="仿宋_GB2312"/>
          <w:color w:val="auto"/>
          <w:szCs w:val="24"/>
          <w:highlight w:val="none"/>
          <w:lang w:val="en-US" w:eastAsia="zh-CN"/>
        </w:rPr>
        <w:t>4.</w:t>
      </w:r>
      <w:r>
        <w:rPr>
          <w:rFonts w:hint="eastAsia" w:cs="仿宋_GB2312"/>
          <w:color w:val="auto"/>
          <w:szCs w:val="24"/>
          <w:highlight w:val="none"/>
          <w:lang w:val="en-US" w:eastAsia="zh-CN"/>
        </w:rPr>
        <w:t>投标人应随本《授权委托书》同时提供法定代表人（单位负责人）及委托代理人的有效的身份证、护照等身份证明文件电子件。提供身份证的，应同时提供身份证</w:t>
      </w:r>
      <w:r>
        <w:rPr>
          <w:rFonts w:hint="eastAsia" w:cs="仿宋_GB2312"/>
          <w:b/>
          <w:bCs/>
          <w:color w:val="auto"/>
          <w:szCs w:val="24"/>
          <w:highlight w:val="none"/>
          <w:lang w:val="en-US" w:eastAsia="zh-CN"/>
        </w:rPr>
        <w:t>双面</w:t>
      </w:r>
      <w:r>
        <w:rPr>
          <w:rFonts w:hint="eastAsia" w:cs="仿宋_GB2312"/>
          <w:color w:val="auto"/>
          <w:szCs w:val="24"/>
          <w:highlight w:val="none"/>
          <w:lang w:val="en-US" w:eastAsia="zh-CN"/>
        </w:rPr>
        <w:t>电子件。</w:t>
      </w:r>
    </w:p>
    <w:p w14:paraId="0B2EBA16">
      <w:pPr>
        <w:rPr>
          <w:color w:val="auto"/>
          <w:highlight w:val="none"/>
        </w:rPr>
      </w:pPr>
      <w:r>
        <w:rPr>
          <w:color w:val="auto"/>
          <w:highlight w:val="none"/>
        </w:rPr>
        <w:br w:type="page"/>
      </w:r>
    </w:p>
    <w:p w14:paraId="117D25C9">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eastAsia="宋体" w:asciiTheme="majorHAnsi" w:hAnsiTheme="majorHAnsi" w:cstheme="majorBidi"/>
          <w:b/>
          <w:bCs/>
          <w:color w:val="auto"/>
          <w:kern w:val="2"/>
          <w:sz w:val="32"/>
          <w:szCs w:val="32"/>
          <w:highlight w:val="none"/>
          <w:lang w:val="en-US" w:eastAsia="zh-CN" w:bidi="ar-SA"/>
        </w:rPr>
      </w:pPr>
      <w:bookmarkStart w:id="669" w:name="_Toc163492928"/>
      <w:bookmarkStart w:id="670" w:name="_Toc155185934"/>
      <w:bookmarkStart w:id="671" w:name="_Toc30910"/>
      <w:bookmarkStart w:id="672" w:name="_Toc12455"/>
      <w:r>
        <w:rPr>
          <w:rFonts w:hint="eastAsia" w:cstheme="majorBidi"/>
          <w:b/>
          <w:bCs/>
          <w:color w:val="auto"/>
          <w:kern w:val="2"/>
          <w:sz w:val="32"/>
          <w:szCs w:val="32"/>
          <w:highlight w:val="none"/>
          <w:lang w:val="en-US" w:eastAsia="zh-CN" w:bidi="ar-SA"/>
        </w:rPr>
        <w:t>四</w:t>
      </w:r>
      <w:r>
        <w:rPr>
          <w:rFonts w:hint="eastAsia" w:eastAsia="宋体" w:asciiTheme="majorHAnsi" w:hAnsiTheme="majorHAnsi" w:cstheme="majorBidi"/>
          <w:b/>
          <w:bCs/>
          <w:color w:val="auto"/>
          <w:kern w:val="2"/>
          <w:sz w:val="32"/>
          <w:szCs w:val="32"/>
          <w:highlight w:val="none"/>
          <w:lang w:val="en-US" w:eastAsia="zh-CN" w:bidi="ar-SA"/>
        </w:rPr>
        <w:t>、</w:t>
      </w:r>
      <w:bookmarkEnd w:id="669"/>
      <w:bookmarkEnd w:id="670"/>
      <w:r>
        <w:rPr>
          <w:rFonts w:hint="eastAsia" w:eastAsia="宋体" w:asciiTheme="majorHAnsi" w:hAnsiTheme="majorHAnsi" w:cstheme="majorBidi"/>
          <w:b/>
          <w:bCs/>
          <w:color w:val="auto"/>
          <w:kern w:val="2"/>
          <w:sz w:val="32"/>
          <w:szCs w:val="32"/>
          <w:highlight w:val="none"/>
          <w:lang w:val="zh-CN" w:eastAsia="zh-CN" w:bidi="ar-SA"/>
        </w:rPr>
        <w:t>政府采购</w:t>
      </w:r>
      <w:r>
        <w:rPr>
          <w:rFonts w:hint="eastAsia" w:cstheme="majorBidi"/>
          <w:b/>
          <w:bCs/>
          <w:color w:val="auto"/>
          <w:kern w:val="2"/>
          <w:sz w:val="32"/>
          <w:szCs w:val="32"/>
          <w:highlight w:val="none"/>
          <w:lang w:val="en-US" w:eastAsia="zh-CN" w:bidi="ar-SA"/>
        </w:rPr>
        <w:t>投标人</w:t>
      </w:r>
      <w:r>
        <w:rPr>
          <w:rFonts w:hint="eastAsia" w:eastAsia="宋体" w:asciiTheme="majorHAnsi" w:hAnsiTheme="majorHAnsi" w:cstheme="majorBidi"/>
          <w:b/>
          <w:bCs/>
          <w:color w:val="auto"/>
          <w:kern w:val="2"/>
          <w:sz w:val="32"/>
          <w:szCs w:val="32"/>
          <w:highlight w:val="none"/>
          <w:lang w:val="zh-CN" w:eastAsia="zh-CN" w:bidi="ar-SA"/>
        </w:rPr>
        <w:t>廉洁自律承诺书</w:t>
      </w:r>
      <w:bookmarkEnd w:id="671"/>
      <w:bookmarkEnd w:id="672"/>
    </w:p>
    <w:p w14:paraId="2AB445CF">
      <w:pPr>
        <w:pStyle w:val="13"/>
        <w:rPr>
          <w:color w:val="auto"/>
          <w:highlight w:val="none"/>
        </w:rPr>
      </w:pPr>
    </w:p>
    <w:p w14:paraId="2CE177B4">
      <w:pPr>
        <w:snapToGrid w:val="0"/>
        <w:spacing w:line="360" w:lineRule="auto"/>
        <w:rPr>
          <w:rFonts w:ascii="宋体" w:hAnsi="宋体" w:cs="宋体"/>
          <w:color w:val="auto"/>
          <w:kern w:val="0"/>
          <w:sz w:val="24"/>
          <w:szCs w:val="24"/>
          <w:highlight w:val="none"/>
        </w:rPr>
      </w:pPr>
      <w:r>
        <w:rPr>
          <w:rFonts w:hint="eastAsia" w:ascii="宋体" w:hAnsi="宋体" w:cs="宋体"/>
          <w:color w:val="auto"/>
          <w:sz w:val="24"/>
          <w:szCs w:val="24"/>
          <w:highlight w:val="none"/>
        </w:rPr>
        <w:t>（采购人）、（采购代理机构）</w:t>
      </w:r>
      <w:r>
        <w:rPr>
          <w:rFonts w:hint="eastAsia" w:ascii="宋体" w:hAnsi="宋体" w:cs="宋体"/>
          <w:color w:val="auto"/>
          <w:kern w:val="0"/>
          <w:sz w:val="24"/>
          <w:szCs w:val="24"/>
          <w:highlight w:val="none"/>
          <w:lang w:val="zh-CN"/>
        </w:rPr>
        <w:t>：</w:t>
      </w:r>
    </w:p>
    <w:p w14:paraId="2139BFB4">
      <w:pPr>
        <w:autoSpaceDE w:val="0"/>
        <w:autoSpaceDN w:val="0"/>
        <w:spacing w:line="360" w:lineRule="auto"/>
        <w:ind w:left="2" w:leftChars="1" w:firstLine="480" w:firstLineChars="200"/>
        <w:jc w:val="left"/>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我单位响应你</w:t>
      </w:r>
      <w:r>
        <w:rPr>
          <w:rFonts w:hint="eastAsia" w:ascii="宋体" w:hAnsi="宋体" w:cs="宋体"/>
          <w:color w:val="auto"/>
          <w:sz w:val="24"/>
          <w:szCs w:val="24"/>
          <w:highlight w:val="none"/>
        </w:rPr>
        <w:t>单位</w:t>
      </w:r>
      <w:r>
        <w:rPr>
          <w:rFonts w:hint="eastAsia" w:ascii="宋体" w:hAnsi="宋体" w:cs="宋体"/>
          <w:color w:val="auto"/>
          <w:kern w:val="0"/>
          <w:sz w:val="24"/>
          <w:szCs w:val="24"/>
          <w:highlight w:val="none"/>
          <w:lang w:val="zh-CN"/>
        </w:rPr>
        <w:t>项目招标</w:t>
      </w:r>
      <w:r>
        <w:rPr>
          <w:rFonts w:hint="eastAsia" w:ascii="宋体" w:hAnsi="宋体" w:cs="宋体"/>
          <w:color w:val="auto"/>
          <w:kern w:val="0"/>
          <w:sz w:val="24"/>
          <w:szCs w:val="24"/>
          <w:highlight w:val="none"/>
          <w:lang w:val="en-US" w:eastAsia="zh-CN"/>
        </w:rPr>
        <w:t>文件</w:t>
      </w:r>
      <w:r>
        <w:rPr>
          <w:rFonts w:hint="eastAsia" w:ascii="宋体" w:hAnsi="宋体" w:cs="宋体"/>
          <w:color w:val="auto"/>
          <w:kern w:val="0"/>
          <w:sz w:val="24"/>
          <w:szCs w:val="24"/>
          <w:highlight w:val="none"/>
          <w:lang w:val="zh-CN"/>
        </w:rPr>
        <w:t>要求参加投标。在这次投标过程中和中标后，我们将严格遵守国家法律法规要求，并郑重承诺：</w:t>
      </w:r>
    </w:p>
    <w:p w14:paraId="2B87D13C">
      <w:pPr>
        <w:autoSpaceDE w:val="0"/>
        <w:autoSpaceDN w:val="0"/>
        <w:spacing w:line="360" w:lineRule="auto"/>
        <w:ind w:left="2" w:leftChars="1" w:firstLine="480" w:firstLineChars="200"/>
        <w:jc w:val="left"/>
        <w:rPr>
          <w:rFonts w:hint="eastAsia"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 xml:space="preserve">一、不向项目有关人员及部门赠送礼金礼物、有价证券、回扣以及中介费、介绍费、咨询费等好处费； </w:t>
      </w:r>
    </w:p>
    <w:p w14:paraId="063D62B4">
      <w:pPr>
        <w:autoSpaceDE w:val="0"/>
        <w:autoSpaceDN w:val="0"/>
        <w:spacing w:line="360" w:lineRule="auto"/>
        <w:ind w:left="2" w:leftChars="1" w:firstLine="480" w:firstLineChars="200"/>
        <w:jc w:val="left"/>
        <w:rPr>
          <w:rFonts w:hint="eastAsia"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 xml:space="preserve">二、不为项目有关人员及部门报销应由你方单位或个人支付的费用； </w:t>
      </w:r>
    </w:p>
    <w:p w14:paraId="5ADDE615">
      <w:pPr>
        <w:autoSpaceDE w:val="0"/>
        <w:autoSpaceDN w:val="0"/>
        <w:spacing w:line="360" w:lineRule="auto"/>
        <w:ind w:left="2" w:leftChars="1" w:firstLine="480" w:firstLineChars="200"/>
        <w:jc w:val="left"/>
        <w:rPr>
          <w:rFonts w:hint="eastAsia"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三、不向项目有关人员及部门提供有可能影响公正的宴请和健身娱乐等活动；</w:t>
      </w:r>
    </w:p>
    <w:p w14:paraId="6B70337F">
      <w:pPr>
        <w:autoSpaceDE w:val="0"/>
        <w:autoSpaceDN w:val="0"/>
        <w:spacing w:line="360" w:lineRule="auto"/>
        <w:ind w:left="2" w:leftChars="1" w:firstLine="480" w:firstLineChars="200"/>
        <w:jc w:val="left"/>
        <w:rPr>
          <w:rFonts w:hint="eastAsia"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四、不为项目有关人员及部门出国（境）、旅游等提供方便；</w:t>
      </w:r>
    </w:p>
    <w:p w14:paraId="6421E616">
      <w:pPr>
        <w:autoSpaceDE w:val="0"/>
        <w:autoSpaceDN w:val="0"/>
        <w:spacing w:line="360" w:lineRule="auto"/>
        <w:ind w:left="2" w:leftChars="1" w:firstLine="480" w:firstLineChars="200"/>
        <w:jc w:val="left"/>
        <w:rPr>
          <w:rFonts w:hint="eastAsia"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五、不为项目有关人员个人装修住房、婚丧嫁娶、配偶子女工作安排等提供好处；</w:t>
      </w:r>
    </w:p>
    <w:p w14:paraId="663761CE">
      <w:pPr>
        <w:autoSpaceDE w:val="0"/>
        <w:autoSpaceDN w:val="0"/>
        <w:spacing w:line="360" w:lineRule="auto"/>
        <w:ind w:left="2" w:leftChars="1" w:firstLine="480" w:firstLineChars="200"/>
        <w:jc w:val="left"/>
        <w:rPr>
          <w:rFonts w:hint="eastAsia"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六、严格遵守《中华人民共和国政府采购法》</w:t>
      </w:r>
      <w:r>
        <w:rPr>
          <w:rFonts w:hint="eastAsia"/>
          <w:color w:val="auto"/>
          <w:highlight w:val="none"/>
        </w:rPr>
        <w:t>《中华人民共和国政府采购法</w:t>
      </w:r>
      <w:r>
        <w:rPr>
          <w:rFonts w:hint="eastAsia"/>
          <w:color w:val="auto"/>
          <w:highlight w:val="none"/>
          <w:lang w:val="en-US" w:eastAsia="zh-CN"/>
        </w:rPr>
        <w:t>实施条例</w:t>
      </w:r>
      <w:r>
        <w:rPr>
          <w:rFonts w:hint="eastAsia"/>
          <w:color w:val="auto"/>
          <w:highlight w:val="none"/>
        </w:rPr>
        <w:t>》</w:t>
      </w:r>
      <w:r>
        <w:rPr>
          <w:rFonts w:hint="eastAsia" w:ascii="宋体" w:hAnsi="宋体" w:cs="宋体"/>
          <w:color w:val="auto"/>
          <w:kern w:val="0"/>
          <w:sz w:val="24"/>
          <w:szCs w:val="24"/>
          <w:highlight w:val="none"/>
          <w:lang w:val="zh-CN"/>
        </w:rPr>
        <w:t xml:space="preserve">《中华人民共和国民法典》等法律法规，诚实守信，合法经营，坚决抵制各种违法违纪行为。 </w:t>
      </w:r>
    </w:p>
    <w:p w14:paraId="5C8FD2B8">
      <w:pPr>
        <w:autoSpaceDE w:val="0"/>
        <w:autoSpaceDN w:val="0"/>
        <w:spacing w:line="360" w:lineRule="auto"/>
        <w:ind w:left="2" w:leftChars="1" w:firstLine="480" w:firstLineChars="200"/>
        <w:jc w:val="left"/>
        <w:rPr>
          <w:rFonts w:hint="eastAsia"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如违反上述承诺，你单位有权立即取消我单位投标、中标或在建项目的建设资格，有权拒绝我单位在一定时期内进入你单位进行项目建设或其他经营活动，并通报财政局。由此引起的相应损失均由我单位承担。</w:t>
      </w:r>
    </w:p>
    <w:p w14:paraId="5E22ECB4">
      <w:pPr>
        <w:autoSpaceDE w:val="0"/>
        <w:autoSpaceDN w:val="0"/>
        <w:spacing w:line="360" w:lineRule="auto"/>
        <w:ind w:left="2"/>
        <w:jc w:val="left"/>
        <w:rPr>
          <w:rFonts w:ascii="宋体" w:hAnsi="宋体" w:cs="宋体"/>
          <w:color w:val="auto"/>
          <w:kern w:val="0"/>
          <w:sz w:val="24"/>
          <w:szCs w:val="24"/>
          <w:highlight w:val="none"/>
          <w:lang w:val="zh-CN"/>
        </w:rPr>
      </w:pPr>
    </w:p>
    <w:p w14:paraId="0914ACDE">
      <w:pPr>
        <w:autoSpaceDE w:val="0"/>
        <w:autoSpaceDN w:val="0"/>
        <w:spacing w:line="360" w:lineRule="auto"/>
        <w:ind w:left="2"/>
        <w:jc w:val="left"/>
        <w:rPr>
          <w:rFonts w:ascii="宋体" w:hAnsi="宋体" w:cs="宋体"/>
          <w:color w:val="auto"/>
          <w:kern w:val="0"/>
          <w:sz w:val="24"/>
          <w:szCs w:val="24"/>
          <w:highlight w:val="none"/>
          <w:lang w:val="zh-CN"/>
        </w:rPr>
      </w:pPr>
    </w:p>
    <w:p w14:paraId="02E01AF0">
      <w:pPr>
        <w:autoSpaceDE w:val="0"/>
        <w:autoSpaceDN w:val="0"/>
        <w:spacing w:line="360" w:lineRule="auto"/>
        <w:ind w:left="2"/>
        <w:jc w:val="left"/>
        <w:rPr>
          <w:rFonts w:ascii="宋体" w:hAnsi="宋体" w:cs="宋体"/>
          <w:color w:val="auto"/>
          <w:kern w:val="0"/>
          <w:sz w:val="24"/>
          <w:szCs w:val="24"/>
          <w:highlight w:val="none"/>
          <w:lang w:val="zh-CN"/>
        </w:rPr>
      </w:pPr>
    </w:p>
    <w:p w14:paraId="3EA46769">
      <w:pPr>
        <w:autoSpaceDE w:val="0"/>
        <w:autoSpaceDN w:val="0"/>
        <w:spacing w:line="360" w:lineRule="auto"/>
        <w:ind w:left="2" w:leftChars="1" w:right="1120" w:firstLine="4560" w:firstLineChars="1900"/>
        <w:jc w:val="left"/>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投标人名称</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ascii="宋体" w:hAnsi="宋体" w:cs="宋体"/>
          <w:color w:val="auto"/>
          <w:kern w:val="0"/>
          <w:sz w:val="24"/>
          <w:highlight w:val="none"/>
          <w:lang w:val="zh-CN"/>
        </w:rPr>
        <w:t>)</w:t>
      </w:r>
      <w:r>
        <w:rPr>
          <w:rFonts w:hint="eastAsia" w:ascii="宋体" w:hAnsi="宋体" w:cs="宋体"/>
          <w:color w:val="auto"/>
          <w:kern w:val="0"/>
          <w:sz w:val="24"/>
          <w:szCs w:val="24"/>
          <w:highlight w:val="none"/>
          <w:lang w:val="zh-CN"/>
        </w:rPr>
        <w:t xml:space="preserve">：                                                                                                                                                                                                               </w:t>
      </w:r>
    </w:p>
    <w:p w14:paraId="0FD8A2DC">
      <w:pPr>
        <w:ind w:firstLine="4560" w:firstLineChars="1900"/>
        <w:rPr>
          <w:rFonts w:hint="eastAsia" w:eastAsia="宋体" w:asciiTheme="majorHAnsi" w:hAnsiTheme="majorHAnsi" w:cstheme="majorBidi"/>
          <w:b/>
          <w:bCs/>
          <w:color w:val="auto"/>
          <w:kern w:val="2"/>
          <w:sz w:val="24"/>
          <w:szCs w:val="24"/>
          <w:highlight w:val="none"/>
          <w:lang w:val="en-US" w:eastAsia="zh-CN" w:bidi="ar-SA"/>
        </w:rPr>
      </w:pPr>
      <w:r>
        <w:rPr>
          <w:rFonts w:hint="eastAsia" w:ascii="宋体" w:hAnsi="宋体" w:cs="宋体"/>
          <w:color w:val="auto"/>
          <w:kern w:val="0"/>
          <w:sz w:val="24"/>
          <w:szCs w:val="24"/>
          <w:highlight w:val="none"/>
          <w:lang w:val="zh-CN"/>
        </w:rPr>
        <w:t>日期</w:t>
      </w:r>
      <w:r>
        <w:rPr>
          <w:rFonts w:hint="eastAsia" w:ascii="宋体" w:hAnsi="宋体" w:cs="宋体"/>
          <w:color w:val="auto"/>
          <w:kern w:val="0"/>
          <w:sz w:val="24"/>
          <w:szCs w:val="24"/>
          <w:highlight w:val="none"/>
        </w:rPr>
        <w:t>：</w:t>
      </w:r>
      <w:r>
        <w:rPr>
          <w:rFonts w:hint="eastAsia" w:ascii="宋体" w:hAnsi="宋体" w:cs="宋体"/>
          <w:color w:val="auto"/>
          <w:kern w:val="0"/>
          <w:sz w:val="24"/>
          <w:szCs w:val="24"/>
          <w:highlight w:val="none"/>
          <w:lang w:val="zh-CN"/>
        </w:rPr>
        <w:t xml:space="preserve">   年   月   日</w:t>
      </w:r>
    </w:p>
    <w:p w14:paraId="5AA40BF9">
      <w:pPr>
        <w:rPr>
          <w:rFonts w:hint="eastAsia" w:eastAsia="宋体" w:asciiTheme="majorHAnsi" w:hAnsiTheme="majorHAnsi" w:cstheme="majorBidi"/>
          <w:b/>
          <w:bCs/>
          <w:color w:val="auto"/>
          <w:kern w:val="2"/>
          <w:sz w:val="24"/>
          <w:szCs w:val="24"/>
          <w:highlight w:val="none"/>
          <w:lang w:val="en-US" w:eastAsia="zh-CN" w:bidi="ar-SA"/>
        </w:rPr>
      </w:pPr>
    </w:p>
    <w:p w14:paraId="2917743B">
      <w:pPr>
        <w:pStyle w:val="13"/>
        <w:rPr>
          <w:rFonts w:hint="eastAsia" w:eastAsia="宋体" w:asciiTheme="majorHAnsi" w:hAnsiTheme="majorHAnsi" w:cstheme="majorBidi"/>
          <w:b/>
          <w:bCs/>
          <w:color w:val="auto"/>
          <w:kern w:val="2"/>
          <w:sz w:val="24"/>
          <w:szCs w:val="24"/>
          <w:highlight w:val="none"/>
          <w:lang w:val="en-US" w:eastAsia="zh-CN" w:bidi="ar-SA"/>
        </w:rPr>
      </w:pPr>
    </w:p>
    <w:p w14:paraId="2CC927CA">
      <w:pPr>
        <w:pStyle w:val="13"/>
        <w:rPr>
          <w:rFonts w:hint="eastAsia" w:eastAsia="宋体" w:asciiTheme="majorHAnsi" w:hAnsiTheme="majorHAnsi" w:cstheme="majorBidi"/>
          <w:b/>
          <w:bCs/>
          <w:color w:val="auto"/>
          <w:kern w:val="2"/>
          <w:sz w:val="24"/>
          <w:szCs w:val="24"/>
          <w:highlight w:val="none"/>
          <w:lang w:val="en-US" w:eastAsia="zh-CN" w:bidi="ar-SA"/>
        </w:rPr>
      </w:pPr>
    </w:p>
    <w:p w14:paraId="18FDCDE0">
      <w:pPr>
        <w:pStyle w:val="13"/>
        <w:rPr>
          <w:rFonts w:hint="eastAsia" w:eastAsia="宋体" w:asciiTheme="majorHAnsi" w:hAnsiTheme="majorHAnsi" w:cstheme="majorBidi"/>
          <w:b/>
          <w:bCs/>
          <w:color w:val="auto"/>
          <w:kern w:val="2"/>
          <w:sz w:val="24"/>
          <w:szCs w:val="24"/>
          <w:highlight w:val="none"/>
          <w:lang w:val="en-US" w:eastAsia="zh-CN" w:bidi="ar-SA"/>
        </w:rPr>
      </w:pPr>
    </w:p>
    <w:p w14:paraId="74E8B7C7">
      <w:pPr>
        <w:pStyle w:val="3"/>
        <w:bidi w:val="0"/>
        <w:jc w:val="center"/>
        <w:rPr>
          <w:rFonts w:hint="default"/>
          <w:color w:val="auto"/>
          <w:highlight w:val="none"/>
          <w:lang w:val="en-US" w:eastAsia="zh-CN"/>
        </w:rPr>
      </w:pPr>
      <w:bookmarkStart w:id="673" w:name="_Toc1633"/>
      <w:bookmarkStart w:id="674" w:name="_Toc18432"/>
      <w:r>
        <w:rPr>
          <w:rFonts w:hint="eastAsia"/>
          <w:color w:val="auto"/>
          <w:highlight w:val="none"/>
          <w:lang w:val="en-US" w:eastAsia="zh-CN"/>
        </w:rPr>
        <w:t>五、</w:t>
      </w:r>
      <w:r>
        <w:rPr>
          <w:rFonts w:hint="eastAsia"/>
          <w:color w:val="auto"/>
          <w:highlight w:val="none"/>
          <w:lang w:val="zh-CN" w:eastAsia="zh-CN"/>
        </w:rPr>
        <w:t>实质性响应一览表【</w:t>
      </w:r>
      <w:r>
        <w:rPr>
          <w:rFonts w:hint="eastAsia"/>
          <w:color w:val="auto"/>
          <w:highlight w:val="none"/>
          <w:lang w:val="en-US" w:eastAsia="zh-CN"/>
        </w:rPr>
        <w:t>本表须与第五章的一致】</w:t>
      </w:r>
      <w:bookmarkEnd w:id="673"/>
      <w:bookmarkEnd w:id="674"/>
    </w:p>
    <w:p w14:paraId="3FC7E450">
      <w:pPr>
        <w:shd w:val="clear" w:color="auto" w:fill="FFFFFF"/>
        <w:tabs>
          <w:tab w:val="left" w:pos="3045"/>
        </w:tabs>
        <w:autoSpaceDE w:val="0"/>
        <w:autoSpaceDN w:val="0"/>
        <w:adjustRightInd w:val="0"/>
        <w:snapToGrid w:val="0"/>
        <w:spacing w:line="360" w:lineRule="exact"/>
        <w:jc w:val="center"/>
        <w:rPr>
          <w:rFonts w:hint="eastAsia" w:ascii="宋体" w:hAnsi="宋体" w:cs="宋体"/>
          <w:b w:val="0"/>
          <w:bCs/>
          <w:color w:val="auto"/>
          <w:sz w:val="24"/>
          <w:highlight w:val="none"/>
        </w:rPr>
      </w:pPr>
      <w:r>
        <w:rPr>
          <w:rFonts w:hint="eastAsia" w:ascii="宋体" w:hAnsi="宋体" w:cs="宋体"/>
          <w:b w:val="0"/>
          <w:bCs/>
          <w:color w:val="auto"/>
          <w:sz w:val="24"/>
          <w:highlight w:val="none"/>
        </w:rPr>
        <w:t>（</w:t>
      </w:r>
      <w:r>
        <w:rPr>
          <w:rFonts w:hint="eastAsia" w:cs="宋体"/>
          <w:b w:val="0"/>
          <w:bCs/>
          <w:color w:val="auto"/>
          <w:sz w:val="24"/>
          <w:highlight w:val="none"/>
          <w:lang w:val="en-US" w:eastAsia="zh-CN"/>
        </w:rPr>
        <w:t>投标人</w:t>
      </w:r>
      <w:r>
        <w:rPr>
          <w:rFonts w:hint="eastAsia" w:ascii="宋体" w:hAnsi="宋体" w:cs="宋体"/>
          <w:b w:val="0"/>
          <w:bCs/>
          <w:color w:val="auto"/>
          <w:sz w:val="24"/>
          <w:highlight w:val="none"/>
        </w:rPr>
        <w:t>须对本附表所有内容逐条响应且无负偏离，否则</w:t>
      </w:r>
      <w:r>
        <w:rPr>
          <w:rFonts w:hint="eastAsia" w:cs="宋体"/>
          <w:b w:val="0"/>
          <w:bCs/>
          <w:color w:val="auto"/>
          <w:sz w:val="24"/>
          <w:highlight w:val="none"/>
          <w:lang w:val="en-US" w:eastAsia="zh-CN"/>
        </w:rPr>
        <w:t>其</w:t>
      </w:r>
      <w:r>
        <w:rPr>
          <w:rFonts w:hint="eastAsia" w:ascii="宋体" w:hAnsi="宋体" w:cs="宋体"/>
          <w:b/>
          <w:bCs w:val="0"/>
          <w:color w:val="auto"/>
          <w:sz w:val="24"/>
          <w:highlight w:val="none"/>
        </w:rPr>
        <w:t>投标无效</w:t>
      </w:r>
      <w:r>
        <w:rPr>
          <w:rFonts w:hint="eastAsia" w:ascii="宋体" w:hAnsi="宋体" w:cs="宋体"/>
          <w:b w:val="0"/>
          <w:bCs/>
          <w:color w:val="auto"/>
          <w:sz w:val="24"/>
          <w:highlight w:val="none"/>
        </w:rPr>
        <w:t>）</w:t>
      </w:r>
    </w:p>
    <w:p w14:paraId="3B3C031E">
      <w:pPr>
        <w:pStyle w:val="23"/>
        <w:rPr>
          <w:rFonts w:hint="eastAsia" w:ascii="宋体" w:hAnsi="宋体" w:cs="宋体"/>
          <w:color w:val="auto"/>
          <w:highlight w:val="none"/>
        </w:rPr>
      </w:pPr>
    </w:p>
    <w:tbl>
      <w:tblPr>
        <w:tblStyle w:val="29"/>
        <w:tblW w:w="5435" w:type="pct"/>
        <w:tblInd w:w="-2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8"/>
        <w:gridCol w:w="1992"/>
        <w:gridCol w:w="4259"/>
        <w:gridCol w:w="1873"/>
        <w:gridCol w:w="732"/>
      </w:tblGrid>
      <w:tr w14:paraId="2EF508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220" w:type="pct"/>
            <w:vMerge w:val="restart"/>
            <w:noWrap w:val="0"/>
            <w:vAlign w:val="center"/>
          </w:tcPr>
          <w:p w14:paraId="101C805A">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3373" w:type="pct"/>
            <w:gridSpan w:val="2"/>
            <w:noWrap w:val="0"/>
            <w:vAlign w:val="center"/>
          </w:tcPr>
          <w:p w14:paraId="02D60536">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4"/>
                <w:szCs w:val="24"/>
                <w:highlight w:val="none"/>
              </w:rPr>
            </w:pPr>
            <w:r>
              <w:rPr>
                <w:rFonts w:hint="eastAsia" w:ascii="宋体" w:hAnsi="宋体" w:cs="宋体"/>
                <w:color w:val="auto"/>
                <w:sz w:val="24"/>
                <w:highlight w:val="none"/>
                <w:lang w:val="en-US" w:eastAsia="zh-CN"/>
              </w:rPr>
              <w:t>招标</w:t>
            </w:r>
            <w:r>
              <w:rPr>
                <w:rFonts w:hint="eastAsia" w:ascii="宋体" w:hAnsi="宋体" w:cs="宋体"/>
                <w:color w:val="auto"/>
                <w:sz w:val="24"/>
                <w:highlight w:val="none"/>
              </w:rPr>
              <w:t>文件要求的实质性响应内容</w:t>
            </w:r>
          </w:p>
        </w:tc>
        <w:tc>
          <w:tcPr>
            <w:tcW w:w="1010" w:type="pct"/>
            <w:vMerge w:val="restart"/>
            <w:noWrap w:val="0"/>
            <w:vAlign w:val="center"/>
          </w:tcPr>
          <w:p w14:paraId="56144F2B">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投标文件响应</w:t>
            </w:r>
            <w:r>
              <w:rPr>
                <w:rFonts w:hint="eastAsia" w:ascii="宋体" w:hAnsi="宋体" w:eastAsia="宋体" w:cs="宋体"/>
                <w:color w:val="auto"/>
                <w:sz w:val="24"/>
                <w:szCs w:val="24"/>
                <w:highlight w:val="none"/>
                <w:lang w:val="en-US" w:eastAsia="zh-CN"/>
              </w:rPr>
              <w:t>的</w:t>
            </w:r>
            <w:r>
              <w:rPr>
                <w:rFonts w:hint="eastAsia" w:ascii="宋体" w:hAnsi="宋体" w:eastAsia="宋体" w:cs="宋体"/>
                <w:color w:val="auto"/>
                <w:sz w:val="24"/>
                <w:szCs w:val="24"/>
                <w:highlight w:val="none"/>
              </w:rPr>
              <w:t>具体内容</w:t>
            </w:r>
          </w:p>
        </w:tc>
        <w:tc>
          <w:tcPr>
            <w:tcW w:w="395" w:type="pct"/>
            <w:vMerge w:val="restart"/>
            <w:noWrap w:val="0"/>
            <w:vAlign w:val="center"/>
          </w:tcPr>
          <w:p w14:paraId="3D4BAC2B">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tc>
      </w:tr>
      <w:tr w14:paraId="48FB17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220" w:type="pct"/>
            <w:vMerge w:val="continue"/>
            <w:noWrap w:val="0"/>
            <w:vAlign w:val="center"/>
          </w:tcPr>
          <w:p w14:paraId="61353542">
            <w:pPr>
              <w:keepNext w:val="0"/>
              <w:keepLines w:val="0"/>
              <w:pageBreakBefore w:val="0"/>
              <w:widowControl w:val="0"/>
              <w:kinsoku/>
              <w:wordWrap/>
              <w:overflowPunct/>
              <w:topLinePunct w:val="0"/>
              <w:bidi w:val="0"/>
              <w:adjustRightInd/>
              <w:snapToGrid/>
              <w:spacing w:line="360" w:lineRule="exact"/>
              <w:jc w:val="center"/>
              <w:textAlignment w:val="auto"/>
              <w:rPr>
                <w:color w:val="auto"/>
                <w:highlight w:val="none"/>
              </w:rPr>
            </w:pPr>
          </w:p>
        </w:tc>
        <w:tc>
          <w:tcPr>
            <w:tcW w:w="1075" w:type="pct"/>
            <w:noWrap w:val="0"/>
            <w:vAlign w:val="center"/>
          </w:tcPr>
          <w:p w14:paraId="6B0E1646">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4"/>
                <w:szCs w:val="24"/>
                <w:highlight w:val="none"/>
              </w:rPr>
            </w:pPr>
            <w:r>
              <w:rPr>
                <w:rFonts w:hint="eastAsia" w:cs="宋体"/>
                <w:color w:val="auto"/>
                <w:sz w:val="24"/>
                <w:highlight w:val="none"/>
                <w:lang w:val="en-US" w:eastAsia="zh-CN"/>
              </w:rPr>
              <w:t>实质性要求</w:t>
            </w:r>
          </w:p>
        </w:tc>
        <w:tc>
          <w:tcPr>
            <w:tcW w:w="2298" w:type="pct"/>
            <w:noWrap w:val="0"/>
            <w:vAlign w:val="center"/>
          </w:tcPr>
          <w:p w14:paraId="3466A6AA">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4"/>
                <w:szCs w:val="24"/>
                <w:highlight w:val="none"/>
              </w:rPr>
            </w:pPr>
            <w:r>
              <w:rPr>
                <w:rFonts w:hint="eastAsia" w:cs="宋体"/>
                <w:color w:val="auto"/>
                <w:sz w:val="24"/>
                <w:highlight w:val="none"/>
                <w:lang w:val="en-US" w:eastAsia="zh-CN"/>
              </w:rPr>
              <w:t>招标文件中的规定</w:t>
            </w:r>
          </w:p>
        </w:tc>
        <w:tc>
          <w:tcPr>
            <w:tcW w:w="1010" w:type="pct"/>
            <w:vMerge w:val="continue"/>
            <w:noWrap w:val="0"/>
            <w:vAlign w:val="center"/>
          </w:tcPr>
          <w:p w14:paraId="230A57B0">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4"/>
                <w:szCs w:val="24"/>
                <w:highlight w:val="none"/>
              </w:rPr>
            </w:pPr>
          </w:p>
        </w:tc>
        <w:tc>
          <w:tcPr>
            <w:tcW w:w="395" w:type="pct"/>
            <w:vMerge w:val="continue"/>
            <w:noWrap w:val="0"/>
            <w:vAlign w:val="center"/>
          </w:tcPr>
          <w:p w14:paraId="1401563E">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4"/>
                <w:szCs w:val="24"/>
                <w:highlight w:val="none"/>
              </w:rPr>
            </w:pPr>
          </w:p>
        </w:tc>
      </w:tr>
      <w:tr w14:paraId="0FCF1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4" w:hRule="atLeast"/>
        </w:trPr>
        <w:tc>
          <w:tcPr>
            <w:tcW w:w="220" w:type="pct"/>
            <w:noWrap w:val="0"/>
            <w:vAlign w:val="center"/>
          </w:tcPr>
          <w:p w14:paraId="5D4136A9">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075" w:type="pct"/>
            <w:shd w:val="clear" w:color="auto" w:fill="auto"/>
            <w:noWrap w:val="0"/>
            <w:vAlign w:val="center"/>
          </w:tcPr>
          <w:p w14:paraId="11E3D909">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kern w:val="2"/>
                <w:sz w:val="24"/>
                <w:szCs w:val="24"/>
                <w:highlight w:val="none"/>
                <w:lang w:val="en-US" w:eastAsia="zh-CN" w:bidi="ar-SA"/>
              </w:rPr>
            </w:pPr>
          </w:p>
        </w:tc>
        <w:tc>
          <w:tcPr>
            <w:tcW w:w="2298" w:type="pct"/>
            <w:shd w:val="clear" w:color="auto" w:fill="auto"/>
            <w:noWrap w:val="0"/>
            <w:vAlign w:val="center"/>
          </w:tcPr>
          <w:p w14:paraId="2D62742B">
            <w:pPr>
              <w:keepNext w:val="0"/>
              <w:keepLines w:val="0"/>
              <w:pageBreakBefore w:val="0"/>
              <w:widowControl w:val="0"/>
              <w:shd w:val="clear" w:color="auto" w:fill="FFFFFF"/>
              <w:kinsoku/>
              <w:wordWrap/>
              <w:overflowPunct/>
              <w:topLinePunct w:val="0"/>
              <w:autoSpaceDE w:val="0"/>
              <w:autoSpaceDN w:val="0"/>
              <w:bidi w:val="0"/>
              <w:adjustRightInd/>
              <w:snapToGrid/>
              <w:spacing w:line="360" w:lineRule="exact"/>
              <w:textAlignment w:val="auto"/>
              <w:rPr>
                <w:rFonts w:hint="eastAsia" w:ascii="宋体" w:hAnsi="宋体" w:eastAsia="宋体" w:cs="宋体"/>
                <w:color w:val="auto"/>
                <w:kern w:val="2"/>
                <w:sz w:val="24"/>
                <w:szCs w:val="24"/>
                <w:highlight w:val="none"/>
                <w:lang w:val="en-US" w:eastAsia="zh-CN" w:bidi="ar-SA"/>
              </w:rPr>
            </w:pPr>
          </w:p>
        </w:tc>
        <w:tc>
          <w:tcPr>
            <w:tcW w:w="1010" w:type="pct"/>
            <w:noWrap w:val="0"/>
            <w:vAlign w:val="center"/>
          </w:tcPr>
          <w:p w14:paraId="1E4B729D">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4"/>
                <w:szCs w:val="24"/>
                <w:highlight w:val="none"/>
              </w:rPr>
            </w:pPr>
          </w:p>
        </w:tc>
        <w:tc>
          <w:tcPr>
            <w:tcW w:w="395" w:type="pct"/>
            <w:noWrap w:val="0"/>
            <w:vAlign w:val="center"/>
          </w:tcPr>
          <w:p w14:paraId="2ED2EBD7">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4"/>
                <w:szCs w:val="24"/>
                <w:highlight w:val="none"/>
              </w:rPr>
            </w:pPr>
          </w:p>
        </w:tc>
      </w:tr>
      <w:tr w14:paraId="29B14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8" w:hRule="atLeast"/>
        </w:trPr>
        <w:tc>
          <w:tcPr>
            <w:tcW w:w="220" w:type="pct"/>
            <w:noWrap w:val="0"/>
            <w:vAlign w:val="center"/>
          </w:tcPr>
          <w:p w14:paraId="708A3B90">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1075" w:type="pct"/>
            <w:shd w:val="clear" w:color="auto" w:fill="auto"/>
            <w:noWrap w:val="0"/>
            <w:vAlign w:val="center"/>
          </w:tcPr>
          <w:p w14:paraId="7DC773BD">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kern w:val="2"/>
                <w:sz w:val="24"/>
                <w:szCs w:val="24"/>
                <w:highlight w:val="none"/>
                <w:lang w:val="en-US" w:eastAsia="zh-CN" w:bidi="ar-SA"/>
              </w:rPr>
            </w:pPr>
          </w:p>
        </w:tc>
        <w:tc>
          <w:tcPr>
            <w:tcW w:w="2298" w:type="pct"/>
            <w:shd w:val="clear" w:color="auto" w:fill="auto"/>
            <w:noWrap w:val="0"/>
            <w:vAlign w:val="center"/>
          </w:tcPr>
          <w:p w14:paraId="011D967C">
            <w:pPr>
              <w:keepNext w:val="0"/>
              <w:keepLines w:val="0"/>
              <w:pageBreakBefore w:val="0"/>
              <w:widowControl w:val="0"/>
              <w:shd w:val="clear" w:color="auto" w:fill="FFFFFF"/>
              <w:kinsoku/>
              <w:wordWrap/>
              <w:overflowPunct/>
              <w:topLinePunct w:val="0"/>
              <w:autoSpaceDE w:val="0"/>
              <w:autoSpaceDN w:val="0"/>
              <w:bidi w:val="0"/>
              <w:adjustRightInd/>
              <w:snapToGrid/>
              <w:spacing w:line="360" w:lineRule="exact"/>
              <w:textAlignment w:val="auto"/>
              <w:rPr>
                <w:rFonts w:hint="eastAsia" w:ascii="宋体" w:hAnsi="宋体" w:eastAsia="宋体" w:cs="宋体"/>
                <w:color w:val="auto"/>
                <w:kern w:val="2"/>
                <w:sz w:val="24"/>
                <w:szCs w:val="24"/>
                <w:highlight w:val="none"/>
                <w:lang w:val="en-US" w:eastAsia="zh-CN" w:bidi="ar-SA"/>
              </w:rPr>
            </w:pPr>
          </w:p>
        </w:tc>
        <w:tc>
          <w:tcPr>
            <w:tcW w:w="1010" w:type="pct"/>
            <w:noWrap w:val="0"/>
            <w:vAlign w:val="center"/>
          </w:tcPr>
          <w:p w14:paraId="58F62CE4">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4"/>
                <w:szCs w:val="24"/>
                <w:highlight w:val="none"/>
              </w:rPr>
            </w:pPr>
          </w:p>
        </w:tc>
        <w:tc>
          <w:tcPr>
            <w:tcW w:w="395" w:type="pct"/>
            <w:noWrap w:val="0"/>
            <w:vAlign w:val="center"/>
          </w:tcPr>
          <w:p w14:paraId="194CC2D3">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4"/>
                <w:szCs w:val="24"/>
                <w:highlight w:val="none"/>
              </w:rPr>
            </w:pPr>
          </w:p>
        </w:tc>
      </w:tr>
      <w:tr w14:paraId="547BF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4" w:hRule="atLeast"/>
        </w:trPr>
        <w:tc>
          <w:tcPr>
            <w:tcW w:w="220" w:type="pct"/>
            <w:shd w:val="clear" w:color="auto" w:fill="auto"/>
            <w:noWrap w:val="0"/>
            <w:vAlign w:val="center"/>
          </w:tcPr>
          <w:p w14:paraId="6A2DB15C">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3</w:t>
            </w:r>
          </w:p>
        </w:tc>
        <w:tc>
          <w:tcPr>
            <w:tcW w:w="1075" w:type="pct"/>
            <w:shd w:val="clear" w:color="auto" w:fill="auto"/>
            <w:noWrap w:val="0"/>
            <w:vAlign w:val="center"/>
          </w:tcPr>
          <w:p w14:paraId="46BFE239">
            <w:pPr>
              <w:pStyle w:val="49"/>
              <w:rPr>
                <w:rFonts w:hint="eastAsia" w:ascii="宋体" w:hAnsi="宋体" w:eastAsia="宋体" w:cstheme="minorBidi"/>
                <w:color w:val="auto"/>
                <w:kern w:val="2"/>
                <w:sz w:val="24"/>
                <w:szCs w:val="22"/>
                <w:highlight w:val="none"/>
                <w:lang w:val="en-US" w:eastAsia="zh-CN" w:bidi="ar-SA"/>
              </w:rPr>
            </w:pPr>
          </w:p>
        </w:tc>
        <w:tc>
          <w:tcPr>
            <w:tcW w:w="2298" w:type="pct"/>
            <w:shd w:val="clear" w:color="auto" w:fill="auto"/>
            <w:noWrap w:val="0"/>
            <w:vAlign w:val="center"/>
          </w:tcPr>
          <w:p w14:paraId="486ABA85">
            <w:pPr>
              <w:pStyle w:val="49"/>
              <w:rPr>
                <w:rFonts w:hint="eastAsia" w:ascii="宋体" w:hAnsi="宋体" w:eastAsia="宋体" w:cstheme="minorBidi"/>
                <w:color w:val="auto"/>
                <w:kern w:val="2"/>
                <w:sz w:val="24"/>
                <w:szCs w:val="22"/>
                <w:highlight w:val="none"/>
                <w:lang w:val="en-US" w:eastAsia="zh-CN" w:bidi="ar-SA"/>
              </w:rPr>
            </w:pPr>
          </w:p>
        </w:tc>
        <w:tc>
          <w:tcPr>
            <w:tcW w:w="1010" w:type="pct"/>
            <w:noWrap w:val="0"/>
            <w:vAlign w:val="center"/>
          </w:tcPr>
          <w:p w14:paraId="59491DC1">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4"/>
                <w:szCs w:val="24"/>
                <w:highlight w:val="none"/>
              </w:rPr>
            </w:pPr>
          </w:p>
        </w:tc>
        <w:tc>
          <w:tcPr>
            <w:tcW w:w="395" w:type="pct"/>
            <w:noWrap w:val="0"/>
            <w:vAlign w:val="center"/>
          </w:tcPr>
          <w:p w14:paraId="1511A2DD">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4"/>
                <w:szCs w:val="24"/>
                <w:highlight w:val="none"/>
              </w:rPr>
            </w:pPr>
          </w:p>
        </w:tc>
      </w:tr>
      <w:tr w14:paraId="5B874D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220" w:type="pct"/>
            <w:shd w:val="clear" w:color="auto" w:fill="auto"/>
            <w:noWrap w:val="0"/>
            <w:vAlign w:val="center"/>
          </w:tcPr>
          <w:p w14:paraId="12289F6C">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4</w:t>
            </w:r>
          </w:p>
        </w:tc>
        <w:tc>
          <w:tcPr>
            <w:tcW w:w="1075" w:type="pct"/>
            <w:shd w:val="clear" w:color="auto" w:fill="auto"/>
            <w:noWrap w:val="0"/>
            <w:vAlign w:val="center"/>
          </w:tcPr>
          <w:p w14:paraId="1D3E0310">
            <w:pPr>
              <w:pStyle w:val="49"/>
              <w:rPr>
                <w:rFonts w:hint="eastAsia" w:ascii="宋体" w:hAnsi="宋体" w:eastAsia="宋体" w:cstheme="minorBidi"/>
                <w:color w:val="auto"/>
                <w:kern w:val="2"/>
                <w:sz w:val="24"/>
                <w:szCs w:val="22"/>
                <w:highlight w:val="none"/>
                <w:lang w:val="en-US" w:eastAsia="zh-CN" w:bidi="ar-SA"/>
              </w:rPr>
            </w:pPr>
          </w:p>
        </w:tc>
        <w:tc>
          <w:tcPr>
            <w:tcW w:w="2298" w:type="pct"/>
            <w:shd w:val="clear" w:color="auto" w:fill="auto"/>
            <w:noWrap w:val="0"/>
            <w:vAlign w:val="center"/>
          </w:tcPr>
          <w:p w14:paraId="281089E1">
            <w:pPr>
              <w:pStyle w:val="49"/>
              <w:rPr>
                <w:rFonts w:hint="eastAsia" w:ascii="宋体" w:hAnsi="宋体" w:eastAsia="宋体" w:cstheme="minorBidi"/>
                <w:color w:val="auto"/>
                <w:kern w:val="2"/>
                <w:sz w:val="24"/>
                <w:szCs w:val="22"/>
                <w:highlight w:val="none"/>
                <w:lang w:val="en-US" w:eastAsia="zh-CN" w:bidi="ar-SA"/>
              </w:rPr>
            </w:pPr>
          </w:p>
        </w:tc>
        <w:tc>
          <w:tcPr>
            <w:tcW w:w="1010" w:type="pct"/>
            <w:noWrap w:val="0"/>
            <w:vAlign w:val="center"/>
          </w:tcPr>
          <w:p w14:paraId="6CCA3E71">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4"/>
                <w:szCs w:val="24"/>
                <w:highlight w:val="none"/>
              </w:rPr>
            </w:pPr>
          </w:p>
        </w:tc>
        <w:tc>
          <w:tcPr>
            <w:tcW w:w="395" w:type="pct"/>
            <w:noWrap w:val="0"/>
            <w:vAlign w:val="center"/>
          </w:tcPr>
          <w:p w14:paraId="0A8FC1EC">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4"/>
                <w:szCs w:val="24"/>
                <w:highlight w:val="none"/>
              </w:rPr>
            </w:pPr>
          </w:p>
        </w:tc>
      </w:tr>
      <w:tr w14:paraId="70A77A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trPr>
        <w:tc>
          <w:tcPr>
            <w:tcW w:w="220" w:type="pct"/>
            <w:shd w:val="clear" w:color="auto" w:fill="auto"/>
            <w:noWrap w:val="0"/>
            <w:vAlign w:val="center"/>
          </w:tcPr>
          <w:p w14:paraId="36B59CD3">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5</w:t>
            </w:r>
          </w:p>
        </w:tc>
        <w:tc>
          <w:tcPr>
            <w:tcW w:w="1075" w:type="pct"/>
            <w:noWrap w:val="0"/>
            <w:vAlign w:val="center"/>
          </w:tcPr>
          <w:p w14:paraId="43A0BEF0">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zh-CN"/>
              </w:rPr>
              <w:t>……</w:t>
            </w:r>
          </w:p>
        </w:tc>
        <w:tc>
          <w:tcPr>
            <w:tcW w:w="2298" w:type="pct"/>
            <w:noWrap w:val="0"/>
            <w:vAlign w:val="center"/>
          </w:tcPr>
          <w:p w14:paraId="310F1D1A">
            <w:pPr>
              <w:pStyle w:val="73"/>
              <w:keepNext w:val="0"/>
              <w:keepLines w:val="0"/>
              <w:pageBreakBefore w:val="0"/>
              <w:widowControl w:val="0"/>
              <w:shd w:val="clear" w:color="auto" w:fill="FFFFFF"/>
              <w:kinsoku/>
              <w:wordWrap/>
              <w:overflowPunct/>
              <w:topLinePunct w:val="0"/>
              <w:bidi w:val="0"/>
              <w:adjustRightInd/>
              <w:snapToGrid/>
              <w:spacing w:line="360" w:lineRule="exact"/>
              <w:ind w:firstLine="0" w:firstLineChars="0"/>
              <w:textAlignment w:val="auto"/>
              <w:rPr>
                <w:rFonts w:hint="eastAsia" w:ascii="宋体" w:hAnsi="宋体" w:eastAsia="宋体" w:cs="宋体"/>
                <w:color w:val="auto"/>
                <w:kern w:val="0"/>
                <w:sz w:val="24"/>
                <w:szCs w:val="24"/>
                <w:highlight w:val="none"/>
                <w:lang w:val="en-US" w:eastAsia="zh-CN" w:bidi="ar-SA"/>
              </w:rPr>
            </w:pPr>
          </w:p>
        </w:tc>
        <w:tc>
          <w:tcPr>
            <w:tcW w:w="1010" w:type="pct"/>
            <w:noWrap w:val="0"/>
            <w:vAlign w:val="center"/>
          </w:tcPr>
          <w:p w14:paraId="492A3FE6">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4"/>
                <w:szCs w:val="24"/>
                <w:highlight w:val="none"/>
              </w:rPr>
            </w:pPr>
          </w:p>
        </w:tc>
        <w:tc>
          <w:tcPr>
            <w:tcW w:w="395" w:type="pct"/>
            <w:noWrap w:val="0"/>
            <w:vAlign w:val="center"/>
          </w:tcPr>
          <w:p w14:paraId="7AFD0B5E">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4"/>
                <w:szCs w:val="24"/>
                <w:highlight w:val="none"/>
              </w:rPr>
            </w:pPr>
          </w:p>
        </w:tc>
      </w:tr>
      <w:tr w14:paraId="366B35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220" w:type="pct"/>
            <w:shd w:val="clear" w:color="auto" w:fill="auto"/>
            <w:noWrap w:val="0"/>
            <w:vAlign w:val="center"/>
          </w:tcPr>
          <w:p w14:paraId="0C145DE9">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6</w:t>
            </w:r>
          </w:p>
        </w:tc>
        <w:tc>
          <w:tcPr>
            <w:tcW w:w="1075" w:type="pct"/>
            <w:noWrap w:val="0"/>
            <w:vAlign w:val="center"/>
          </w:tcPr>
          <w:p w14:paraId="24DF7F3A">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zh-CN"/>
              </w:rPr>
              <w:t>……</w:t>
            </w:r>
          </w:p>
        </w:tc>
        <w:tc>
          <w:tcPr>
            <w:tcW w:w="2298" w:type="pct"/>
            <w:noWrap w:val="0"/>
            <w:vAlign w:val="center"/>
          </w:tcPr>
          <w:p w14:paraId="5482D5FB">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kern w:val="2"/>
                <w:sz w:val="24"/>
                <w:szCs w:val="24"/>
                <w:highlight w:val="none"/>
                <w:lang w:val="en-US" w:eastAsia="zh-CN" w:bidi="ar-SA"/>
              </w:rPr>
            </w:pPr>
          </w:p>
        </w:tc>
        <w:tc>
          <w:tcPr>
            <w:tcW w:w="1010" w:type="pct"/>
            <w:noWrap w:val="0"/>
            <w:vAlign w:val="center"/>
          </w:tcPr>
          <w:p w14:paraId="24D82CE2">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4"/>
                <w:szCs w:val="24"/>
                <w:highlight w:val="none"/>
              </w:rPr>
            </w:pPr>
          </w:p>
        </w:tc>
        <w:tc>
          <w:tcPr>
            <w:tcW w:w="395" w:type="pct"/>
            <w:noWrap w:val="0"/>
            <w:vAlign w:val="center"/>
          </w:tcPr>
          <w:p w14:paraId="190A3A2D">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4"/>
                <w:szCs w:val="24"/>
                <w:highlight w:val="none"/>
              </w:rPr>
            </w:pPr>
          </w:p>
        </w:tc>
      </w:tr>
      <w:tr w14:paraId="2E09A3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220" w:type="pct"/>
            <w:shd w:val="clear" w:color="auto" w:fill="auto"/>
            <w:noWrap w:val="0"/>
            <w:vAlign w:val="center"/>
          </w:tcPr>
          <w:p w14:paraId="2F26FC6B">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7</w:t>
            </w:r>
          </w:p>
        </w:tc>
        <w:tc>
          <w:tcPr>
            <w:tcW w:w="1075" w:type="pct"/>
            <w:noWrap w:val="0"/>
            <w:vAlign w:val="center"/>
          </w:tcPr>
          <w:p w14:paraId="7BD1DFF1">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zh-CN"/>
              </w:rPr>
              <w:t>……</w:t>
            </w:r>
          </w:p>
        </w:tc>
        <w:tc>
          <w:tcPr>
            <w:tcW w:w="2298" w:type="pct"/>
            <w:noWrap w:val="0"/>
            <w:vAlign w:val="center"/>
          </w:tcPr>
          <w:p w14:paraId="0998D7BE">
            <w:pPr>
              <w:keepNext w:val="0"/>
              <w:keepLines w:val="0"/>
              <w:pageBreakBefore w:val="0"/>
              <w:widowControl w:val="0"/>
              <w:shd w:val="clear" w:color="auto" w:fill="FFFFFF"/>
              <w:kinsoku/>
              <w:wordWrap/>
              <w:overflowPunct/>
              <w:topLinePunct w:val="0"/>
              <w:autoSpaceDE/>
              <w:autoSpaceDN/>
              <w:bidi w:val="0"/>
              <w:adjustRightInd/>
              <w:snapToGrid/>
              <w:spacing w:line="400" w:lineRule="atLeast"/>
              <w:textAlignment w:val="auto"/>
              <w:rPr>
                <w:rFonts w:hint="eastAsia" w:ascii="宋体" w:hAnsi="宋体" w:eastAsia="宋体" w:cs="宋体"/>
                <w:color w:val="auto"/>
                <w:sz w:val="24"/>
                <w:szCs w:val="24"/>
                <w:highlight w:val="none"/>
                <w:lang w:val="en-US" w:eastAsia="zh-CN"/>
              </w:rPr>
            </w:pPr>
          </w:p>
        </w:tc>
        <w:tc>
          <w:tcPr>
            <w:tcW w:w="1010" w:type="pct"/>
            <w:noWrap w:val="0"/>
            <w:vAlign w:val="center"/>
          </w:tcPr>
          <w:p w14:paraId="4CB98610">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4"/>
                <w:szCs w:val="24"/>
                <w:highlight w:val="none"/>
              </w:rPr>
            </w:pPr>
          </w:p>
        </w:tc>
        <w:tc>
          <w:tcPr>
            <w:tcW w:w="395" w:type="pct"/>
            <w:noWrap w:val="0"/>
            <w:vAlign w:val="center"/>
          </w:tcPr>
          <w:p w14:paraId="015D30C8">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4"/>
                <w:szCs w:val="24"/>
                <w:highlight w:val="none"/>
              </w:rPr>
            </w:pPr>
          </w:p>
        </w:tc>
      </w:tr>
      <w:tr w14:paraId="5EA1B7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trPr>
        <w:tc>
          <w:tcPr>
            <w:tcW w:w="220" w:type="pct"/>
            <w:noWrap w:val="0"/>
            <w:vAlign w:val="center"/>
          </w:tcPr>
          <w:p w14:paraId="4ED2BCC7">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4"/>
                <w:szCs w:val="24"/>
                <w:highlight w:val="none"/>
                <w:lang w:val="en-US" w:eastAsia="zh-CN"/>
              </w:rPr>
            </w:pPr>
          </w:p>
        </w:tc>
        <w:tc>
          <w:tcPr>
            <w:tcW w:w="1075" w:type="pct"/>
            <w:shd w:val="clear" w:color="auto" w:fill="auto"/>
            <w:noWrap w:val="0"/>
            <w:vAlign w:val="center"/>
          </w:tcPr>
          <w:p w14:paraId="28BAA9A6">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rPr>
              <w:t>……</w:t>
            </w:r>
          </w:p>
        </w:tc>
        <w:tc>
          <w:tcPr>
            <w:tcW w:w="2298" w:type="pct"/>
            <w:noWrap w:val="0"/>
            <w:vAlign w:val="center"/>
          </w:tcPr>
          <w:p w14:paraId="6246E553">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highlight w:val="none"/>
                <w:lang w:eastAsia="zh-CN"/>
              </w:rPr>
            </w:pPr>
          </w:p>
        </w:tc>
        <w:tc>
          <w:tcPr>
            <w:tcW w:w="1010" w:type="pct"/>
            <w:noWrap w:val="0"/>
            <w:vAlign w:val="center"/>
          </w:tcPr>
          <w:p w14:paraId="18530101">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4"/>
                <w:szCs w:val="24"/>
                <w:highlight w:val="none"/>
              </w:rPr>
            </w:pPr>
          </w:p>
        </w:tc>
        <w:tc>
          <w:tcPr>
            <w:tcW w:w="395" w:type="pct"/>
            <w:noWrap w:val="0"/>
            <w:vAlign w:val="center"/>
          </w:tcPr>
          <w:p w14:paraId="796ECCFA">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4"/>
                <w:szCs w:val="24"/>
                <w:highlight w:val="none"/>
              </w:rPr>
            </w:pPr>
          </w:p>
        </w:tc>
      </w:tr>
    </w:tbl>
    <w:p w14:paraId="1BAA11FC">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eastAsia="宋体" w:asciiTheme="majorHAnsi" w:hAnsiTheme="majorHAnsi" w:cstheme="majorBidi"/>
          <w:b/>
          <w:bCs/>
          <w:color w:val="auto"/>
          <w:kern w:val="2"/>
          <w:sz w:val="28"/>
          <w:szCs w:val="28"/>
          <w:highlight w:val="none"/>
          <w:lang w:val="en-US" w:eastAsia="zh-CN" w:bidi="ar-SA"/>
        </w:rPr>
      </w:pPr>
    </w:p>
    <w:p w14:paraId="3588AE81">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eastAsia="宋体" w:asciiTheme="majorHAnsi" w:hAnsiTheme="majorHAnsi" w:cstheme="majorBidi"/>
          <w:b/>
          <w:bCs/>
          <w:color w:val="auto"/>
          <w:kern w:val="2"/>
          <w:sz w:val="28"/>
          <w:szCs w:val="28"/>
          <w:highlight w:val="none"/>
          <w:lang w:val="en-US" w:eastAsia="zh-CN" w:bidi="ar-SA"/>
        </w:rPr>
      </w:pPr>
    </w:p>
    <w:p w14:paraId="626EF50E">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eastAsia="宋体" w:asciiTheme="majorHAnsi" w:hAnsiTheme="majorHAnsi" w:cstheme="majorBidi"/>
          <w:b/>
          <w:bCs/>
          <w:color w:val="auto"/>
          <w:kern w:val="2"/>
          <w:sz w:val="32"/>
          <w:szCs w:val="32"/>
          <w:highlight w:val="none"/>
          <w:lang w:val="en-US" w:eastAsia="zh-CN" w:bidi="ar-SA"/>
        </w:rPr>
      </w:pPr>
      <w:bookmarkStart w:id="675" w:name="_Toc28344"/>
      <w:bookmarkStart w:id="676" w:name="_Toc17991"/>
      <w:r>
        <w:rPr>
          <w:rFonts w:hint="eastAsia" w:cstheme="majorBidi"/>
          <w:b/>
          <w:bCs/>
          <w:color w:val="auto"/>
          <w:kern w:val="2"/>
          <w:sz w:val="32"/>
          <w:szCs w:val="32"/>
          <w:highlight w:val="none"/>
          <w:lang w:val="en-US" w:eastAsia="zh-CN" w:bidi="ar-SA"/>
        </w:rPr>
        <w:t>六</w:t>
      </w:r>
      <w:r>
        <w:rPr>
          <w:rFonts w:hint="eastAsia" w:eastAsia="宋体" w:asciiTheme="majorHAnsi" w:hAnsiTheme="majorHAnsi" w:cstheme="majorBidi"/>
          <w:b/>
          <w:bCs/>
          <w:color w:val="auto"/>
          <w:kern w:val="2"/>
          <w:sz w:val="32"/>
          <w:szCs w:val="32"/>
          <w:highlight w:val="none"/>
          <w:lang w:val="en-US" w:eastAsia="zh-CN" w:bidi="ar-SA"/>
        </w:rPr>
        <w:t>、商务响应偏离表</w:t>
      </w:r>
      <w:bookmarkEnd w:id="675"/>
      <w:bookmarkEnd w:id="676"/>
    </w:p>
    <w:p w14:paraId="1D186498">
      <w:pPr>
        <w:rPr>
          <w:rFonts w:cs="仿宋_GB2312"/>
          <w:color w:val="auto"/>
          <w:szCs w:val="24"/>
          <w:highlight w:val="none"/>
        </w:rPr>
      </w:pPr>
      <w:r>
        <w:rPr>
          <w:rFonts w:hint="eastAsia" w:cs="仿宋_GB2312"/>
          <w:color w:val="auto"/>
          <w:szCs w:val="24"/>
          <w:highlight w:val="none"/>
        </w:rPr>
        <w:t xml:space="preserve">项目名称：                                         </w:t>
      </w:r>
    </w:p>
    <w:p w14:paraId="49D93B14">
      <w:pPr>
        <w:rPr>
          <w:rFonts w:cs="仿宋_GB2312"/>
          <w:color w:val="auto"/>
          <w:szCs w:val="24"/>
          <w:highlight w:val="none"/>
        </w:rPr>
      </w:pPr>
      <w:r>
        <w:rPr>
          <w:rFonts w:hint="eastAsia" w:cs="仿宋_GB2312"/>
          <w:color w:val="auto"/>
          <w:szCs w:val="24"/>
          <w:highlight w:val="none"/>
        </w:rPr>
        <w:t>项目编号</w:t>
      </w:r>
      <w:r>
        <w:rPr>
          <w:rFonts w:hint="eastAsia"/>
          <w:b w:val="0"/>
          <w:bCs/>
          <w:color w:val="auto"/>
          <w:szCs w:val="21"/>
          <w:highlight w:val="none"/>
          <w:lang w:val="en-US" w:eastAsia="zh-CN"/>
        </w:rPr>
        <w:t>/</w:t>
      </w:r>
      <w:r>
        <w:rPr>
          <w:rFonts w:hint="eastAsia"/>
          <w:b w:val="0"/>
          <w:bCs/>
          <w:color w:val="auto"/>
          <w:szCs w:val="21"/>
          <w:highlight w:val="none"/>
          <w:lang w:val="zh-CN"/>
        </w:rPr>
        <w:t>包号</w:t>
      </w:r>
      <w:r>
        <w:rPr>
          <w:rFonts w:hint="eastAsia" w:cs="仿宋_GB2312"/>
          <w:color w:val="auto"/>
          <w:szCs w:val="24"/>
          <w:highlight w:val="none"/>
        </w:rPr>
        <w:t xml:space="preserve">：        </w:t>
      </w:r>
    </w:p>
    <w:tbl>
      <w:tblPr>
        <w:tblStyle w:val="29"/>
        <w:tblW w:w="503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1"/>
        <w:gridCol w:w="2394"/>
        <w:gridCol w:w="1720"/>
        <w:gridCol w:w="1871"/>
        <w:gridCol w:w="1871"/>
      </w:tblGrid>
      <w:tr w14:paraId="33127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trPr>
        <w:tc>
          <w:tcPr>
            <w:tcW w:w="420" w:type="pct"/>
            <w:vAlign w:val="center"/>
          </w:tcPr>
          <w:p w14:paraId="61EA1055">
            <w:pPr>
              <w:pStyle w:val="49"/>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395" w:type="pct"/>
            <w:vAlign w:val="center"/>
          </w:tcPr>
          <w:p w14:paraId="49200A2F">
            <w:pPr>
              <w:pStyle w:val="49"/>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招标文件的商务条款</w:t>
            </w:r>
          </w:p>
        </w:tc>
        <w:tc>
          <w:tcPr>
            <w:tcW w:w="1002" w:type="pct"/>
            <w:vAlign w:val="center"/>
          </w:tcPr>
          <w:p w14:paraId="2B47A594">
            <w:pPr>
              <w:pStyle w:val="49"/>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投标文件的响应内容</w:t>
            </w:r>
          </w:p>
        </w:tc>
        <w:tc>
          <w:tcPr>
            <w:tcW w:w="1090" w:type="pct"/>
            <w:vAlign w:val="center"/>
          </w:tcPr>
          <w:p w14:paraId="0A22DBCC">
            <w:pPr>
              <w:pStyle w:val="49"/>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响应情况</w:t>
            </w:r>
          </w:p>
        </w:tc>
        <w:tc>
          <w:tcPr>
            <w:tcW w:w="1090" w:type="pct"/>
            <w:vAlign w:val="center"/>
          </w:tcPr>
          <w:p w14:paraId="030997F0">
            <w:pPr>
              <w:pStyle w:val="49"/>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说明及索引</w:t>
            </w:r>
          </w:p>
        </w:tc>
      </w:tr>
      <w:tr w14:paraId="2C90DE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6F94D579">
            <w:pPr>
              <w:pStyle w:val="49"/>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395" w:type="pct"/>
            <w:vAlign w:val="center"/>
          </w:tcPr>
          <w:p w14:paraId="4BC6C9AE">
            <w:pPr>
              <w:pStyle w:val="49"/>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002" w:type="pct"/>
            <w:vAlign w:val="center"/>
          </w:tcPr>
          <w:p w14:paraId="5FBB3652">
            <w:pPr>
              <w:pStyle w:val="49"/>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090" w:type="pct"/>
            <w:vAlign w:val="center"/>
          </w:tcPr>
          <w:p w14:paraId="0BE3ED73">
            <w:pPr>
              <w:pStyle w:val="49"/>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响应/偏离</w:t>
            </w:r>
          </w:p>
        </w:tc>
        <w:tc>
          <w:tcPr>
            <w:tcW w:w="1090" w:type="pct"/>
            <w:vAlign w:val="center"/>
          </w:tcPr>
          <w:p w14:paraId="38155B65">
            <w:pPr>
              <w:pStyle w:val="49"/>
              <w:jc w:val="center"/>
              <w:rPr>
                <w:rFonts w:hint="eastAsia" w:ascii="宋体" w:hAnsi="宋体" w:eastAsia="宋体" w:cs="宋体"/>
                <w:color w:val="auto"/>
                <w:sz w:val="21"/>
                <w:szCs w:val="21"/>
                <w:highlight w:val="none"/>
              </w:rPr>
            </w:pPr>
          </w:p>
        </w:tc>
      </w:tr>
      <w:tr w14:paraId="2C680F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31A99A42">
            <w:pPr>
              <w:pStyle w:val="49"/>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395" w:type="pct"/>
            <w:vAlign w:val="center"/>
          </w:tcPr>
          <w:p w14:paraId="45C9EA13">
            <w:pPr>
              <w:pStyle w:val="49"/>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002" w:type="pct"/>
            <w:vAlign w:val="center"/>
          </w:tcPr>
          <w:p w14:paraId="78716E39">
            <w:pPr>
              <w:pStyle w:val="49"/>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090" w:type="pct"/>
            <w:vAlign w:val="center"/>
          </w:tcPr>
          <w:p w14:paraId="7FF2D014">
            <w:pPr>
              <w:pStyle w:val="49"/>
              <w:jc w:val="center"/>
              <w:rPr>
                <w:rFonts w:hint="eastAsia" w:ascii="宋体" w:hAnsi="宋体" w:eastAsia="宋体" w:cs="宋体"/>
                <w:color w:val="auto"/>
                <w:sz w:val="21"/>
                <w:szCs w:val="21"/>
                <w:highlight w:val="none"/>
              </w:rPr>
            </w:pPr>
          </w:p>
        </w:tc>
        <w:tc>
          <w:tcPr>
            <w:tcW w:w="1090" w:type="pct"/>
            <w:vAlign w:val="center"/>
          </w:tcPr>
          <w:p w14:paraId="4FD2DF22">
            <w:pPr>
              <w:pStyle w:val="49"/>
              <w:jc w:val="center"/>
              <w:rPr>
                <w:rFonts w:hint="eastAsia" w:ascii="宋体" w:hAnsi="宋体" w:eastAsia="宋体" w:cs="宋体"/>
                <w:color w:val="auto"/>
                <w:sz w:val="21"/>
                <w:szCs w:val="21"/>
                <w:highlight w:val="none"/>
              </w:rPr>
            </w:pPr>
          </w:p>
        </w:tc>
      </w:tr>
      <w:tr w14:paraId="3CF1E4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21DCD2EC">
            <w:pPr>
              <w:pStyle w:val="49"/>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1395" w:type="pct"/>
            <w:vAlign w:val="center"/>
          </w:tcPr>
          <w:p w14:paraId="69CD6442">
            <w:pPr>
              <w:pStyle w:val="49"/>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002" w:type="pct"/>
            <w:vAlign w:val="center"/>
          </w:tcPr>
          <w:p w14:paraId="0A18A482">
            <w:pPr>
              <w:pStyle w:val="49"/>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090" w:type="pct"/>
            <w:vAlign w:val="center"/>
          </w:tcPr>
          <w:p w14:paraId="4CBAA73E">
            <w:pPr>
              <w:pStyle w:val="49"/>
              <w:jc w:val="center"/>
              <w:rPr>
                <w:rFonts w:hint="eastAsia" w:ascii="宋体" w:hAnsi="宋体" w:eastAsia="宋体" w:cs="宋体"/>
                <w:color w:val="auto"/>
                <w:sz w:val="21"/>
                <w:szCs w:val="21"/>
                <w:highlight w:val="none"/>
              </w:rPr>
            </w:pPr>
          </w:p>
        </w:tc>
        <w:tc>
          <w:tcPr>
            <w:tcW w:w="1090" w:type="pct"/>
            <w:vAlign w:val="center"/>
          </w:tcPr>
          <w:p w14:paraId="7E83BCC4">
            <w:pPr>
              <w:pStyle w:val="49"/>
              <w:jc w:val="center"/>
              <w:rPr>
                <w:rFonts w:hint="eastAsia" w:ascii="宋体" w:hAnsi="宋体" w:eastAsia="宋体" w:cs="宋体"/>
                <w:color w:val="auto"/>
                <w:sz w:val="21"/>
                <w:szCs w:val="21"/>
                <w:highlight w:val="none"/>
              </w:rPr>
            </w:pPr>
          </w:p>
        </w:tc>
      </w:tr>
      <w:tr w14:paraId="15C0F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7F30B680">
            <w:pPr>
              <w:pStyle w:val="49"/>
              <w:jc w:val="center"/>
              <w:rPr>
                <w:rFonts w:hint="eastAsia" w:ascii="宋体" w:hAnsi="宋体" w:eastAsia="宋体" w:cs="宋体"/>
                <w:color w:val="auto"/>
                <w:sz w:val="21"/>
                <w:szCs w:val="21"/>
                <w:highlight w:val="none"/>
              </w:rPr>
            </w:pPr>
          </w:p>
        </w:tc>
        <w:tc>
          <w:tcPr>
            <w:tcW w:w="1395" w:type="pct"/>
            <w:vAlign w:val="center"/>
          </w:tcPr>
          <w:p w14:paraId="4AADEA29">
            <w:pPr>
              <w:pStyle w:val="49"/>
              <w:jc w:val="center"/>
              <w:rPr>
                <w:rFonts w:hint="eastAsia" w:ascii="宋体" w:hAnsi="宋体" w:eastAsia="宋体" w:cs="宋体"/>
                <w:color w:val="auto"/>
                <w:sz w:val="21"/>
                <w:szCs w:val="21"/>
                <w:highlight w:val="none"/>
              </w:rPr>
            </w:pPr>
          </w:p>
        </w:tc>
        <w:tc>
          <w:tcPr>
            <w:tcW w:w="1002" w:type="pct"/>
            <w:vAlign w:val="center"/>
          </w:tcPr>
          <w:p w14:paraId="38D5F739">
            <w:pPr>
              <w:pStyle w:val="49"/>
              <w:jc w:val="center"/>
              <w:rPr>
                <w:rFonts w:hint="eastAsia" w:ascii="宋体" w:hAnsi="宋体" w:eastAsia="宋体" w:cs="宋体"/>
                <w:color w:val="auto"/>
                <w:sz w:val="21"/>
                <w:szCs w:val="21"/>
                <w:highlight w:val="none"/>
              </w:rPr>
            </w:pPr>
          </w:p>
        </w:tc>
        <w:tc>
          <w:tcPr>
            <w:tcW w:w="1090" w:type="pct"/>
            <w:vAlign w:val="center"/>
          </w:tcPr>
          <w:p w14:paraId="225853EF">
            <w:pPr>
              <w:pStyle w:val="49"/>
              <w:jc w:val="center"/>
              <w:rPr>
                <w:rFonts w:hint="eastAsia" w:ascii="宋体" w:hAnsi="宋体" w:eastAsia="宋体" w:cs="宋体"/>
                <w:color w:val="auto"/>
                <w:sz w:val="21"/>
                <w:szCs w:val="21"/>
                <w:highlight w:val="none"/>
              </w:rPr>
            </w:pPr>
          </w:p>
        </w:tc>
        <w:tc>
          <w:tcPr>
            <w:tcW w:w="1090" w:type="pct"/>
            <w:vAlign w:val="center"/>
          </w:tcPr>
          <w:p w14:paraId="701964E1">
            <w:pPr>
              <w:pStyle w:val="49"/>
              <w:jc w:val="center"/>
              <w:rPr>
                <w:rFonts w:hint="eastAsia" w:ascii="宋体" w:hAnsi="宋体" w:eastAsia="宋体" w:cs="宋体"/>
                <w:color w:val="auto"/>
                <w:sz w:val="21"/>
                <w:szCs w:val="21"/>
                <w:highlight w:val="none"/>
              </w:rPr>
            </w:pPr>
          </w:p>
        </w:tc>
      </w:tr>
      <w:tr w14:paraId="0D3DF9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35F3EE02">
            <w:pPr>
              <w:pStyle w:val="49"/>
              <w:jc w:val="center"/>
              <w:rPr>
                <w:rFonts w:hint="eastAsia" w:ascii="宋体" w:hAnsi="宋体" w:eastAsia="宋体" w:cs="宋体"/>
                <w:color w:val="auto"/>
                <w:sz w:val="21"/>
                <w:szCs w:val="21"/>
                <w:highlight w:val="none"/>
              </w:rPr>
            </w:pPr>
          </w:p>
        </w:tc>
        <w:tc>
          <w:tcPr>
            <w:tcW w:w="1395" w:type="pct"/>
            <w:vAlign w:val="center"/>
          </w:tcPr>
          <w:p w14:paraId="4393079D">
            <w:pPr>
              <w:pStyle w:val="49"/>
              <w:jc w:val="center"/>
              <w:rPr>
                <w:rFonts w:hint="eastAsia" w:ascii="宋体" w:hAnsi="宋体" w:eastAsia="宋体" w:cs="宋体"/>
                <w:color w:val="auto"/>
                <w:sz w:val="21"/>
                <w:szCs w:val="21"/>
                <w:highlight w:val="none"/>
              </w:rPr>
            </w:pPr>
          </w:p>
        </w:tc>
        <w:tc>
          <w:tcPr>
            <w:tcW w:w="1002" w:type="pct"/>
            <w:vAlign w:val="center"/>
          </w:tcPr>
          <w:p w14:paraId="25A3A5BC">
            <w:pPr>
              <w:pStyle w:val="49"/>
              <w:jc w:val="center"/>
              <w:rPr>
                <w:rFonts w:hint="eastAsia" w:ascii="宋体" w:hAnsi="宋体" w:eastAsia="宋体" w:cs="宋体"/>
                <w:color w:val="auto"/>
                <w:sz w:val="21"/>
                <w:szCs w:val="21"/>
                <w:highlight w:val="none"/>
              </w:rPr>
            </w:pPr>
          </w:p>
        </w:tc>
        <w:tc>
          <w:tcPr>
            <w:tcW w:w="1090" w:type="pct"/>
            <w:vAlign w:val="center"/>
          </w:tcPr>
          <w:p w14:paraId="1B49FF8B">
            <w:pPr>
              <w:pStyle w:val="49"/>
              <w:jc w:val="center"/>
              <w:rPr>
                <w:rFonts w:hint="eastAsia" w:ascii="宋体" w:hAnsi="宋体" w:eastAsia="宋体" w:cs="宋体"/>
                <w:color w:val="auto"/>
                <w:sz w:val="21"/>
                <w:szCs w:val="21"/>
                <w:highlight w:val="none"/>
              </w:rPr>
            </w:pPr>
          </w:p>
        </w:tc>
        <w:tc>
          <w:tcPr>
            <w:tcW w:w="1090" w:type="pct"/>
            <w:vAlign w:val="center"/>
          </w:tcPr>
          <w:p w14:paraId="7AD8A67B">
            <w:pPr>
              <w:pStyle w:val="49"/>
              <w:jc w:val="center"/>
              <w:rPr>
                <w:rFonts w:hint="eastAsia" w:ascii="宋体" w:hAnsi="宋体" w:eastAsia="宋体" w:cs="宋体"/>
                <w:color w:val="auto"/>
                <w:sz w:val="21"/>
                <w:szCs w:val="21"/>
                <w:highlight w:val="none"/>
              </w:rPr>
            </w:pPr>
          </w:p>
        </w:tc>
      </w:tr>
      <w:tr w14:paraId="193F52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308504A9">
            <w:pPr>
              <w:pStyle w:val="49"/>
              <w:jc w:val="center"/>
              <w:rPr>
                <w:rFonts w:hint="eastAsia" w:ascii="宋体" w:hAnsi="宋体" w:eastAsia="宋体" w:cs="宋体"/>
                <w:color w:val="auto"/>
                <w:sz w:val="21"/>
                <w:szCs w:val="21"/>
                <w:highlight w:val="none"/>
              </w:rPr>
            </w:pPr>
          </w:p>
        </w:tc>
        <w:tc>
          <w:tcPr>
            <w:tcW w:w="1395" w:type="pct"/>
            <w:vAlign w:val="center"/>
          </w:tcPr>
          <w:p w14:paraId="0B05BA21">
            <w:pPr>
              <w:pStyle w:val="49"/>
              <w:jc w:val="center"/>
              <w:rPr>
                <w:rFonts w:hint="eastAsia" w:ascii="宋体" w:hAnsi="宋体" w:eastAsia="宋体" w:cs="宋体"/>
                <w:color w:val="auto"/>
                <w:sz w:val="21"/>
                <w:szCs w:val="21"/>
                <w:highlight w:val="none"/>
              </w:rPr>
            </w:pPr>
          </w:p>
        </w:tc>
        <w:tc>
          <w:tcPr>
            <w:tcW w:w="1002" w:type="pct"/>
            <w:vAlign w:val="center"/>
          </w:tcPr>
          <w:p w14:paraId="6EE2FD7A">
            <w:pPr>
              <w:pStyle w:val="49"/>
              <w:jc w:val="center"/>
              <w:rPr>
                <w:rFonts w:hint="eastAsia" w:ascii="宋体" w:hAnsi="宋体" w:eastAsia="宋体" w:cs="宋体"/>
                <w:color w:val="auto"/>
                <w:sz w:val="21"/>
                <w:szCs w:val="21"/>
                <w:highlight w:val="none"/>
              </w:rPr>
            </w:pPr>
          </w:p>
        </w:tc>
        <w:tc>
          <w:tcPr>
            <w:tcW w:w="1090" w:type="pct"/>
            <w:vAlign w:val="center"/>
          </w:tcPr>
          <w:p w14:paraId="3C3EE3D6">
            <w:pPr>
              <w:pStyle w:val="49"/>
              <w:jc w:val="center"/>
              <w:rPr>
                <w:rFonts w:hint="eastAsia" w:ascii="宋体" w:hAnsi="宋体" w:eastAsia="宋体" w:cs="宋体"/>
                <w:color w:val="auto"/>
                <w:sz w:val="21"/>
                <w:szCs w:val="21"/>
                <w:highlight w:val="none"/>
              </w:rPr>
            </w:pPr>
          </w:p>
        </w:tc>
        <w:tc>
          <w:tcPr>
            <w:tcW w:w="1090" w:type="pct"/>
            <w:vAlign w:val="center"/>
          </w:tcPr>
          <w:p w14:paraId="0D0213B3">
            <w:pPr>
              <w:pStyle w:val="49"/>
              <w:jc w:val="center"/>
              <w:rPr>
                <w:rFonts w:hint="eastAsia" w:ascii="宋体" w:hAnsi="宋体" w:eastAsia="宋体" w:cs="宋体"/>
                <w:color w:val="auto"/>
                <w:sz w:val="21"/>
                <w:szCs w:val="21"/>
                <w:highlight w:val="none"/>
              </w:rPr>
            </w:pPr>
          </w:p>
        </w:tc>
      </w:tr>
      <w:tr w14:paraId="05BC66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2DE1BBEB">
            <w:pPr>
              <w:pStyle w:val="49"/>
              <w:jc w:val="center"/>
              <w:rPr>
                <w:rFonts w:hint="eastAsia" w:ascii="宋体" w:hAnsi="宋体" w:eastAsia="宋体" w:cs="宋体"/>
                <w:color w:val="auto"/>
                <w:sz w:val="21"/>
                <w:szCs w:val="21"/>
                <w:highlight w:val="none"/>
              </w:rPr>
            </w:pPr>
          </w:p>
        </w:tc>
        <w:tc>
          <w:tcPr>
            <w:tcW w:w="1395" w:type="pct"/>
            <w:vAlign w:val="center"/>
          </w:tcPr>
          <w:p w14:paraId="2369E7CE">
            <w:pPr>
              <w:pStyle w:val="49"/>
              <w:jc w:val="center"/>
              <w:rPr>
                <w:rFonts w:hint="eastAsia" w:ascii="宋体" w:hAnsi="宋体" w:eastAsia="宋体" w:cs="宋体"/>
                <w:color w:val="auto"/>
                <w:sz w:val="21"/>
                <w:szCs w:val="21"/>
                <w:highlight w:val="none"/>
              </w:rPr>
            </w:pPr>
          </w:p>
        </w:tc>
        <w:tc>
          <w:tcPr>
            <w:tcW w:w="1002" w:type="pct"/>
            <w:vAlign w:val="center"/>
          </w:tcPr>
          <w:p w14:paraId="1C290511">
            <w:pPr>
              <w:pStyle w:val="49"/>
              <w:jc w:val="center"/>
              <w:rPr>
                <w:rFonts w:hint="eastAsia" w:ascii="宋体" w:hAnsi="宋体" w:eastAsia="宋体" w:cs="宋体"/>
                <w:color w:val="auto"/>
                <w:sz w:val="21"/>
                <w:szCs w:val="21"/>
                <w:highlight w:val="none"/>
              </w:rPr>
            </w:pPr>
          </w:p>
        </w:tc>
        <w:tc>
          <w:tcPr>
            <w:tcW w:w="1090" w:type="pct"/>
            <w:vAlign w:val="center"/>
          </w:tcPr>
          <w:p w14:paraId="2E4702A6">
            <w:pPr>
              <w:pStyle w:val="49"/>
              <w:jc w:val="center"/>
              <w:rPr>
                <w:rFonts w:hint="eastAsia" w:ascii="宋体" w:hAnsi="宋体" w:eastAsia="宋体" w:cs="宋体"/>
                <w:color w:val="auto"/>
                <w:sz w:val="21"/>
                <w:szCs w:val="21"/>
                <w:highlight w:val="none"/>
              </w:rPr>
            </w:pPr>
          </w:p>
        </w:tc>
        <w:tc>
          <w:tcPr>
            <w:tcW w:w="1090" w:type="pct"/>
            <w:vAlign w:val="center"/>
          </w:tcPr>
          <w:p w14:paraId="65DCC158">
            <w:pPr>
              <w:pStyle w:val="49"/>
              <w:jc w:val="center"/>
              <w:rPr>
                <w:rFonts w:hint="eastAsia" w:ascii="宋体" w:hAnsi="宋体" w:eastAsia="宋体" w:cs="宋体"/>
                <w:color w:val="auto"/>
                <w:sz w:val="21"/>
                <w:szCs w:val="21"/>
                <w:highlight w:val="none"/>
              </w:rPr>
            </w:pPr>
          </w:p>
        </w:tc>
      </w:tr>
      <w:tr w14:paraId="086EA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4A27D4B4">
            <w:pPr>
              <w:pStyle w:val="49"/>
              <w:jc w:val="center"/>
              <w:rPr>
                <w:rFonts w:hint="eastAsia" w:ascii="宋体" w:hAnsi="宋体" w:eastAsia="宋体" w:cs="宋体"/>
                <w:color w:val="auto"/>
                <w:sz w:val="21"/>
                <w:szCs w:val="21"/>
                <w:highlight w:val="none"/>
              </w:rPr>
            </w:pPr>
          </w:p>
        </w:tc>
        <w:tc>
          <w:tcPr>
            <w:tcW w:w="1395" w:type="pct"/>
            <w:vAlign w:val="center"/>
          </w:tcPr>
          <w:p w14:paraId="15CE8362">
            <w:pPr>
              <w:pStyle w:val="49"/>
              <w:jc w:val="center"/>
              <w:rPr>
                <w:rFonts w:hint="eastAsia" w:ascii="宋体" w:hAnsi="宋体" w:eastAsia="宋体" w:cs="宋体"/>
                <w:color w:val="auto"/>
                <w:sz w:val="21"/>
                <w:szCs w:val="21"/>
                <w:highlight w:val="none"/>
              </w:rPr>
            </w:pPr>
          </w:p>
        </w:tc>
        <w:tc>
          <w:tcPr>
            <w:tcW w:w="1002" w:type="pct"/>
            <w:vAlign w:val="center"/>
          </w:tcPr>
          <w:p w14:paraId="78520959">
            <w:pPr>
              <w:pStyle w:val="49"/>
              <w:jc w:val="center"/>
              <w:rPr>
                <w:rFonts w:hint="eastAsia" w:ascii="宋体" w:hAnsi="宋体" w:eastAsia="宋体" w:cs="宋体"/>
                <w:color w:val="auto"/>
                <w:sz w:val="21"/>
                <w:szCs w:val="21"/>
                <w:highlight w:val="none"/>
              </w:rPr>
            </w:pPr>
          </w:p>
        </w:tc>
        <w:tc>
          <w:tcPr>
            <w:tcW w:w="1090" w:type="pct"/>
            <w:vAlign w:val="center"/>
          </w:tcPr>
          <w:p w14:paraId="6B647A83">
            <w:pPr>
              <w:pStyle w:val="49"/>
              <w:jc w:val="center"/>
              <w:rPr>
                <w:rFonts w:hint="eastAsia" w:ascii="宋体" w:hAnsi="宋体" w:eastAsia="宋体" w:cs="宋体"/>
                <w:color w:val="auto"/>
                <w:sz w:val="21"/>
                <w:szCs w:val="21"/>
                <w:highlight w:val="none"/>
              </w:rPr>
            </w:pPr>
          </w:p>
        </w:tc>
        <w:tc>
          <w:tcPr>
            <w:tcW w:w="1090" w:type="pct"/>
            <w:vAlign w:val="center"/>
          </w:tcPr>
          <w:p w14:paraId="53ABE546">
            <w:pPr>
              <w:pStyle w:val="49"/>
              <w:jc w:val="center"/>
              <w:rPr>
                <w:rFonts w:hint="eastAsia" w:ascii="宋体" w:hAnsi="宋体" w:eastAsia="宋体" w:cs="宋体"/>
                <w:color w:val="auto"/>
                <w:sz w:val="21"/>
                <w:szCs w:val="21"/>
                <w:highlight w:val="none"/>
              </w:rPr>
            </w:pPr>
          </w:p>
        </w:tc>
      </w:tr>
      <w:tr w14:paraId="2CD73B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3BECA690">
            <w:pPr>
              <w:pStyle w:val="49"/>
              <w:jc w:val="center"/>
              <w:rPr>
                <w:rFonts w:hint="eastAsia" w:ascii="宋体" w:hAnsi="宋体" w:eastAsia="宋体" w:cs="宋体"/>
                <w:color w:val="auto"/>
                <w:sz w:val="21"/>
                <w:szCs w:val="21"/>
                <w:highlight w:val="none"/>
              </w:rPr>
            </w:pPr>
          </w:p>
        </w:tc>
        <w:tc>
          <w:tcPr>
            <w:tcW w:w="1395" w:type="pct"/>
            <w:vAlign w:val="center"/>
          </w:tcPr>
          <w:p w14:paraId="1376A9AF">
            <w:pPr>
              <w:pStyle w:val="49"/>
              <w:jc w:val="center"/>
              <w:rPr>
                <w:rFonts w:hint="eastAsia" w:ascii="宋体" w:hAnsi="宋体" w:eastAsia="宋体" w:cs="宋体"/>
                <w:color w:val="auto"/>
                <w:sz w:val="21"/>
                <w:szCs w:val="21"/>
                <w:highlight w:val="none"/>
              </w:rPr>
            </w:pPr>
          </w:p>
        </w:tc>
        <w:tc>
          <w:tcPr>
            <w:tcW w:w="1002" w:type="pct"/>
            <w:vAlign w:val="center"/>
          </w:tcPr>
          <w:p w14:paraId="021889CB">
            <w:pPr>
              <w:pStyle w:val="49"/>
              <w:jc w:val="center"/>
              <w:rPr>
                <w:rFonts w:hint="eastAsia" w:ascii="宋体" w:hAnsi="宋体" w:eastAsia="宋体" w:cs="宋体"/>
                <w:color w:val="auto"/>
                <w:sz w:val="21"/>
                <w:szCs w:val="21"/>
                <w:highlight w:val="none"/>
              </w:rPr>
            </w:pPr>
          </w:p>
        </w:tc>
        <w:tc>
          <w:tcPr>
            <w:tcW w:w="1090" w:type="pct"/>
            <w:vAlign w:val="center"/>
          </w:tcPr>
          <w:p w14:paraId="1AA6C389">
            <w:pPr>
              <w:pStyle w:val="49"/>
              <w:jc w:val="center"/>
              <w:rPr>
                <w:rFonts w:hint="eastAsia" w:ascii="宋体" w:hAnsi="宋体" w:eastAsia="宋体" w:cs="宋体"/>
                <w:color w:val="auto"/>
                <w:sz w:val="21"/>
                <w:szCs w:val="21"/>
                <w:highlight w:val="none"/>
              </w:rPr>
            </w:pPr>
          </w:p>
        </w:tc>
        <w:tc>
          <w:tcPr>
            <w:tcW w:w="1090" w:type="pct"/>
            <w:vAlign w:val="center"/>
          </w:tcPr>
          <w:p w14:paraId="326386ED">
            <w:pPr>
              <w:pStyle w:val="49"/>
              <w:jc w:val="center"/>
              <w:rPr>
                <w:rFonts w:hint="eastAsia" w:ascii="宋体" w:hAnsi="宋体" w:eastAsia="宋体" w:cs="宋体"/>
                <w:color w:val="auto"/>
                <w:sz w:val="21"/>
                <w:szCs w:val="21"/>
                <w:highlight w:val="none"/>
              </w:rPr>
            </w:pPr>
          </w:p>
        </w:tc>
      </w:tr>
      <w:tr w14:paraId="53B15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20" w:type="pct"/>
            <w:vAlign w:val="center"/>
          </w:tcPr>
          <w:p w14:paraId="06D2AB52">
            <w:pPr>
              <w:pStyle w:val="49"/>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395" w:type="pct"/>
            <w:vAlign w:val="center"/>
          </w:tcPr>
          <w:p w14:paraId="67994701">
            <w:pPr>
              <w:pStyle w:val="49"/>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002" w:type="pct"/>
            <w:vAlign w:val="center"/>
          </w:tcPr>
          <w:p w14:paraId="460CD4A3">
            <w:pPr>
              <w:pStyle w:val="49"/>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090" w:type="pct"/>
            <w:vAlign w:val="center"/>
          </w:tcPr>
          <w:p w14:paraId="6A230043">
            <w:pPr>
              <w:pStyle w:val="49"/>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090" w:type="pct"/>
            <w:vAlign w:val="center"/>
          </w:tcPr>
          <w:p w14:paraId="68EC7DE5">
            <w:pPr>
              <w:pStyle w:val="49"/>
              <w:jc w:val="center"/>
              <w:rPr>
                <w:rFonts w:hint="eastAsia" w:ascii="宋体" w:hAnsi="宋体" w:eastAsia="宋体" w:cs="宋体"/>
                <w:color w:val="auto"/>
                <w:sz w:val="21"/>
                <w:szCs w:val="21"/>
                <w:highlight w:val="none"/>
              </w:rPr>
            </w:pPr>
          </w:p>
        </w:tc>
      </w:tr>
    </w:tbl>
    <w:p w14:paraId="5516D2ED">
      <w:pPr>
        <w:ind w:firstLine="420" w:firstLineChars="200"/>
        <w:rPr>
          <w:rFonts w:hint="eastAsia" w:cs="仿宋_GB2312"/>
          <w:color w:val="auto"/>
          <w:sz w:val="21"/>
          <w:szCs w:val="21"/>
          <w:highlight w:val="none"/>
        </w:rPr>
      </w:pPr>
    </w:p>
    <w:p w14:paraId="5CB06622">
      <w:pPr>
        <w:ind w:firstLine="480" w:firstLineChars="200"/>
        <w:rPr>
          <w:rFonts w:cs="仿宋_GB2312"/>
          <w:color w:val="auto"/>
          <w:szCs w:val="24"/>
          <w:highlight w:val="none"/>
        </w:rPr>
      </w:pPr>
    </w:p>
    <w:p w14:paraId="2E8083B6">
      <w:pPr>
        <w:ind w:firstLine="480" w:firstLineChars="200"/>
        <w:rPr>
          <w:rFonts w:cs="仿宋_GB2312"/>
          <w:color w:val="auto"/>
          <w:szCs w:val="24"/>
          <w:highlight w:val="none"/>
        </w:rPr>
      </w:pPr>
      <w:r>
        <w:rPr>
          <w:rFonts w:hint="eastAsia" w:cs="仿宋_GB2312"/>
          <w:color w:val="auto"/>
          <w:szCs w:val="24"/>
          <w:highlight w:val="none"/>
        </w:rPr>
        <w:t>投标人名称</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ascii="宋体" w:hAnsi="宋体" w:cs="宋体"/>
          <w:color w:val="auto"/>
          <w:kern w:val="0"/>
          <w:sz w:val="24"/>
          <w:highlight w:val="none"/>
          <w:lang w:val="zh-CN"/>
        </w:rPr>
        <w:t>)</w:t>
      </w:r>
      <w:r>
        <w:rPr>
          <w:rFonts w:hint="eastAsia" w:cs="仿宋_GB2312"/>
          <w:color w:val="auto"/>
          <w:szCs w:val="24"/>
          <w:highlight w:val="none"/>
        </w:rPr>
        <w:t>：</w:t>
      </w:r>
      <w:r>
        <w:rPr>
          <w:rFonts w:cs="仿宋_GB2312"/>
          <w:color w:val="auto"/>
          <w:szCs w:val="24"/>
          <w:highlight w:val="none"/>
        </w:rPr>
        <w:t xml:space="preserve"> </w:t>
      </w:r>
    </w:p>
    <w:p w14:paraId="77655944">
      <w:pPr>
        <w:ind w:firstLine="420"/>
        <w:rPr>
          <w:rFonts w:cs="仿宋_GB2312"/>
          <w:color w:val="auto"/>
          <w:szCs w:val="24"/>
          <w:highlight w:val="none"/>
        </w:rPr>
      </w:pPr>
      <w:r>
        <w:rPr>
          <w:rFonts w:hint="eastAsia" w:cs="仿宋_GB2312"/>
          <w:color w:val="auto"/>
          <w:szCs w:val="24"/>
          <w:highlight w:val="none"/>
        </w:rPr>
        <w:t>日      期：</w:t>
      </w:r>
    </w:p>
    <w:p w14:paraId="258EF608">
      <w:pPr>
        <w:ind w:firstLine="420"/>
        <w:rPr>
          <w:rFonts w:cs="仿宋_GB2312"/>
          <w:color w:val="auto"/>
          <w:szCs w:val="24"/>
          <w:highlight w:val="none"/>
        </w:rPr>
      </w:pPr>
    </w:p>
    <w:p w14:paraId="3F428C59">
      <w:pPr>
        <w:ind w:firstLine="420" w:firstLineChars="200"/>
        <w:rPr>
          <w:rFonts w:cs="仿宋_GB2312"/>
          <w:color w:val="auto"/>
          <w:szCs w:val="24"/>
          <w:highlight w:val="none"/>
        </w:rPr>
      </w:pPr>
      <w:r>
        <w:rPr>
          <w:rFonts w:hint="eastAsia" w:cs="仿宋_GB2312"/>
          <w:color w:val="auto"/>
          <w:sz w:val="21"/>
          <w:szCs w:val="21"/>
          <w:highlight w:val="none"/>
        </w:rPr>
        <w:t>注：投标人应按照招标文件“第三章 采购需求”</w:t>
      </w:r>
      <w:r>
        <w:rPr>
          <w:rFonts w:hint="eastAsia" w:cs="仿宋_GB2312"/>
          <w:color w:val="auto"/>
          <w:sz w:val="21"/>
          <w:szCs w:val="21"/>
          <w:highlight w:val="none"/>
          <w:lang w:val="en-US" w:eastAsia="zh-CN"/>
        </w:rPr>
        <w:t>中的商务要求</w:t>
      </w:r>
      <w:r>
        <w:rPr>
          <w:rFonts w:hint="eastAsia" w:cs="仿宋_GB2312"/>
          <w:color w:val="auto"/>
          <w:sz w:val="21"/>
          <w:szCs w:val="21"/>
          <w:highlight w:val="none"/>
        </w:rPr>
        <w:t>填写</w:t>
      </w:r>
      <w:r>
        <w:rPr>
          <w:rFonts w:hint="eastAsia" w:cs="仿宋_GB2312"/>
          <w:color w:val="auto"/>
          <w:sz w:val="21"/>
          <w:szCs w:val="21"/>
          <w:highlight w:val="none"/>
          <w:lang w:eastAsia="zh-CN"/>
        </w:rPr>
        <w:t>：</w:t>
      </w:r>
    </w:p>
    <w:p w14:paraId="16749689">
      <w:pPr>
        <w:ind w:firstLine="420" w:firstLineChars="200"/>
        <w:rPr>
          <w:rFonts w:hint="eastAsia" w:cs="仿宋_GB2312"/>
          <w:color w:val="auto"/>
          <w:sz w:val="21"/>
          <w:szCs w:val="21"/>
          <w:highlight w:val="none"/>
        </w:rPr>
      </w:pPr>
      <w:r>
        <w:rPr>
          <w:rFonts w:hint="eastAsia" w:cs="仿宋_GB2312"/>
          <w:color w:val="auto"/>
          <w:sz w:val="21"/>
          <w:szCs w:val="21"/>
          <w:highlight w:val="none"/>
          <w:lang w:val="en-US" w:eastAsia="zh-CN"/>
        </w:rPr>
        <w:t xml:space="preserve">1.“招标文件的商务条款”栏应详细列明招标文件中的商务要求。 </w:t>
      </w:r>
    </w:p>
    <w:p w14:paraId="5CB91061">
      <w:pPr>
        <w:ind w:firstLine="420" w:firstLineChars="200"/>
        <w:rPr>
          <w:rFonts w:hint="eastAsia" w:cs="仿宋_GB2312"/>
          <w:color w:val="auto"/>
          <w:sz w:val="21"/>
          <w:szCs w:val="21"/>
          <w:highlight w:val="none"/>
        </w:rPr>
      </w:pPr>
      <w:r>
        <w:rPr>
          <w:rFonts w:hint="eastAsia" w:cs="仿宋_GB2312"/>
          <w:color w:val="auto"/>
          <w:sz w:val="21"/>
          <w:szCs w:val="21"/>
          <w:highlight w:val="none"/>
          <w:lang w:val="en-US" w:eastAsia="zh-CN"/>
        </w:rPr>
        <w:t>2.“投标文件的响应内容”栏填写投标人对招标文件提出的商务条款作出的明确响应，并列明具体响应数值或内容，只注明符合、满足等无具体内容表述的，将视为未实质性满足招标文件要求</w:t>
      </w:r>
      <w:r>
        <w:rPr>
          <w:rFonts w:hint="default" w:cs="仿宋_GB2312"/>
          <w:color w:val="auto"/>
          <w:sz w:val="21"/>
          <w:szCs w:val="21"/>
          <w:highlight w:val="none"/>
          <w:lang w:val="en-US" w:eastAsia="zh-CN"/>
        </w:rPr>
        <w:t>，</w:t>
      </w:r>
      <w:r>
        <w:rPr>
          <w:rFonts w:hint="eastAsia" w:cs="仿宋_GB2312"/>
          <w:b/>
          <w:bCs/>
          <w:color w:val="auto"/>
          <w:sz w:val="21"/>
          <w:szCs w:val="21"/>
          <w:highlight w:val="none"/>
          <w:lang w:val="en-US" w:eastAsia="zh-CN"/>
        </w:rPr>
        <w:t>投标</w:t>
      </w:r>
      <w:r>
        <w:rPr>
          <w:rFonts w:hint="default" w:cs="仿宋_GB2312"/>
          <w:b/>
          <w:bCs/>
          <w:color w:val="auto"/>
          <w:sz w:val="21"/>
          <w:szCs w:val="21"/>
          <w:highlight w:val="none"/>
          <w:lang w:val="en-US" w:eastAsia="zh-CN"/>
        </w:rPr>
        <w:t>无效</w:t>
      </w:r>
      <w:r>
        <w:rPr>
          <w:rFonts w:hint="eastAsia" w:cs="仿宋_GB2312"/>
          <w:color w:val="auto"/>
          <w:sz w:val="21"/>
          <w:szCs w:val="21"/>
          <w:highlight w:val="none"/>
          <w:lang w:val="en-US" w:eastAsia="zh-CN"/>
        </w:rPr>
        <w:t xml:space="preserve">。 </w:t>
      </w:r>
    </w:p>
    <w:p w14:paraId="0F350247">
      <w:pPr>
        <w:ind w:firstLine="420" w:firstLineChars="200"/>
        <w:rPr>
          <w:rFonts w:hint="eastAsia" w:cs="仿宋_GB2312"/>
          <w:color w:val="auto"/>
          <w:sz w:val="21"/>
          <w:szCs w:val="21"/>
          <w:highlight w:val="none"/>
        </w:rPr>
      </w:pPr>
      <w:r>
        <w:rPr>
          <w:rFonts w:hint="eastAsia" w:cs="仿宋_GB2312"/>
          <w:color w:val="auto"/>
          <w:sz w:val="21"/>
          <w:szCs w:val="21"/>
          <w:highlight w:val="none"/>
          <w:lang w:val="en-US" w:eastAsia="zh-CN"/>
        </w:rPr>
        <w:t xml:space="preserve">3.“响应情况”栏应据实填写“响应”、“正偏离”或“负偏离”。 </w:t>
      </w:r>
    </w:p>
    <w:p w14:paraId="5B002B53">
      <w:pPr>
        <w:ind w:firstLine="420" w:firstLineChars="200"/>
        <w:rPr>
          <w:rFonts w:hint="eastAsia" w:cs="仿宋_GB2312"/>
          <w:color w:val="auto"/>
          <w:sz w:val="21"/>
          <w:szCs w:val="21"/>
          <w:highlight w:val="none"/>
        </w:rPr>
      </w:pPr>
      <w:r>
        <w:rPr>
          <w:rFonts w:hint="eastAsia" w:cs="仿宋_GB2312"/>
          <w:color w:val="auto"/>
          <w:sz w:val="21"/>
          <w:szCs w:val="21"/>
          <w:highlight w:val="none"/>
          <w:lang w:val="en-US" w:eastAsia="zh-CN"/>
        </w:rPr>
        <w:t>4.“说明及索引”栏可填写偏离情况的具体说明及索引。</w:t>
      </w:r>
    </w:p>
    <w:p w14:paraId="598C43A6">
      <w:pPr>
        <w:ind w:firstLine="420"/>
        <w:rPr>
          <w:rFonts w:cs="仿宋_GB2312"/>
          <w:color w:val="auto"/>
          <w:szCs w:val="24"/>
          <w:highlight w:val="none"/>
        </w:rPr>
      </w:pPr>
      <w:r>
        <w:rPr>
          <w:rFonts w:hint="eastAsia" w:cs="仿宋_GB2312"/>
          <w:color w:val="auto"/>
          <w:sz w:val="21"/>
          <w:szCs w:val="21"/>
          <w:highlight w:val="none"/>
          <w:lang w:val="en-US" w:eastAsia="zh-CN"/>
        </w:rPr>
        <w:t>5.对招标文件中的所有商务要求，除本表所列明的所有偏离外，均视作供应商</w:t>
      </w:r>
      <w:r>
        <w:rPr>
          <w:rFonts w:hint="default" w:cs="仿宋_GB2312"/>
          <w:color w:val="auto"/>
          <w:sz w:val="21"/>
          <w:szCs w:val="21"/>
          <w:highlight w:val="none"/>
          <w:lang w:val="en-US" w:eastAsia="zh-CN"/>
        </w:rPr>
        <w:t>已对之理解和响应。此表中若无任何文字说明，内容为空白的，</w:t>
      </w:r>
      <w:r>
        <w:rPr>
          <w:rFonts w:hint="default" w:cs="仿宋_GB2312"/>
          <w:b/>
          <w:bCs/>
          <w:color w:val="auto"/>
          <w:sz w:val="21"/>
          <w:szCs w:val="21"/>
          <w:highlight w:val="none"/>
          <w:lang w:val="en-US" w:eastAsia="zh-CN"/>
        </w:rPr>
        <w:t>投标无效</w:t>
      </w:r>
      <w:r>
        <w:rPr>
          <w:rFonts w:hint="default" w:cs="仿宋_GB2312"/>
          <w:color w:val="auto"/>
          <w:sz w:val="21"/>
          <w:szCs w:val="21"/>
          <w:highlight w:val="none"/>
          <w:lang w:val="en-US" w:eastAsia="zh-CN"/>
        </w:rPr>
        <w:t>。</w:t>
      </w:r>
      <w:r>
        <w:rPr>
          <w:rFonts w:cs="仿宋_GB2312"/>
          <w:color w:val="auto"/>
          <w:szCs w:val="24"/>
          <w:highlight w:val="none"/>
        </w:rPr>
        <w:br w:type="page"/>
      </w:r>
    </w:p>
    <w:p w14:paraId="3BEF2EC6">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eastAsia="宋体" w:asciiTheme="majorHAnsi" w:hAnsiTheme="majorHAnsi" w:cstheme="majorBidi"/>
          <w:b/>
          <w:bCs/>
          <w:color w:val="auto"/>
          <w:kern w:val="2"/>
          <w:sz w:val="28"/>
          <w:szCs w:val="28"/>
          <w:highlight w:val="none"/>
          <w:lang w:val="en-US" w:eastAsia="zh-CN" w:bidi="ar-SA"/>
        </w:rPr>
      </w:pPr>
    </w:p>
    <w:p w14:paraId="287724FC">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eastAsia="宋体" w:asciiTheme="majorHAnsi" w:hAnsiTheme="majorHAnsi" w:cstheme="majorBidi"/>
          <w:b/>
          <w:bCs/>
          <w:color w:val="auto"/>
          <w:kern w:val="2"/>
          <w:sz w:val="32"/>
          <w:szCs w:val="32"/>
          <w:highlight w:val="none"/>
          <w:lang w:val="en-US" w:eastAsia="zh-CN" w:bidi="ar-SA"/>
        </w:rPr>
      </w:pPr>
      <w:bookmarkStart w:id="677" w:name="_Toc2100"/>
      <w:bookmarkStart w:id="678" w:name="_Toc17815"/>
      <w:r>
        <w:rPr>
          <w:rFonts w:hint="eastAsia" w:cstheme="majorBidi"/>
          <w:b/>
          <w:bCs/>
          <w:color w:val="auto"/>
          <w:kern w:val="2"/>
          <w:sz w:val="32"/>
          <w:szCs w:val="32"/>
          <w:highlight w:val="none"/>
          <w:lang w:val="en-US" w:eastAsia="zh-CN" w:bidi="ar-SA"/>
        </w:rPr>
        <w:t>七</w:t>
      </w:r>
      <w:r>
        <w:rPr>
          <w:rFonts w:hint="eastAsia" w:eastAsia="宋体" w:asciiTheme="majorHAnsi" w:hAnsiTheme="majorHAnsi" w:cstheme="majorBidi"/>
          <w:b/>
          <w:bCs/>
          <w:color w:val="auto"/>
          <w:kern w:val="2"/>
          <w:sz w:val="32"/>
          <w:szCs w:val="32"/>
          <w:highlight w:val="none"/>
          <w:lang w:val="en-US" w:eastAsia="zh-CN" w:bidi="ar-SA"/>
        </w:rPr>
        <w:t>、业绩证明文件</w:t>
      </w:r>
      <w:bookmarkEnd w:id="677"/>
      <w:bookmarkEnd w:id="678"/>
    </w:p>
    <w:p w14:paraId="7DB08DA5">
      <w:pPr>
        <w:rPr>
          <w:rFonts w:cs="仿宋_GB2312"/>
          <w:color w:val="auto"/>
          <w:szCs w:val="24"/>
          <w:highlight w:val="none"/>
        </w:rPr>
      </w:pPr>
      <w:r>
        <w:rPr>
          <w:rFonts w:cs="Arial"/>
          <w:bCs/>
          <w:color w:val="auto"/>
          <w:szCs w:val="21"/>
          <w:highlight w:val="none"/>
        </w:rPr>
        <w:fldChar w:fldCharType="begin"/>
      </w:r>
      <w:r>
        <w:rPr>
          <w:rFonts w:cs="Arial"/>
          <w:bCs/>
          <w:color w:val="auto"/>
          <w:szCs w:val="21"/>
          <w:highlight w:val="none"/>
        </w:rPr>
        <w:instrText xml:space="preserve"> LINK Word.Document.8 "D:\\音乐厅\\4通用设备\\招标文件\\音乐厅空调设备招标文件v1.0.doc" "OLE_LINK8" \r  \* MERGEFORMAT </w:instrText>
      </w:r>
      <w:r>
        <w:rPr>
          <w:rFonts w:cs="Arial"/>
          <w:bCs/>
          <w:color w:val="auto"/>
          <w:szCs w:val="21"/>
          <w:highlight w:val="none"/>
        </w:rPr>
        <w:fldChar w:fldCharType="separate"/>
      </w:r>
      <w:r>
        <w:rPr>
          <w:rFonts w:hint="eastAsia" w:cs="仿宋_GB2312"/>
          <w:color w:val="auto"/>
          <w:szCs w:val="24"/>
          <w:highlight w:val="none"/>
        </w:rPr>
        <w:t xml:space="preserve">项目名称：                                         </w:t>
      </w:r>
    </w:p>
    <w:p w14:paraId="4A687997">
      <w:pPr>
        <w:rPr>
          <w:rFonts w:cs="Arial"/>
          <w:bCs/>
          <w:color w:val="auto"/>
          <w:szCs w:val="21"/>
          <w:highlight w:val="none"/>
        </w:rPr>
      </w:pPr>
      <w:r>
        <w:rPr>
          <w:rFonts w:hint="eastAsia" w:cs="仿宋_GB2312"/>
          <w:color w:val="auto"/>
          <w:szCs w:val="24"/>
          <w:highlight w:val="none"/>
        </w:rPr>
        <w:t>项目编号</w:t>
      </w:r>
      <w:r>
        <w:rPr>
          <w:rFonts w:hint="eastAsia"/>
          <w:b w:val="0"/>
          <w:bCs/>
          <w:color w:val="auto"/>
          <w:szCs w:val="21"/>
          <w:highlight w:val="none"/>
          <w:lang w:val="en-US" w:eastAsia="zh-CN"/>
        </w:rPr>
        <w:t>/</w:t>
      </w:r>
      <w:r>
        <w:rPr>
          <w:rFonts w:hint="eastAsia"/>
          <w:b w:val="0"/>
          <w:bCs/>
          <w:color w:val="auto"/>
          <w:szCs w:val="21"/>
          <w:highlight w:val="none"/>
          <w:lang w:val="zh-CN"/>
        </w:rPr>
        <w:t>包号</w:t>
      </w:r>
      <w:r>
        <w:rPr>
          <w:rFonts w:hint="eastAsia" w:cs="仿宋_GB2312"/>
          <w:color w:val="auto"/>
          <w:szCs w:val="24"/>
          <w:highlight w:val="none"/>
        </w:rPr>
        <w:t xml:space="preserve">：      </w:t>
      </w:r>
      <w:r>
        <w:rPr>
          <w:rFonts w:cs="Arial"/>
          <w:bCs/>
          <w:color w:val="auto"/>
          <w:szCs w:val="21"/>
          <w:highlight w:val="none"/>
        </w:rPr>
        <w:fldChar w:fldCharType="end"/>
      </w:r>
    </w:p>
    <w:tbl>
      <w:tblPr>
        <w:tblStyle w:val="29"/>
        <w:tblW w:w="8722" w:type="dxa"/>
        <w:tblInd w:w="-4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3"/>
        <w:gridCol w:w="1180"/>
        <w:gridCol w:w="1364"/>
        <w:gridCol w:w="1419"/>
        <w:gridCol w:w="1402"/>
        <w:gridCol w:w="1495"/>
        <w:gridCol w:w="1049"/>
      </w:tblGrid>
      <w:tr w14:paraId="0BB309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2" w:hRule="atLeast"/>
        </w:trPr>
        <w:tc>
          <w:tcPr>
            <w:tcW w:w="813" w:type="dxa"/>
            <w:vAlign w:val="center"/>
          </w:tcPr>
          <w:p w14:paraId="37278D52">
            <w:pPr>
              <w:jc w:val="center"/>
              <w:rPr>
                <w:rFonts w:hint="eastAsia" w:ascii="宋体" w:hAnsi="宋体" w:eastAsia="宋体" w:cs="宋体"/>
                <w:color w:val="auto"/>
                <w:sz w:val="21"/>
                <w:szCs w:val="21"/>
                <w:highlight w:val="none"/>
              </w:rPr>
            </w:pPr>
            <w:bookmarkStart w:id="679" w:name="_Hlk46779239"/>
            <w:r>
              <w:rPr>
                <w:rFonts w:hint="eastAsia" w:ascii="宋体" w:hAnsi="宋体" w:eastAsia="宋体" w:cs="宋体"/>
                <w:color w:val="auto"/>
                <w:sz w:val="21"/>
                <w:szCs w:val="21"/>
                <w:highlight w:val="none"/>
              </w:rPr>
              <w:t>序号</w:t>
            </w:r>
          </w:p>
        </w:tc>
        <w:tc>
          <w:tcPr>
            <w:tcW w:w="1180" w:type="dxa"/>
            <w:shd w:val="clear" w:color="auto" w:fill="auto"/>
            <w:vAlign w:val="center"/>
          </w:tcPr>
          <w:p w14:paraId="5EA65C0E">
            <w:pPr>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项目名称</w:t>
            </w:r>
          </w:p>
        </w:tc>
        <w:tc>
          <w:tcPr>
            <w:tcW w:w="1364" w:type="dxa"/>
            <w:shd w:val="clear" w:color="auto" w:fill="auto"/>
            <w:vAlign w:val="center"/>
          </w:tcPr>
          <w:p w14:paraId="15F71199">
            <w:pPr>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标的</w:t>
            </w:r>
            <w:r>
              <w:rPr>
                <w:rFonts w:hint="eastAsia" w:ascii="宋体" w:hAnsi="宋体" w:eastAsia="宋体" w:cs="宋体"/>
                <w:color w:val="auto"/>
                <w:sz w:val="21"/>
                <w:szCs w:val="21"/>
                <w:highlight w:val="none"/>
              </w:rPr>
              <w:t>内容</w:t>
            </w:r>
          </w:p>
        </w:tc>
        <w:tc>
          <w:tcPr>
            <w:tcW w:w="1419" w:type="dxa"/>
            <w:shd w:val="clear" w:color="auto" w:fill="auto"/>
            <w:vAlign w:val="center"/>
          </w:tcPr>
          <w:p w14:paraId="7F2B957F">
            <w:pPr>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采购人</w:t>
            </w:r>
            <w:r>
              <w:rPr>
                <w:rFonts w:hint="eastAsia" w:ascii="宋体" w:hAnsi="宋体" w:eastAsia="宋体" w:cs="宋体"/>
                <w:color w:val="auto"/>
                <w:sz w:val="21"/>
                <w:szCs w:val="21"/>
                <w:highlight w:val="none"/>
              </w:rPr>
              <w:t>名称</w:t>
            </w:r>
          </w:p>
        </w:tc>
        <w:tc>
          <w:tcPr>
            <w:tcW w:w="1402" w:type="dxa"/>
            <w:shd w:val="clear" w:color="auto" w:fill="auto"/>
            <w:vAlign w:val="center"/>
          </w:tcPr>
          <w:p w14:paraId="56A87752">
            <w:pPr>
              <w:spacing w:line="24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中标（成交）金额</w:t>
            </w:r>
          </w:p>
        </w:tc>
        <w:tc>
          <w:tcPr>
            <w:tcW w:w="1495" w:type="dxa"/>
            <w:shd w:val="clear" w:color="auto" w:fill="auto"/>
            <w:vAlign w:val="center"/>
          </w:tcPr>
          <w:p w14:paraId="55D436A5">
            <w:pPr>
              <w:spacing w:line="240" w:lineRule="auto"/>
              <w:jc w:val="center"/>
              <w:rPr>
                <w:rFonts w:hint="eastAsia" w:ascii="宋体" w:hAnsi="宋体" w:eastAsia="宋体" w:cs="宋体"/>
                <w:color w:val="auto"/>
                <w:kern w:val="2"/>
                <w:sz w:val="21"/>
                <w:szCs w:val="21"/>
                <w:highlight w:val="none"/>
                <w:lang w:val="en-US" w:eastAsia="zh-CN" w:bidi="ar-SA"/>
              </w:rPr>
            </w:pPr>
            <w:r>
              <w:rPr>
                <w:rFonts w:hint="eastAsia" w:cs="宋体"/>
                <w:color w:val="auto"/>
                <w:kern w:val="2"/>
                <w:sz w:val="21"/>
                <w:szCs w:val="21"/>
                <w:highlight w:val="none"/>
                <w:lang w:val="en-US" w:eastAsia="zh-CN" w:bidi="ar-SA"/>
              </w:rPr>
              <w:t>采购合同签订时间</w:t>
            </w:r>
          </w:p>
        </w:tc>
        <w:tc>
          <w:tcPr>
            <w:tcW w:w="1049" w:type="dxa"/>
            <w:shd w:val="clear" w:color="auto" w:fill="auto"/>
            <w:vAlign w:val="center"/>
          </w:tcPr>
          <w:p w14:paraId="0DD0D2D4">
            <w:pPr>
              <w:jc w:val="center"/>
              <w:rPr>
                <w:rFonts w:hint="eastAsia" w:ascii="宋体" w:hAnsi="宋体" w:eastAsia="宋体" w:cs="宋体"/>
                <w:color w:val="auto"/>
                <w:kern w:val="2"/>
                <w:sz w:val="21"/>
                <w:szCs w:val="21"/>
                <w:highlight w:val="none"/>
                <w:lang w:val="en-US" w:eastAsia="zh-CN" w:bidi="ar-SA"/>
              </w:rPr>
            </w:pPr>
            <w:r>
              <w:rPr>
                <w:rFonts w:hint="eastAsia" w:cs="宋体"/>
                <w:color w:val="auto"/>
                <w:sz w:val="21"/>
                <w:szCs w:val="21"/>
                <w:highlight w:val="none"/>
                <w:lang w:val="en-US" w:eastAsia="zh-CN"/>
              </w:rPr>
              <w:t>备注</w:t>
            </w:r>
          </w:p>
        </w:tc>
      </w:tr>
      <w:tr w14:paraId="49BD03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trPr>
        <w:tc>
          <w:tcPr>
            <w:tcW w:w="813" w:type="dxa"/>
            <w:vAlign w:val="center"/>
          </w:tcPr>
          <w:p w14:paraId="61F1D148">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180" w:type="dxa"/>
            <w:vAlign w:val="center"/>
          </w:tcPr>
          <w:p w14:paraId="25A72089">
            <w:pPr>
              <w:rPr>
                <w:rFonts w:hint="eastAsia" w:ascii="宋体" w:hAnsi="宋体" w:eastAsia="宋体" w:cs="宋体"/>
                <w:color w:val="auto"/>
                <w:sz w:val="21"/>
                <w:szCs w:val="21"/>
                <w:highlight w:val="none"/>
              </w:rPr>
            </w:pPr>
          </w:p>
        </w:tc>
        <w:tc>
          <w:tcPr>
            <w:tcW w:w="1364" w:type="dxa"/>
            <w:vAlign w:val="center"/>
          </w:tcPr>
          <w:p w14:paraId="6F3805E3">
            <w:pPr>
              <w:rPr>
                <w:rFonts w:hint="eastAsia" w:ascii="宋体" w:hAnsi="宋体" w:eastAsia="宋体" w:cs="宋体"/>
                <w:color w:val="auto"/>
                <w:sz w:val="21"/>
                <w:szCs w:val="21"/>
                <w:highlight w:val="none"/>
              </w:rPr>
            </w:pPr>
          </w:p>
        </w:tc>
        <w:tc>
          <w:tcPr>
            <w:tcW w:w="1419" w:type="dxa"/>
            <w:vAlign w:val="center"/>
          </w:tcPr>
          <w:p w14:paraId="7CB7C00C">
            <w:pPr>
              <w:rPr>
                <w:rFonts w:hint="eastAsia" w:ascii="宋体" w:hAnsi="宋体" w:eastAsia="宋体" w:cs="宋体"/>
                <w:color w:val="auto"/>
                <w:sz w:val="21"/>
                <w:szCs w:val="21"/>
                <w:highlight w:val="none"/>
              </w:rPr>
            </w:pPr>
          </w:p>
        </w:tc>
        <w:tc>
          <w:tcPr>
            <w:tcW w:w="1402" w:type="dxa"/>
            <w:vAlign w:val="center"/>
          </w:tcPr>
          <w:p w14:paraId="60DAC622">
            <w:pPr>
              <w:rPr>
                <w:rFonts w:hint="eastAsia" w:ascii="宋体" w:hAnsi="宋体" w:eastAsia="宋体" w:cs="宋体"/>
                <w:color w:val="auto"/>
                <w:sz w:val="21"/>
                <w:szCs w:val="21"/>
                <w:highlight w:val="none"/>
              </w:rPr>
            </w:pPr>
          </w:p>
        </w:tc>
        <w:tc>
          <w:tcPr>
            <w:tcW w:w="1495" w:type="dxa"/>
            <w:vAlign w:val="center"/>
          </w:tcPr>
          <w:p w14:paraId="5436BEC1">
            <w:pPr>
              <w:rPr>
                <w:rFonts w:hint="eastAsia" w:ascii="宋体" w:hAnsi="宋体" w:eastAsia="宋体" w:cs="宋体"/>
                <w:color w:val="auto"/>
                <w:sz w:val="21"/>
                <w:szCs w:val="21"/>
                <w:highlight w:val="none"/>
              </w:rPr>
            </w:pPr>
          </w:p>
        </w:tc>
        <w:tc>
          <w:tcPr>
            <w:tcW w:w="1049" w:type="dxa"/>
            <w:vAlign w:val="center"/>
          </w:tcPr>
          <w:p w14:paraId="4A8D26BB">
            <w:pPr>
              <w:rPr>
                <w:rFonts w:hint="eastAsia" w:ascii="宋体" w:hAnsi="宋体" w:eastAsia="宋体" w:cs="宋体"/>
                <w:color w:val="auto"/>
                <w:sz w:val="21"/>
                <w:szCs w:val="21"/>
                <w:highlight w:val="none"/>
              </w:rPr>
            </w:pPr>
          </w:p>
        </w:tc>
      </w:tr>
      <w:tr w14:paraId="43671A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trPr>
        <w:tc>
          <w:tcPr>
            <w:tcW w:w="813" w:type="dxa"/>
            <w:vAlign w:val="center"/>
          </w:tcPr>
          <w:p w14:paraId="03174847">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180" w:type="dxa"/>
            <w:vAlign w:val="center"/>
          </w:tcPr>
          <w:p w14:paraId="3C7437EA">
            <w:pPr>
              <w:rPr>
                <w:rFonts w:hint="eastAsia" w:ascii="宋体" w:hAnsi="宋体" w:eastAsia="宋体" w:cs="宋体"/>
                <w:color w:val="auto"/>
                <w:sz w:val="21"/>
                <w:szCs w:val="21"/>
                <w:highlight w:val="none"/>
              </w:rPr>
            </w:pPr>
          </w:p>
        </w:tc>
        <w:tc>
          <w:tcPr>
            <w:tcW w:w="1364" w:type="dxa"/>
            <w:vAlign w:val="center"/>
          </w:tcPr>
          <w:p w14:paraId="753A8A2D">
            <w:pPr>
              <w:rPr>
                <w:rFonts w:hint="eastAsia" w:ascii="宋体" w:hAnsi="宋体" w:eastAsia="宋体" w:cs="宋体"/>
                <w:color w:val="auto"/>
                <w:sz w:val="21"/>
                <w:szCs w:val="21"/>
                <w:highlight w:val="none"/>
              </w:rPr>
            </w:pPr>
          </w:p>
        </w:tc>
        <w:tc>
          <w:tcPr>
            <w:tcW w:w="1419" w:type="dxa"/>
            <w:vAlign w:val="center"/>
          </w:tcPr>
          <w:p w14:paraId="02634890">
            <w:pPr>
              <w:rPr>
                <w:rFonts w:hint="eastAsia" w:ascii="宋体" w:hAnsi="宋体" w:eastAsia="宋体" w:cs="宋体"/>
                <w:color w:val="auto"/>
                <w:sz w:val="21"/>
                <w:szCs w:val="21"/>
                <w:highlight w:val="none"/>
              </w:rPr>
            </w:pPr>
          </w:p>
        </w:tc>
        <w:tc>
          <w:tcPr>
            <w:tcW w:w="1402" w:type="dxa"/>
            <w:vAlign w:val="center"/>
          </w:tcPr>
          <w:p w14:paraId="3563AED4">
            <w:pPr>
              <w:rPr>
                <w:rFonts w:hint="eastAsia" w:ascii="宋体" w:hAnsi="宋体" w:eastAsia="宋体" w:cs="宋体"/>
                <w:color w:val="auto"/>
                <w:sz w:val="21"/>
                <w:szCs w:val="21"/>
                <w:highlight w:val="none"/>
              </w:rPr>
            </w:pPr>
          </w:p>
        </w:tc>
        <w:tc>
          <w:tcPr>
            <w:tcW w:w="1495" w:type="dxa"/>
            <w:vAlign w:val="center"/>
          </w:tcPr>
          <w:p w14:paraId="4ED6DFCE">
            <w:pPr>
              <w:rPr>
                <w:rFonts w:hint="eastAsia" w:ascii="宋体" w:hAnsi="宋体" w:eastAsia="宋体" w:cs="宋体"/>
                <w:color w:val="auto"/>
                <w:sz w:val="21"/>
                <w:szCs w:val="21"/>
                <w:highlight w:val="none"/>
              </w:rPr>
            </w:pPr>
          </w:p>
        </w:tc>
        <w:tc>
          <w:tcPr>
            <w:tcW w:w="1049" w:type="dxa"/>
            <w:vAlign w:val="center"/>
          </w:tcPr>
          <w:p w14:paraId="3DDF15B1">
            <w:pPr>
              <w:rPr>
                <w:rFonts w:hint="eastAsia" w:ascii="宋体" w:hAnsi="宋体" w:eastAsia="宋体" w:cs="宋体"/>
                <w:color w:val="auto"/>
                <w:sz w:val="21"/>
                <w:szCs w:val="21"/>
                <w:highlight w:val="none"/>
              </w:rPr>
            </w:pPr>
          </w:p>
        </w:tc>
      </w:tr>
      <w:tr w14:paraId="026FEE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trPr>
        <w:tc>
          <w:tcPr>
            <w:tcW w:w="813" w:type="dxa"/>
            <w:vAlign w:val="center"/>
          </w:tcPr>
          <w:p w14:paraId="6CB6EA9A">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1180" w:type="dxa"/>
            <w:vAlign w:val="center"/>
          </w:tcPr>
          <w:p w14:paraId="5AFF132B">
            <w:pPr>
              <w:rPr>
                <w:rFonts w:hint="eastAsia" w:ascii="宋体" w:hAnsi="宋体" w:eastAsia="宋体" w:cs="宋体"/>
                <w:color w:val="auto"/>
                <w:sz w:val="21"/>
                <w:szCs w:val="21"/>
                <w:highlight w:val="none"/>
              </w:rPr>
            </w:pPr>
          </w:p>
        </w:tc>
        <w:tc>
          <w:tcPr>
            <w:tcW w:w="1364" w:type="dxa"/>
            <w:vAlign w:val="center"/>
          </w:tcPr>
          <w:p w14:paraId="40DFA463">
            <w:pPr>
              <w:rPr>
                <w:rFonts w:hint="eastAsia" w:ascii="宋体" w:hAnsi="宋体" w:eastAsia="宋体" w:cs="宋体"/>
                <w:color w:val="auto"/>
                <w:sz w:val="21"/>
                <w:szCs w:val="21"/>
                <w:highlight w:val="none"/>
              </w:rPr>
            </w:pPr>
          </w:p>
        </w:tc>
        <w:tc>
          <w:tcPr>
            <w:tcW w:w="1419" w:type="dxa"/>
            <w:vAlign w:val="center"/>
          </w:tcPr>
          <w:p w14:paraId="192188BA">
            <w:pPr>
              <w:rPr>
                <w:rFonts w:hint="eastAsia" w:ascii="宋体" w:hAnsi="宋体" w:eastAsia="宋体" w:cs="宋体"/>
                <w:color w:val="auto"/>
                <w:sz w:val="21"/>
                <w:szCs w:val="21"/>
                <w:highlight w:val="none"/>
              </w:rPr>
            </w:pPr>
          </w:p>
        </w:tc>
        <w:tc>
          <w:tcPr>
            <w:tcW w:w="1402" w:type="dxa"/>
            <w:vAlign w:val="center"/>
          </w:tcPr>
          <w:p w14:paraId="58044B96">
            <w:pPr>
              <w:rPr>
                <w:rFonts w:hint="eastAsia" w:ascii="宋体" w:hAnsi="宋体" w:eastAsia="宋体" w:cs="宋体"/>
                <w:color w:val="auto"/>
                <w:sz w:val="21"/>
                <w:szCs w:val="21"/>
                <w:highlight w:val="none"/>
              </w:rPr>
            </w:pPr>
          </w:p>
        </w:tc>
        <w:tc>
          <w:tcPr>
            <w:tcW w:w="1495" w:type="dxa"/>
            <w:vAlign w:val="center"/>
          </w:tcPr>
          <w:p w14:paraId="10BAB04D">
            <w:pPr>
              <w:rPr>
                <w:rFonts w:hint="eastAsia" w:ascii="宋体" w:hAnsi="宋体" w:eastAsia="宋体" w:cs="宋体"/>
                <w:color w:val="auto"/>
                <w:sz w:val="21"/>
                <w:szCs w:val="21"/>
                <w:highlight w:val="none"/>
              </w:rPr>
            </w:pPr>
          </w:p>
        </w:tc>
        <w:tc>
          <w:tcPr>
            <w:tcW w:w="1049" w:type="dxa"/>
            <w:vAlign w:val="center"/>
          </w:tcPr>
          <w:p w14:paraId="38FE3D5D">
            <w:pPr>
              <w:rPr>
                <w:rFonts w:hint="eastAsia" w:ascii="宋体" w:hAnsi="宋体" w:eastAsia="宋体" w:cs="宋体"/>
                <w:color w:val="auto"/>
                <w:sz w:val="21"/>
                <w:szCs w:val="21"/>
                <w:highlight w:val="none"/>
              </w:rPr>
            </w:pPr>
          </w:p>
        </w:tc>
      </w:tr>
      <w:tr w14:paraId="45C016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813" w:type="dxa"/>
            <w:vAlign w:val="center"/>
          </w:tcPr>
          <w:p w14:paraId="7D259137">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w:t>
            </w:r>
          </w:p>
        </w:tc>
        <w:tc>
          <w:tcPr>
            <w:tcW w:w="1180" w:type="dxa"/>
            <w:vAlign w:val="center"/>
          </w:tcPr>
          <w:p w14:paraId="12629B54">
            <w:pPr>
              <w:rPr>
                <w:rFonts w:hint="eastAsia" w:ascii="宋体" w:hAnsi="宋体" w:eastAsia="宋体" w:cs="宋体"/>
                <w:color w:val="auto"/>
                <w:sz w:val="21"/>
                <w:szCs w:val="21"/>
                <w:highlight w:val="none"/>
              </w:rPr>
            </w:pPr>
          </w:p>
        </w:tc>
        <w:tc>
          <w:tcPr>
            <w:tcW w:w="1364" w:type="dxa"/>
            <w:vAlign w:val="center"/>
          </w:tcPr>
          <w:p w14:paraId="278EE304">
            <w:pPr>
              <w:rPr>
                <w:rFonts w:hint="eastAsia" w:ascii="宋体" w:hAnsi="宋体" w:eastAsia="宋体" w:cs="宋体"/>
                <w:color w:val="auto"/>
                <w:sz w:val="21"/>
                <w:szCs w:val="21"/>
                <w:highlight w:val="none"/>
              </w:rPr>
            </w:pPr>
          </w:p>
        </w:tc>
        <w:tc>
          <w:tcPr>
            <w:tcW w:w="1419" w:type="dxa"/>
            <w:vAlign w:val="center"/>
          </w:tcPr>
          <w:p w14:paraId="502FE2B6">
            <w:pPr>
              <w:rPr>
                <w:rFonts w:hint="eastAsia" w:ascii="宋体" w:hAnsi="宋体" w:eastAsia="宋体" w:cs="宋体"/>
                <w:color w:val="auto"/>
                <w:sz w:val="21"/>
                <w:szCs w:val="21"/>
                <w:highlight w:val="none"/>
              </w:rPr>
            </w:pPr>
          </w:p>
        </w:tc>
        <w:tc>
          <w:tcPr>
            <w:tcW w:w="1402" w:type="dxa"/>
            <w:vAlign w:val="center"/>
          </w:tcPr>
          <w:p w14:paraId="44F7BE63">
            <w:pPr>
              <w:rPr>
                <w:rFonts w:hint="eastAsia" w:ascii="宋体" w:hAnsi="宋体" w:eastAsia="宋体" w:cs="宋体"/>
                <w:color w:val="auto"/>
                <w:sz w:val="21"/>
                <w:szCs w:val="21"/>
                <w:highlight w:val="none"/>
              </w:rPr>
            </w:pPr>
          </w:p>
        </w:tc>
        <w:tc>
          <w:tcPr>
            <w:tcW w:w="1495" w:type="dxa"/>
            <w:vAlign w:val="center"/>
          </w:tcPr>
          <w:p w14:paraId="463BDC1B">
            <w:pPr>
              <w:rPr>
                <w:rFonts w:hint="eastAsia" w:ascii="宋体" w:hAnsi="宋体" w:eastAsia="宋体" w:cs="宋体"/>
                <w:color w:val="auto"/>
                <w:sz w:val="21"/>
                <w:szCs w:val="21"/>
                <w:highlight w:val="none"/>
              </w:rPr>
            </w:pPr>
          </w:p>
        </w:tc>
        <w:tc>
          <w:tcPr>
            <w:tcW w:w="1049" w:type="dxa"/>
            <w:vAlign w:val="center"/>
          </w:tcPr>
          <w:p w14:paraId="5208210B">
            <w:pPr>
              <w:rPr>
                <w:rFonts w:hint="eastAsia" w:ascii="宋体" w:hAnsi="宋体" w:eastAsia="宋体" w:cs="宋体"/>
                <w:color w:val="auto"/>
                <w:sz w:val="21"/>
                <w:szCs w:val="21"/>
                <w:highlight w:val="none"/>
              </w:rPr>
            </w:pPr>
          </w:p>
        </w:tc>
      </w:tr>
      <w:tr w14:paraId="6F118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trPr>
        <w:tc>
          <w:tcPr>
            <w:tcW w:w="813" w:type="dxa"/>
            <w:vAlign w:val="center"/>
          </w:tcPr>
          <w:p w14:paraId="1FCCAE38">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w:t>
            </w:r>
          </w:p>
        </w:tc>
        <w:tc>
          <w:tcPr>
            <w:tcW w:w="1180" w:type="dxa"/>
            <w:vAlign w:val="center"/>
          </w:tcPr>
          <w:p w14:paraId="1728B663">
            <w:pPr>
              <w:rPr>
                <w:rFonts w:hint="eastAsia" w:ascii="宋体" w:hAnsi="宋体" w:eastAsia="宋体" w:cs="宋体"/>
                <w:color w:val="auto"/>
                <w:sz w:val="21"/>
                <w:szCs w:val="21"/>
                <w:highlight w:val="none"/>
              </w:rPr>
            </w:pPr>
          </w:p>
        </w:tc>
        <w:tc>
          <w:tcPr>
            <w:tcW w:w="1364" w:type="dxa"/>
            <w:vAlign w:val="center"/>
          </w:tcPr>
          <w:p w14:paraId="5B701B38">
            <w:pPr>
              <w:rPr>
                <w:rFonts w:hint="eastAsia" w:ascii="宋体" w:hAnsi="宋体" w:eastAsia="宋体" w:cs="宋体"/>
                <w:color w:val="auto"/>
                <w:sz w:val="21"/>
                <w:szCs w:val="21"/>
                <w:highlight w:val="none"/>
              </w:rPr>
            </w:pPr>
          </w:p>
        </w:tc>
        <w:tc>
          <w:tcPr>
            <w:tcW w:w="1419" w:type="dxa"/>
            <w:vAlign w:val="center"/>
          </w:tcPr>
          <w:p w14:paraId="0BFD5658">
            <w:pPr>
              <w:rPr>
                <w:rFonts w:hint="eastAsia" w:ascii="宋体" w:hAnsi="宋体" w:eastAsia="宋体" w:cs="宋体"/>
                <w:color w:val="auto"/>
                <w:sz w:val="21"/>
                <w:szCs w:val="21"/>
                <w:highlight w:val="none"/>
              </w:rPr>
            </w:pPr>
          </w:p>
        </w:tc>
        <w:tc>
          <w:tcPr>
            <w:tcW w:w="1402" w:type="dxa"/>
            <w:vAlign w:val="center"/>
          </w:tcPr>
          <w:p w14:paraId="56955758">
            <w:pPr>
              <w:rPr>
                <w:rFonts w:hint="eastAsia" w:ascii="宋体" w:hAnsi="宋体" w:eastAsia="宋体" w:cs="宋体"/>
                <w:color w:val="auto"/>
                <w:sz w:val="21"/>
                <w:szCs w:val="21"/>
                <w:highlight w:val="none"/>
              </w:rPr>
            </w:pPr>
          </w:p>
        </w:tc>
        <w:tc>
          <w:tcPr>
            <w:tcW w:w="1495" w:type="dxa"/>
            <w:vAlign w:val="center"/>
          </w:tcPr>
          <w:p w14:paraId="6AF4F252">
            <w:pPr>
              <w:rPr>
                <w:rFonts w:hint="eastAsia" w:ascii="宋体" w:hAnsi="宋体" w:eastAsia="宋体" w:cs="宋体"/>
                <w:color w:val="auto"/>
                <w:sz w:val="21"/>
                <w:szCs w:val="21"/>
                <w:highlight w:val="none"/>
              </w:rPr>
            </w:pPr>
          </w:p>
        </w:tc>
        <w:tc>
          <w:tcPr>
            <w:tcW w:w="1049" w:type="dxa"/>
            <w:vAlign w:val="center"/>
          </w:tcPr>
          <w:p w14:paraId="0E461DD3">
            <w:pPr>
              <w:rPr>
                <w:rFonts w:hint="eastAsia" w:ascii="宋体" w:hAnsi="宋体" w:eastAsia="宋体" w:cs="宋体"/>
                <w:color w:val="auto"/>
                <w:sz w:val="21"/>
                <w:szCs w:val="21"/>
                <w:highlight w:val="none"/>
              </w:rPr>
            </w:pPr>
          </w:p>
        </w:tc>
      </w:tr>
      <w:tr w14:paraId="682228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813" w:type="dxa"/>
            <w:vAlign w:val="center"/>
          </w:tcPr>
          <w:p w14:paraId="5EB02E48">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180" w:type="dxa"/>
            <w:vAlign w:val="center"/>
          </w:tcPr>
          <w:p w14:paraId="30E7C832">
            <w:pPr>
              <w:rPr>
                <w:rFonts w:hint="eastAsia" w:ascii="宋体" w:hAnsi="宋体" w:eastAsia="宋体" w:cs="宋体"/>
                <w:color w:val="auto"/>
                <w:sz w:val="21"/>
                <w:szCs w:val="21"/>
                <w:highlight w:val="none"/>
              </w:rPr>
            </w:pPr>
          </w:p>
        </w:tc>
        <w:tc>
          <w:tcPr>
            <w:tcW w:w="1364" w:type="dxa"/>
            <w:vAlign w:val="center"/>
          </w:tcPr>
          <w:p w14:paraId="147B2F98">
            <w:pPr>
              <w:rPr>
                <w:rFonts w:hint="eastAsia" w:ascii="宋体" w:hAnsi="宋体" w:eastAsia="宋体" w:cs="宋体"/>
                <w:color w:val="auto"/>
                <w:sz w:val="21"/>
                <w:szCs w:val="21"/>
                <w:highlight w:val="none"/>
              </w:rPr>
            </w:pPr>
          </w:p>
        </w:tc>
        <w:tc>
          <w:tcPr>
            <w:tcW w:w="1419" w:type="dxa"/>
            <w:vAlign w:val="center"/>
          </w:tcPr>
          <w:p w14:paraId="61B0E0D4">
            <w:pPr>
              <w:rPr>
                <w:rFonts w:hint="eastAsia" w:ascii="宋体" w:hAnsi="宋体" w:eastAsia="宋体" w:cs="宋体"/>
                <w:color w:val="auto"/>
                <w:sz w:val="21"/>
                <w:szCs w:val="21"/>
                <w:highlight w:val="none"/>
              </w:rPr>
            </w:pPr>
          </w:p>
        </w:tc>
        <w:tc>
          <w:tcPr>
            <w:tcW w:w="1402" w:type="dxa"/>
            <w:vAlign w:val="center"/>
          </w:tcPr>
          <w:p w14:paraId="6B918799">
            <w:pPr>
              <w:rPr>
                <w:rFonts w:hint="eastAsia" w:ascii="宋体" w:hAnsi="宋体" w:eastAsia="宋体" w:cs="宋体"/>
                <w:color w:val="auto"/>
                <w:sz w:val="21"/>
                <w:szCs w:val="21"/>
                <w:highlight w:val="none"/>
              </w:rPr>
            </w:pPr>
          </w:p>
        </w:tc>
        <w:tc>
          <w:tcPr>
            <w:tcW w:w="1495" w:type="dxa"/>
            <w:vAlign w:val="center"/>
          </w:tcPr>
          <w:p w14:paraId="1BCEEA1A">
            <w:pPr>
              <w:rPr>
                <w:rFonts w:hint="eastAsia" w:ascii="宋体" w:hAnsi="宋体" w:eastAsia="宋体" w:cs="宋体"/>
                <w:color w:val="auto"/>
                <w:sz w:val="21"/>
                <w:szCs w:val="21"/>
                <w:highlight w:val="none"/>
              </w:rPr>
            </w:pPr>
          </w:p>
        </w:tc>
        <w:tc>
          <w:tcPr>
            <w:tcW w:w="1049" w:type="dxa"/>
            <w:vAlign w:val="center"/>
          </w:tcPr>
          <w:p w14:paraId="4A3F6BEC">
            <w:pPr>
              <w:rPr>
                <w:rFonts w:hint="eastAsia" w:ascii="宋体" w:hAnsi="宋体" w:eastAsia="宋体" w:cs="宋体"/>
                <w:color w:val="auto"/>
                <w:sz w:val="21"/>
                <w:szCs w:val="21"/>
                <w:highlight w:val="none"/>
              </w:rPr>
            </w:pPr>
          </w:p>
        </w:tc>
      </w:tr>
      <w:bookmarkEnd w:id="679"/>
    </w:tbl>
    <w:p w14:paraId="217BAF3D">
      <w:pPr>
        <w:rPr>
          <w:rFonts w:hint="eastAsia" w:cs="仿宋_GB2312"/>
          <w:color w:val="auto"/>
          <w:szCs w:val="24"/>
          <w:highlight w:val="none"/>
        </w:rPr>
      </w:pPr>
    </w:p>
    <w:p w14:paraId="088168D4">
      <w:pPr>
        <w:rPr>
          <w:rFonts w:cs="仿宋_GB2312"/>
          <w:color w:val="auto"/>
          <w:sz w:val="21"/>
          <w:szCs w:val="21"/>
          <w:highlight w:val="none"/>
        </w:rPr>
      </w:pPr>
      <w:r>
        <w:rPr>
          <w:rFonts w:hint="eastAsia" w:cs="仿宋_GB2312"/>
          <w:color w:val="auto"/>
          <w:sz w:val="21"/>
          <w:szCs w:val="21"/>
          <w:highlight w:val="none"/>
        </w:rPr>
        <w:t>注：投标人须按</w:t>
      </w:r>
      <w:r>
        <w:rPr>
          <w:rFonts w:hint="eastAsia" w:cs="仿宋_GB2312"/>
          <w:color w:val="auto"/>
          <w:sz w:val="21"/>
          <w:szCs w:val="21"/>
          <w:highlight w:val="none"/>
          <w:lang w:val="en-US" w:eastAsia="zh-CN"/>
        </w:rPr>
        <w:t>相关要求</w:t>
      </w:r>
      <w:r>
        <w:rPr>
          <w:rFonts w:hint="eastAsia" w:cs="仿宋_GB2312"/>
          <w:color w:val="auto"/>
          <w:sz w:val="21"/>
          <w:szCs w:val="21"/>
          <w:highlight w:val="none"/>
        </w:rPr>
        <w:t>提供相应的</w:t>
      </w:r>
      <w:r>
        <w:rPr>
          <w:rFonts w:hint="eastAsia" w:cs="仿宋_GB2312"/>
          <w:color w:val="auto"/>
          <w:sz w:val="21"/>
          <w:szCs w:val="21"/>
          <w:highlight w:val="none"/>
          <w:lang w:val="en-US" w:eastAsia="zh-CN"/>
        </w:rPr>
        <w:t>中标（成交）通知书、采购合同等</w:t>
      </w:r>
      <w:r>
        <w:rPr>
          <w:rFonts w:hint="eastAsia" w:cs="仿宋_GB2312"/>
          <w:color w:val="auto"/>
          <w:sz w:val="21"/>
          <w:szCs w:val="21"/>
          <w:highlight w:val="none"/>
        </w:rPr>
        <w:t>业绩证明资料。</w:t>
      </w:r>
    </w:p>
    <w:p w14:paraId="57D75AD1">
      <w:pPr>
        <w:rPr>
          <w:rFonts w:cs="仿宋_GB2312"/>
          <w:color w:val="auto"/>
          <w:szCs w:val="24"/>
          <w:highlight w:val="none"/>
        </w:rPr>
      </w:pPr>
    </w:p>
    <w:p w14:paraId="5DB99613">
      <w:pPr>
        <w:widowControl/>
        <w:spacing w:before="100" w:beforeAutospacing="1" w:after="100" w:afterAutospacing="1"/>
        <w:rPr>
          <w:rFonts w:cs="Arial"/>
          <w:color w:val="auto"/>
          <w:szCs w:val="21"/>
          <w:highlight w:val="none"/>
        </w:rPr>
      </w:pPr>
    </w:p>
    <w:p w14:paraId="68FCBA1E">
      <w:pPr>
        <w:ind w:firstLine="480" w:firstLineChars="200"/>
        <w:rPr>
          <w:rFonts w:cs="仿宋_GB2312"/>
          <w:color w:val="auto"/>
          <w:szCs w:val="24"/>
          <w:highlight w:val="none"/>
        </w:rPr>
      </w:pPr>
      <w:r>
        <w:rPr>
          <w:rFonts w:hint="eastAsia" w:cs="仿宋_GB2312"/>
          <w:color w:val="auto"/>
          <w:szCs w:val="24"/>
          <w:highlight w:val="none"/>
        </w:rPr>
        <w:t>投标人名称</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ascii="宋体" w:hAnsi="宋体" w:cs="宋体"/>
          <w:color w:val="auto"/>
          <w:kern w:val="0"/>
          <w:sz w:val="24"/>
          <w:highlight w:val="none"/>
          <w:lang w:val="zh-CN"/>
        </w:rPr>
        <w:t>)</w:t>
      </w:r>
      <w:r>
        <w:rPr>
          <w:rFonts w:hint="eastAsia" w:cs="仿宋_GB2312"/>
          <w:color w:val="auto"/>
          <w:szCs w:val="24"/>
          <w:highlight w:val="none"/>
        </w:rPr>
        <w:t>：</w:t>
      </w:r>
      <w:r>
        <w:rPr>
          <w:rFonts w:cs="仿宋_GB2312"/>
          <w:color w:val="auto"/>
          <w:szCs w:val="24"/>
          <w:highlight w:val="none"/>
        </w:rPr>
        <w:t xml:space="preserve"> </w:t>
      </w:r>
    </w:p>
    <w:p w14:paraId="360811C8">
      <w:pPr>
        <w:ind w:firstLine="420"/>
        <w:rPr>
          <w:rFonts w:cs="仿宋_GB2312"/>
          <w:color w:val="auto"/>
          <w:szCs w:val="24"/>
          <w:highlight w:val="none"/>
        </w:rPr>
      </w:pPr>
      <w:r>
        <w:rPr>
          <w:rFonts w:hint="eastAsia" w:cs="仿宋_GB2312"/>
          <w:color w:val="auto"/>
          <w:szCs w:val="24"/>
          <w:highlight w:val="none"/>
        </w:rPr>
        <w:t>日      期：</w:t>
      </w:r>
    </w:p>
    <w:p w14:paraId="095105C8">
      <w:pPr>
        <w:ind w:firstLine="420"/>
        <w:rPr>
          <w:rFonts w:cs="仿宋_GB2312"/>
          <w:color w:val="auto"/>
          <w:szCs w:val="24"/>
          <w:highlight w:val="none"/>
        </w:rPr>
      </w:pPr>
      <w:r>
        <w:rPr>
          <w:rFonts w:cs="仿宋_GB2312"/>
          <w:color w:val="auto"/>
          <w:szCs w:val="24"/>
          <w:highlight w:val="none"/>
        </w:rPr>
        <w:br w:type="page"/>
      </w:r>
    </w:p>
    <w:p w14:paraId="4E924C81">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eastAsia="宋体" w:asciiTheme="majorHAnsi" w:hAnsiTheme="majorHAnsi" w:cstheme="majorBidi"/>
          <w:b/>
          <w:bCs/>
          <w:color w:val="auto"/>
          <w:kern w:val="2"/>
          <w:sz w:val="32"/>
          <w:szCs w:val="32"/>
          <w:highlight w:val="none"/>
          <w:lang w:val="en-US" w:eastAsia="zh-CN" w:bidi="ar-SA"/>
        </w:rPr>
      </w:pPr>
      <w:bookmarkStart w:id="680" w:name="_Toc24146"/>
      <w:bookmarkStart w:id="681" w:name="_Toc22277"/>
      <w:r>
        <w:rPr>
          <w:rFonts w:hint="eastAsia" w:cstheme="majorBidi"/>
          <w:b/>
          <w:bCs/>
          <w:color w:val="auto"/>
          <w:kern w:val="2"/>
          <w:sz w:val="32"/>
          <w:szCs w:val="32"/>
          <w:highlight w:val="none"/>
          <w:lang w:val="en-US" w:eastAsia="zh-CN" w:bidi="ar-SA"/>
        </w:rPr>
        <w:t>八</w:t>
      </w:r>
      <w:r>
        <w:rPr>
          <w:rFonts w:hint="eastAsia" w:eastAsia="宋体" w:asciiTheme="majorHAnsi" w:hAnsiTheme="majorHAnsi" w:cstheme="majorBidi"/>
          <w:b/>
          <w:bCs/>
          <w:color w:val="auto"/>
          <w:kern w:val="2"/>
          <w:sz w:val="32"/>
          <w:szCs w:val="32"/>
          <w:highlight w:val="none"/>
          <w:lang w:val="en-US" w:eastAsia="zh-CN" w:bidi="ar-SA"/>
        </w:rPr>
        <w:t>、拟派项目团队</w:t>
      </w:r>
      <w:bookmarkEnd w:id="680"/>
      <w:bookmarkEnd w:id="681"/>
    </w:p>
    <w:tbl>
      <w:tblPr>
        <w:tblStyle w:val="29"/>
        <w:tblW w:w="9252" w:type="dxa"/>
        <w:tblInd w:w="-42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73"/>
        <w:gridCol w:w="1267"/>
        <w:gridCol w:w="1296"/>
        <w:gridCol w:w="1080"/>
        <w:gridCol w:w="804"/>
        <w:gridCol w:w="1860"/>
        <w:gridCol w:w="1356"/>
        <w:gridCol w:w="816"/>
      </w:tblGrid>
      <w:tr w14:paraId="377CEB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44" w:hRule="atLeast"/>
        </w:trPr>
        <w:tc>
          <w:tcPr>
            <w:tcW w:w="773" w:type="dxa"/>
            <w:vAlign w:val="center"/>
          </w:tcPr>
          <w:p w14:paraId="6B0F7825">
            <w:pPr>
              <w:pStyle w:val="49"/>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267" w:type="dxa"/>
            <w:vAlign w:val="center"/>
          </w:tcPr>
          <w:p w14:paraId="1096055A">
            <w:pPr>
              <w:pStyle w:val="49"/>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团队成员</w:t>
            </w:r>
          </w:p>
          <w:p w14:paraId="09FA2F86">
            <w:pPr>
              <w:pStyle w:val="49"/>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姓名</w:t>
            </w:r>
          </w:p>
        </w:tc>
        <w:tc>
          <w:tcPr>
            <w:tcW w:w="1296" w:type="dxa"/>
            <w:tcBorders>
              <w:right w:val="single" w:color="auto" w:sz="4" w:space="0"/>
            </w:tcBorders>
            <w:vAlign w:val="center"/>
          </w:tcPr>
          <w:p w14:paraId="4D802FFD">
            <w:pPr>
              <w:pStyle w:val="49"/>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工作单位</w:t>
            </w:r>
          </w:p>
        </w:tc>
        <w:tc>
          <w:tcPr>
            <w:tcW w:w="1080" w:type="dxa"/>
            <w:tcBorders>
              <w:left w:val="single" w:color="auto" w:sz="4" w:space="0"/>
            </w:tcBorders>
            <w:vAlign w:val="center"/>
          </w:tcPr>
          <w:p w14:paraId="3116E3D2">
            <w:pPr>
              <w:pStyle w:val="49"/>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身份证号</w:t>
            </w:r>
          </w:p>
        </w:tc>
        <w:tc>
          <w:tcPr>
            <w:tcW w:w="804" w:type="dxa"/>
            <w:tcBorders>
              <w:left w:val="single" w:color="auto" w:sz="4" w:space="0"/>
            </w:tcBorders>
            <w:vAlign w:val="center"/>
          </w:tcPr>
          <w:p w14:paraId="1115941F">
            <w:pPr>
              <w:pStyle w:val="49"/>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职称</w:t>
            </w:r>
          </w:p>
        </w:tc>
        <w:tc>
          <w:tcPr>
            <w:tcW w:w="1860" w:type="dxa"/>
            <w:vAlign w:val="center"/>
          </w:tcPr>
          <w:p w14:paraId="0940B260">
            <w:pPr>
              <w:pStyle w:val="49"/>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注册证书（岗位证书）名称及编号</w:t>
            </w:r>
          </w:p>
        </w:tc>
        <w:tc>
          <w:tcPr>
            <w:tcW w:w="1356" w:type="dxa"/>
            <w:vAlign w:val="center"/>
          </w:tcPr>
          <w:p w14:paraId="422D7D9F">
            <w:pPr>
              <w:pStyle w:val="49"/>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在团队中职务（岗位）</w:t>
            </w:r>
          </w:p>
        </w:tc>
        <w:tc>
          <w:tcPr>
            <w:tcW w:w="816" w:type="dxa"/>
            <w:vAlign w:val="center"/>
          </w:tcPr>
          <w:p w14:paraId="79229F16">
            <w:pPr>
              <w:pStyle w:val="49"/>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自有/外聘</w:t>
            </w:r>
          </w:p>
        </w:tc>
      </w:tr>
      <w:tr w14:paraId="34A624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239BDB40">
            <w:pPr>
              <w:pStyle w:val="49"/>
              <w:jc w:val="center"/>
              <w:rPr>
                <w:rFonts w:hint="eastAsia" w:ascii="宋体" w:hAnsi="宋体" w:eastAsia="宋体" w:cs="宋体"/>
                <w:color w:val="auto"/>
                <w:sz w:val="21"/>
                <w:szCs w:val="21"/>
                <w:highlight w:val="none"/>
              </w:rPr>
            </w:pPr>
            <w:bookmarkStart w:id="682" w:name="_Toc100090784"/>
            <w:bookmarkStart w:id="683" w:name="_Toc99533292"/>
            <w:r>
              <w:rPr>
                <w:rFonts w:hint="eastAsia" w:ascii="宋体" w:hAnsi="宋体" w:eastAsia="宋体" w:cs="宋体"/>
                <w:color w:val="auto"/>
                <w:sz w:val="21"/>
                <w:szCs w:val="21"/>
                <w:highlight w:val="none"/>
              </w:rPr>
              <w:t>1</w:t>
            </w:r>
            <w:bookmarkEnd w:id="682"/>
            <w:bookmarkEnd w:id="683"/>
          </w:p>
        </w:tc>
        <w:tc>
          <w:tcPr>
            <w:tcW w:w="1267" w:type="dxa"/>
            <w:vAlign w:val="center"/>
          </w:tcPr>
          <w:p w14:paraId="04D72608">
            <w:pPr>
              <w:pStyle w:val="49"/>
              <w:jc w:val="center"/>
              <w:rPr>
                <w:rFonts w:hint="eastAsia" w:ascii="宋体" w:hAnsi="宋体" w:eastAsia="宋体" w:cs="宋体"/>
                <w:color w:val="auto"/>
                <w:sz w:val="21"/>
                <w:szCs w:val="21"/>
                <w:highlight w:val="none"/>
              </w:rPr>
            </w:pPr>
          </w:p>
        </w:tc>
        <w:tc>
          <w:tcPr>
            <w:tcW w:w="1296" w:type="dxa"/>
            <w:tcBorders>
              <w:right w:val="single" w:color="auto" w:sz="4" w:space="0"/>
            </w:tcBorders>
            <w:vAlign w:val="center"/>
          </w:tcPr>
          <w:p w14:paraId="7C735158">
            <w:pPr>
              <w:pStyle w:val="49"/>
              <w:jc w:val="center"/>
              <w:rPr>
                <w:rFonts w:hint="eastAsia" w:ascii="宋体" w:hAnsi="宋体" w:eastAsia="宋体" w:cs="宋体"/>
                <w:color w:val="auto"/>
                <w:sz w:val="21"/>
                <w:szCs w:val="21"/>
                <w:highlight w:val="none"/>
              </w:rPr>
            </w:pPr>
          </w:p>
        </w:tc>
        <w:tc>
          <w:tcPr>
            <w:tcW w:w="1080" w:type="dxa"/>
            <w:tcBorders>
              <w:left w:val="single" w:color="auto" w:sz="4" w:space="0"/>
            </w:tcBorders>
            <w:vAlign w:val="center"/>
          </w:tcPr>
          <w:p w14:paraId="0EF6F977">
            <w:pPr>
              <w:pStyle w:val="49"/>
              <w:jc w:val="center"/>
              <w:rPr>
                <w:rFonts w:hint="eastAsia" w:ascii="宋体" w:hAnsi="宋体" w:eastAsia="宋体" w:cs="宋体"/>
                <w:color w:val="auto"/>
                <w:sz w:val="21"/>
                <w:szCs w:val="21"/>
                <w:highlight w:val="none"/>
              </w:rPr>
            </w:pPr>
          </w:p>
        </w:tc>
        <w:tc>
          <w:tcPr>
            <w:tcW w:w="804" w:type="dxa"/>
            <w:tcBorders>
              <w:left w:val="single" w:color="auto" w:sz="4" w:space="0"/>
            </w:tcBorders>
            <w:vAlign w:val="center"/>
          </w:tcPr>
          <w:p w14:paraId="3483447B">
            <w:pPr>
              <w:pStyle w:val="49"/>
              <w:jc w:val="center"/>
              <w:rPr>
                <w:rFonts w:hint="eastAsia" w:ascii="宋体" w:hAnsi="宋体" w:eastAsia="宋体" w:cs="宋体"/>
                <w:color w:val="auto"/>
                <w:sz w:val="21"/>
                <w:szCs w:val="21"/>
                <w:highlight w:val="none"/>
              </w:rPr>
            </w:pPr>
          </w:p>
        </w:tc>
        <w:tc>
          <w:tcPr>
            <w:tcW w:w="1860" w:type="dxa"/>
            <w:vAlign w:val="center"/>
          </w:tcPr>
          <w:p w14:paraId="7F355EC3">
            <w:pPr>
              <w:pStyle w:val="49"/>
              <w:jc w:val="center"/>
              <w:rPr>
                <w:rFonts w:hint="eastAsia" w:ascii="宋体" w:hAnsi="宋体" w:eastAsia="宋体" w:cs="宋体"/>
                <w:color w:val="auto"/>
                <w:sz w:val="21"/>
                <w:szCs w:val="21"/>
                <w:highlight w:val="none"/>
              </w:rPr>
            </w:pPr>
          </w:p>
        </w:tc>
        <w:tc>
          <w:tcPr>
            <w:tcW w:w="1356" w:type="dxa"/>
            <w:vAlign w:val="center"/>
          </w:tcPr>
          <w:p w14:paraId="11476DCE">
            <w:pPr>
              <w:pStyle w:val="49"/>
              <w:jc w:val="center"/>
              <w:rPr>
                <w:rFonts w:hint="eastAsia" w:ascii="宋体" w:hAnsi="宋体" w:eastAsia="宋体" w:cs="宋体"/>
                <w:color w:val="auto"/>
                <w:sz w:val="21"/>
                <w:szCs w:val="21"/>
                <w:highlight w:val="none"/>
              </w:rPr>
            </w:pPr>
          </w:p>
        </w:tc>
        <w:tc>
          <w:tcPr>
            <w:tcW w:w="816" w:type="dxa"/>
            <w:vAlign w:val="center"/>
          </w:tcPr>
          <w:p w14:paraId="30F5864D">
            <w:pPr>
              <w:pStyle w:val="49"/>
              <w:jc w:val="center"/>
              <w:rPr>
                <w:rFonts w:hint="eastAsia" w:ascii="宋体" w:hAnsi="宋体" w:eastAsia="宋体" w:cs="宋体"/>
                <w:color w:val="auto"/>
                <w:sz w:val="21"/>
                <w:szCs w:val="21"/>
                <w:highlight w:val="none"/>
              </w:rPr>
            </w:pPr>
          </w:p>
        </w:tc>
      </w:tr>
      <w:tr w14:paraId="19E49C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47F12C5C">
            <w:pPr>
              <w:pStyle w:val="49"/>
              <w:jc w:val="center"/>
              <w:rPr>
                <w:rFonts w:hint="eastAsia" w:ascii="宋体" w:hAnsi="宋体" w:eastAsia="宋体" w:cs="宋体"/>
                <w:color w:val="auto"/>
                <w:sz w:val="21"/>
                <w:szCs w:val="21"/>
                <w:highlight w:val="none"/>
              </w:rPr>
            </w:pPr>
            <w:bookmarkStart w:id="684" w:name="_Toc99533293"/>
            <w:bookmarkStart w:id="685" w:name="_Toc100090785"/>
            <w:r>
              <w:rPr>
                <w:rFonts w:hint="eastAsia" w:ascii="宋体" w:hAnsi="宋体" w:eastAsia="宋体" w:cs="宋体"/>
                <w:color w:val="auto"/>
                <w:sz w:val="21"/>
                <w:szCs w:val="21"/>
                <w:highlight w:val="none"/>
              </w:rPr>
              <w:t>2</w:t>
            </w:r>
            <w:bookmarkEnd w:id="684"/>
            <w:bookmarkEnd w:id="685"/>
          </w:p>
        </w:tc>
        <w:tc>
          <w:tcPr>
            <w:tcW w:w="1267" w:type="dxa"/>
            <w:vAlign w:val="center"/>
          </w:tcPr>
          <w:p w14:paraId="3AE14FF6">
            <w:pPr>
              <w:pStyle w:val="49"/>
              <w:jc w:val="center"/>
              <w:rPr>
                <w:rFonts w:hint="eastAsia" w:ascii="宋体" w:hAnsi="宋体" w:eastAsia="宋体" w:cs="宋体"/>
                <w:color w:val="auto"/>
                <w:sz w:val="21"/>
                <w:szCs w:val="21"/>
                <w:highlight w:val="none"/>
              </w:rPr>
            </w:pPr>
          </w:p>
        </w:tc>
        <w:tc>
          <w:tcPr>
            <w:tcW w:w="1296" w:type="dxa"/>
            <w:tcBorders>
              <w:right w:val="single" w:color="auto" w:sz="4" w:space="0"/>
            </w:tcBorders>
            <w:vAlign w:val="center"/>
          </w:tcPr>
          <w:p w14:paraId="06FFE829">
            <w:pPr>
              <w:pStyle w:val="49"/>
              <w:jc w:val="center"/>
              <w:rPr>
                <w:rFonts w:hint="eastAsia" w:ascii="宋体" w:hAnsi="宋体" w:eastAsia="宋体" w:cs="宋体"/>
                <w:color w:val="auto"/>
                <w:sz w:val="21"/>
                <w:szCs w:val="21"/>
                <w:highlight w:val="none"/>
              </w:rPr>
            </w:pPr>
          </w:p>
        </w:tc>
        <w:tc>
          <w:tcPr>
            <w:tcW w:w="1080" w:type="dxa"/>
            <w:tcBorders>
              <w:left w:val="single" w:color="auto" w:sz="4" w:space="0"/>
            </w:tcBorders>
            <w:vAlign w:val="center"/>
          </w:tcPr>
          <w:p w14:paraId="1A33E450">
            <w:pPr>
              <w:pStyle w:val="49"/>
              <w:jc w:val="center"/>
              <w:rPr>
                <w:rFonts w:hint="eastAsia" w:ascii="宋体" w:hAnsi="宋体" w:eastAsia="宋体" w:cs="宋体"/>
                <w:color w:val="auto"/>
                <w:sz w:val="21"/>
                <w:szCs w:val="21"/>
                <w:highlight w:val="none"/>
              </w:rPr>
            </w:pPr>
          </w:p>
        </w:tc>
        <w:tc>
          <w:tcPr>
            <w:tcW w:w="804" w:type="dxa"/>
            <w:tcBorders>
              <w:left w:val="single" w:color="auto" w:sz="4" w:space="0"/>
            </w:tcBorders>
            <w:vAlign w:val="center"/>
          </w:tcPr>
          <w:p w14:paraId="476ECD82">
            <w:pPr>
              <w:pStyle w:val="49"/>
              <w:jc w:val="center"/>
              <w:rPr>
                <w:rFonts w:hint="eastAsia" w:ascii="宋体" w:hAnsi="宋体" w:eastAsia="宋体" w:cs="宋体"/>
                <w:color w:val="auto"/>
                <w:sz w:val="21"/>
                <w:szCs w:val="21"/>
                <w:highlight w:val="none"/>
              </w:rPr>
            </w:pPr>
          </w:p>
        </w:tc>
        <w:tc>
          <w:tcPr>
            <w:tcW w:w="1860" w:type="dxa"/>
            <w:vAlign w:val="center"/>
          </w:tcPr>
          <w:p w14:paraId="390E678F">
            <w:pPr>
              <w:pStyle w:val="49"/>
              <w:jc w:val="center"/>
              <w:rPr>
                <w:rFonts w:hint="eastAsia" w:ascii="宋体" w:hAnsi="宋体" w:eastAsia="宋体" w:cs="宋体"/>
                <w:color w:val="auto"/>
                <w:sz w:val="21"/>
                <w:szCs w:val="21"/>
                <w:highlight w:val="none"/>
              </w:rPr>
            </w:pPr>
          </w:p>
        </w:tc>
        <w:tc>
          <w:tcPr>
            <w:tcW w:w="1356" w:type="dxa"/>
            <w:vAlign w:val="center"/>
          </w:tcPr>
          <w:p w14:paraId="44B4146B">
            <w:pPr>
              <w:pStyle w:val="49"/>
              <w:jc w:val="center"/>
              <w:rPr>
                <w:rFonts w:hint="eastAsia" w:ascii="宋体" w:hAnsi="宋体" w:eastAsia="宋体" w:cs="宋体"/>
                <w:color w:val="auto"/>
                <w:sz w:val="21"/>
                <w:szCs w:val="21"/>
                <w:highlight w:val="none"/>
              </w:rPr>
            </w:pPr>
          </w:p>
        </w:tc>
        <w:tc>
          <w:tcPr>
            <w:tcW w:w="816" w:type="dxa"/>
            <w:vAlign w:val="center"/>
          </w:tcPr>
          <w:p w14:paraId="3D8C0BFB">
            <w:pPr>
              <w:pStyle w:val="49"/>
              <w:jc w:val="center"/>
              <w:rPr>
                <w:rFonts w:hint="eastAsia" w:ascii="宋体" w:hAnsi="宋体" w:eastAsia="宋体" w:cs="宋体"/>
                <w:color w:val="auto"/>
                <w:sz w:val="21"/>
                <w:szCs w:val="21"/>
                <w:highlight w:val="none"/>
              </w:rPr>
            </w:pPr>
          </w:p>
        </w:tc>
      </w:tr>
      <w:tr w14:paraId="5F5E2B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0824241E">
            <w:pPr>
              <w:pStyle w:val="49"/>
              <w:jc w:val="center"/>
              <w:rPr>
                <w:rFonts w:hint="eastAsia" w:ascii="宋体" w:hAnsi="宋体" w:eastAsia="宋体" w:cs="宋体"/>
                <w:color w:val="auto"/>
                <w:sz w:val="21"/>
                <w:szCs w:val="21"/>
                <w:highlight w:val="none"/>
              </w:rPr>
            </w:pPr>
            <w:bookmarkStart w:id="686" w:name="_Toc99533294"/>
            <w:bookmarkStart w:id="687" w:name="_Toc100090786"/>
            <w:r>
              <w:rPr>
                <w:rFonts w:hint="eastAsia" w:ascii="宋体" w:hAnsi="宋体" w:eastAsia="宋体" w:cs="宋体"/>
                <w:color w:val="auto"/>
                <w:sz w:val="21"/>
                <w:szCs w:val="21"/>
                <w:highlight w:val="none"/>
              </w:rPr>
              <w:t>3</w:t>
            </w:r>
            <w:bookmarkEnd w:id="686"/>
            <w:bookmarkEnd w:id="687"/>
          </w:p>
        </w:tc>
        <w:tc>
          <w:tcPr>
            <w:tcW w:w="1267" w:type="dxa"/>
            <w:vAlign w:val="center"/>
          </w:tcPr>
          <w:p w14:paraId="19C12411">
            <w:pPr>
              <w:pStyle w:val="49"/>
              <w:jc w:val="center"/>
              <w:rPr>
                <w:rFonts w:hint="eastAsia" w:ascii="宋体" w:hAnsi="宋体" w:eastAsia="宋体" w:cs="宋体"/>
                <w:color w:val="auto"/>
                <w:sz w:val="21"/>
                <w:szCs w:val="21"/>
                <w:highlight w:val="none"/>
              </w:rPr>
            </w:pPr>
          </w:p>
        </w:tc>
        <w:tc>
          <w:tcPr>
            <w:tcW w:w="1296" w:type="dxa"/>
            <w:tcBorders>
              <w:right w:val="single" w:color="auto" w:sz="4" w:space="0"/>
            </w:tcBorders>
            <w:vAlign w:val="center"/>
          </w:tcPr>
          <w:p w14:paraId="1E33B914">
            <w:pPr>
              <w:pStyle w:val="49"/>
              <w:jc w:val="center"/>
              <w:rPr>
                <w:rFonts w:hint="eastAsia" w:ascii="宋体" w:hAnsi="宋体" w:eastAsia="宋体" w:cs="宋体"/>
                <w:color w:val="auto"/>
                <w:sz w:val="21"/>
                <w:szCs w:val="21"/>
                <w:highlight w:val="none"/>
              </w:rPr>
            </w:pPr>
          </w:p>
        </w:tc>
        <w:tc>
          <w:tcPr>
            <w:tcW w:w="1080" w:type="dxa"/>
            <w:tcBorders>
              <w:left w:val="single" w:color="auto" w:sz="4" w:space="0"/>
            </w:tcBorders>
            <w:vAlign w:val="center"/>
          </w:tcPr>
          <w:p w14:paraId="70C10384">
            <w:pPr>
              <w:pStyle w:val="49"/>
              <w:jc w:val="center"/>
              <w:rPr>
                <w:rFonts w:hint="eastAsia" w:ascii="宋体" w:hAnsi="宋体" w:eastAsia="宋体" w:cs="宋体"/>
                <w:color w:val="auto"/>
                <w:sz w:val="21"/>
                <w:szCs w:val="21"/>
                <w:highlight w:val="none"/>
              </w:rPr>
            </w:pPr>
          </w:p>
        </w:tc>
        <w:tc>
          <w:tcPr>
            <w:tcW w:w="804" w:type="dxa"/>
            <w:tcBorders>
              <w:left w:val="single" w:color="auto" w:sz="4" w:space="0"/>
            </w:tcBorders>
            <w:vAlign w:val="center"/>
          </w:tcPr>
          <w:p w14:paraId="657B47D5">
            <w:pPr>
              <w:pStyle w:val="49"/>
              <w:jc w:val="center"/>
              <w:rPr>
                <w:rFonts w:hint="eastAsia" w:ascii="宋体" w:hAnsi="宋体" w:eastAsia="宋体" w:cs="宋体"/>
                <w:color w:val="auto"/>
                <w:sz w:val="21"/>
                <w:szCs w:val="21"/>
                <w:highlight w:val="none"/>
              </w:rPr>
            </w:pPr>
          </w:p>
        </w:tc>
        <w:tc>
          <w:tcPr>
            <w:tcW w:w="1860" w:type="dxa"/>
            <w:vAlign w:val="center"/>
          </w:tcPr>
          <w:p w14:paraId="3F31D2CD">
            <w:pPr>
              <w:pStyle w:val="49"/>
              <w:jc w:val="center"/>
              <w:rPr>
                <w:rFonts w:hint="eastAsia" w:ascii="宋体" w:hAnsi="宋体" w:eastAsia="宋体" w:cs="宋体"/>
                <w:color w:val="auto"/>
                <w:sz w:val="21"/>
                <w:szCs w:val="21"/>
                <w:highlight w:val="none"/>
              </w:rPr>
            </w:pPr>
          </w:p>
        </w:tc>
        <w:tc>
          <w:tcPr>
            <w:tcW w:w="1356" w:type="dxa"/>
            <w:vAlign w:val="center"/>
          </w:tcPr>
          <w:p w14:paraId="3A9D9DD7">
            <w:pPr>
              <w:pStyle w:val="49"/>
              <w:jc w:val="center"/>
              <w:rPr>
                <w:rFonts w:hint="eastAsia" w:ascii="宋体" w:hAnsi="宋体" w:eastAsia="宋体" w:cs="宋体"/>
                <w:color w:val="auto"/>
                <w:sz w:val="21"/>
                <w:szCs w:val="21"/>
                <w:highlight w:val="none"/>
              </w:rPr>
            </w:pPr>
          </w:p>
        </w:tc>
        <w:tc>
          <w:tcPr>
            <w:tcW w:w="816" w:type="dxa"/>
            <w:vAlign w:val="center"/>
          </w:tcPr>
          <w:p w14:paraId="0ED9D4FB">
            <w:pPr>
              <w:pStyle w:val="49"/>
              <w:jc w:val="center"/>
              <w:rPr>
                <w:rFonts w:hint="eastAsia" w:ascii="宋体" w:hAnsi="宋体" w:eastAsia="宋体" w:cs="宋体"/>
                <w:color w:val="auto"/>
                <w:sz w:val="21"/>
                <w:szCs w:val="21"/>
                <w:highlight w:val="none"/>
              </w:rPr>
            </w:pPr>
          </w:p>
        </w:tc>
      </w:tr>
      <w:tr w14:paraId="72391D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329A399B">
            <w:pPr>
              <w:pStyle w:val="49"/>
              <w:jc w:val="center"/>
              <w:rPr>
                <w:rFonts w:hint="eastAsia" w:ascii="宋体" w:hAnsi="宋体" w:eastAsia="宋体" w:cs="宋体"/>
                <w:color w:val="auto"/>
                <w:sz w:val="21"/>
                <w:szCs w:val="21"/>
                <w:highlight w:val="none"/>
              </w:rPr>
            </w:pPr>
            <w:bookmarkStart w:id="688" w:name="_Toc100090787"/>
            <w:bookmarkStart w:id="689" w:name="_Toc99533295"/>
            <w:r>
              <w:rPr>
                <w:rFonts w:hint="eastAsia" w:ascii="宋体" w:hAnsi="宋体" w:eastAsia="宋体" w:cs="宋体"/>
                <w:color w:val="auto"/>
                <w:sz w:val="21"/>
                <w:szCs w:val="21"/>
                <w:highlight w:val="none"/>
              </w:rPr>
              <w:t>4</w:t>
            </w:r>
            <w:bookmarkEnd w:id="688"/>
            <w:bookmarkEnd w:id="689"/>
          </w:p>
        </w:tc>
        <w:tc>
          <w:tcPr>
            <w:tcW w:w="1267" w:type="dxa"/>
            <w:vAlign w:val="center"/>
          </w:tcPr>
          <w:p w14:paraId="42DE0F63">
            <w:pPr>
              <w:pStyle w:val="49"/>
              <w:jc w:val="center"/>
              <w:rPr>
                <w:rFonts w:hint="eastAsia" w:ascii="宋体" w:hAnsi="宋体" w:eastAsia="宋体" w:cs="宋体"/>
                <w:color w:val="auto"/>
                <w:sz w:val="21"/>
                <w:szCs w:val="21"/>
                <w:highlight w:val="none"/>
              </w:rPr>
            </w:pPr>
          </w:p>
        </w:tc>
        <w:tc>
          <w:tcPr>
            <w:tcW w:w="1296" w:type="dxa"/>
            <w:tcBorders>
              <w:right w:val="single" w:color="auto" w:sz="4" w:space="0"/>
            </w:tcBorders>
            <w:vAlign w:val="center"/>
          </w:tcPr>
          <w:p w14:paraId="3CA0809C">
            <w:pPr>
              <w:pStyle w:val="49"/>
              <w:jc w:val="center"/>
              <w:rPr>
                <w:rFonts w:hint="eastAsia" w:ascii="宋体" w:hAnsi="宋体" w:eastAsia="宋体" w:cs="宋体"/>
                <w:color w:val="auto"/>
                <w:sz w:val="21"/>
                <w:szCs w:val="21"/>
                <w:highlight w:val="none"/>
              </w:rPr>
            </w:pPr>
          </w:p>
        </w:tc>
        <w:tc>
          <w:tcPr>
            <w:tcW w:w="1080" w:type="dxa"/>
            <w:tcBorders>
              <w:left w:val="single" w:color="auto" w:sz="4" w:space="0"/>
            </w:tcBorders>
            <w:vAlign w:val="center"/>
          </w:tcPr>
          <w:p w14:paraId="6D63F4E6">
            <w:pPr>
              <w:pStyle w:val="49"/>
              <w:jc w:val="center"/>
              <w:rPr>
                <w:rFonts w:hint="eastAsia" w:ascii="宋体" w:hAnsi="宋体" w:eastAsia="宋体" w:cs="宋体"/>
                <w:color w:val="auto"/>
                <w:sz w:val="21"/>
                <w:szCs w:val="21"/>
                <w:highlight w:val="none"/>
              </w:rPr>
            </w:pPr>
          </w:p>
        </w:tc>
        <w:tc>
          <w:tcPr>
            <w:tcW w:w="804" w:type="dxa"/>
            <w:tcBorders>
              <w:left w:val="single" w:color="auto" w:sz="4" w:space="0"/>
            </w:tcBorders>
            <w:vAlign w:val="center"/>
          </w:tcPr>
          <w:p w14:paraId="496384D0">
            <w:pPr>
              <w:pStyle w:val="49"/>
              <w:jc w:val="center"/>
              <w:rPr>
                <w:rFonts w:hint="eastAsia" w:ascii="宋体" w:hAnsi="宋体" w:eastAsia="宋体" w:cs="宋体"/>
                <w:color w:val="auto"/>
                <w:sz w:val="21"/>
                <w:szCs w:val="21"/>
                <w:highlight w:val="none"/>
              </w:rPr>
            </w:pPr>
          </w:p>
        </w:tc>
        <w:tc>
          <w:tcPr>
            <w:tcW w:w="1860" w:type="dxa"/>
            <w:vAlign w:val="center"/>
          </w:tcPr>
          <w:p w14:paraId="068007BF">
            <w:pPr>
              <w:pStyle w:val="49"/>
              <w:jc w:val="center"/>
              <w:rPr>
                <w:rFonts w:hint="eastAsia" w:ascii="宋体" w:hAnsi="宋体" w:eastAsia="宋体" w:cs="宋体"/>
                <w:color w:val="auto"/>
                <w:sz w:val="21"/>
                <w:szCs w:val="21"/>
                <w:highlight w:val="none"/>
              </w:rPr>
            </w:pPr>
          </w:p>
        </w:tc>
        <w:tc>
          <w:tcPr>
            <w:tcW w:w="1356" w:type="dxa"/>
            <w:vAlign w:val="center"/>
          </w:tcPr>
          <w:p w14:paraId="5A94DC72">
            <w:pPr>
              <w:pStyle w:val="49"/>
              <w:jc w:val="center"/>
              <w:rPr>
                <w:rFonts w:hint="eastAsia" w:ascii="宋体" w:hAnsi="宋体" w:eastAsia="宋体" w:cs="宋体"/>
                <w:color w:val="auto"/>
                <w:sz w:val="21"/>
                <w:szCs w:val="21"/>
                <w:highlight w:val="none"/>
              </w:rPr>
            </w:pPr>
          </w:p>
        </w:tc>
        <w:tc>
          <w:tcPr>
            <w:tcW w:w="816" w:type="dxa"/>
            <w:vAlign w:val="center"/>
          </w:tcPr>
          <w:p w14:paraId="01F1E6DB">
            <w:pPr>
              <w:pStyle w:val="49"/>
              <w:jc w:val="center"/>
              <w:rPr>
                <w:rFonts w:hint="eastAsia" w:ascii="宋体" w:hAnsi="宋体" w:eastAsia="宋体" w:cs="宋体"/>
                <w:color w:val="auto"/>
                <w:sz w:val="21"/>
                <w:szCs w:val="21"/>
                <w:highlight w:val="none"/>
              </w:rPr>
            </w:pPr>
          </w:p>
        </w:tc>
      </w:tr>
      <w:tr w14:paraId="67CF6A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61FE3797">
            <w:pPr>
              <w:pStyle w:val="49"/>
              <w:jc w:val="center"/>
              <w:rPr>
                <w:rFonts w:hint="eastAsia" w:ascii="宋体" w:hAnsi="宋体" w:eastAsia="宋体" w:cs="宋体"/>
                <w:color w:val="auto"/>
                <w:sz w:val="21"/>
                <w:szCs w:val="21"/>
                <w:highlight w:val="none"/>
              </w:rPr>
            </w:pPr>
            <w:bookmarkStart w:id="690" w:name="_Toc99533296"/>
            <w:bookmarkStart w:id="691" w:name="_Toc100090788"/>
            <w:r>
              <w:rPr>
                <w:rFonts w:hint="eastAsia" w:ascii="宋体" w:hAnsi="宋体" w:eastAsia="宋体" w:cs="宋体"/>
                <w:color w:val="auto"/>
                <w:sz w:val="21"/>
                <w:szCs w:val="21"/>
                <w:highlight w:val="none"/>
              </w:rPr>
              <w:t>5</w:t>
            </w:r>
            <w:bookmarkEnd w:id="690"/>
            <w:bookmarkEnd w:id="691"/>
          </w:p>
        </w:tc>
        <w:tc>
          <w:tcPr>
            <w:tcW w:w="1267" w:type="dxa"/>
            <w:vAlign w:val="center"/>
          </w:tcPr>
          <w:p w14:paraId="3241008C">
            <w:pPr>
              <w:pStyle w:val="49"/>
              <w:jc w:val="center"/>
              <w:rPr>
                <w:rFonts w:hint="eastAsia" w:ascii="宋体" w:hAnsi="宋体" w:eastAsia="宋体" w:cs="宋体"/>
                <w:color w:val="auto"/>
                <w:sz w:val="21"/>
                <w:szCs w:val="21"/>
                <w:highlight w:val="none"/>
              </w:rPr>
            </w:pPr>
          </w:p>
        </w:tc>
        <w:tc>
          <w:tcPr>
            <w:tcW w:w="1296" w:type="dxa"/>
            <w:tcBorders>
              <w:right w:val="single" w:color="auto" w:sz="4" w:space="0"/>
            </w:tcBorders>
            <w:vAlign w:val="center"/>
          </w:tcPr>
          <w:p w14:paraId="3999E45B">
            <w:pPr>
              <w:pStyle w:val="49"/>
              <w:jc w:val="center"/>
              <w:rPr>
                <w:rFonts w:hint="eastAsia" w:ascii="宋体" w:hAnsi="宋体" w:eastAsia="宋体" w:cs="宋体"/>
                <w:color w:val="auto"/>
                <w:sz w:val="21"/>
                <w:szCs w:val="21"/>
                <w:highlight w:val="none"/>
              </w:rPr>
            </w:pPr>
          </w:p>
        </w:tc>
        <w:tc>
          <w:tcPr>
            <w:tcW w:w="1080" w:type="dxa"/>
            <w:tcBorders>
              <w:left w:val="single" w:color="auto" w:sz="4" w:space="0"/>
            </w:tcBorders>
            <w:vAlign w:val="center"/>
          </w:tcPr>
          <w:p w14:paraId="64009478">
            <w:pPr>
              <w:pStyle w:val="49"/>
              <w:jc w:val="center"/>
              <w:rPr>
                <w:rFonts w:hint="eastAsia" w:ascii="宋体" w:hAnsi="宋体" w:eastAsia="宋体" w:cs="宋体"/>
                <w:color w:val="auto"/>
                <w:sz w:val="21"/>
                <w:szCs w:val="21"/>
                <w:highlight w:val="none"/>
              </w:rPr>
            </w:pPr>
          </w:p>
        </w:tc>
        <w:tc>
          <w:tcPr>
            <w:tcW w:w="804" w:type="dxa"/>
            <w:tcBorders>
              <w:left w:val="single" w:color="auto" w:sz="4" w:space="0"/>
            </w:tcBorders>
            <w:vAlign w:val="center"/>
          </w:tcPr>
          <w:p w14:paraId="75153765">
            <w:pPr>
              <w:pStyle w:val="49"/>
              <w:jc w:val="center"/>
              <w:rPr>
                <w:rFonts w:hint="eastAsia" w:ascii="宋体" w:hAnsi="宋体" w:eastAsia="宋体" w:cs="宋体"/>
                <w:color w:val="auto"/>
                <w:sz w:val="21"/>
                <w:szCs w:val="21"/>
                <w:highlight w:val="none"/>
              </w:rPr>
            </w:pPr>
          </w:p>
        </w:tc>
        <w:tc>
          <w:tcPr>
            <w:tcW w:w="1860" w:type="dxa"/>
            <w:vAlign w:val="center"/>
          </w:tcPr>
          <w:p w14:paraId="12AB49C0">
            <w:pPr>
              <w:pStyle w:val="49"/>
              <w:jc w:val="center"/>
              <w:rPr>
                <w:rFonts w:hint="eastAsia" w:ascii="宋体" w:hAnsi="宋体" w:eastAsia="宋体" w:cs="宋体"/>
                <w:color w:val="auto"/>
                <w:sz w:val="21"/>
                <w:szCs w:val="21"/>
                <w:highlight w:val="none"/>
              </w:rPr>
            </w:pPr>
          </w:p>
        </w:tc>
        <w:tc>
          <w:tcPr>
            <w:tcW w:w="1356" w:type="dxa"/>
            <w:vAlign w:val="center"/>
          </w:tcPr>
          <w:p w14:paraId="1659A511">
            <w:pPr>
              <w:pStyle w:val="49"/>
              <w:jc w:val="center"/>
              <w:rPr>
                <w:rFonts w:hint="eastAsia" w:ascii="宋体" w:hAnsi="宋体" w:eastAsia="宋体" w:cs="宋体"/>
                <w:color w:val="auto"/>
                <w:sz w:val="21"/>
                <w:szCs w:val="21"/>
                <w:highlight w:val="none"/>
              </w:rPr>
            </w:pPr>
          </w:p>
        </w:tc>
        <w:tc>
          <w:tcPr>
            <w:tcW w:w="816" w:type="dxa"/>
            <w:vAlign w:val="center"/>
          </w:tcPr>
          <w:p w14:paraId="5FBE7410">
            <w:pPr>
              <w:pStyle w:val="49"/>
              <w:jc w:val="center"/>
              <w:rPr>
                <w:rFonts w:hint="eastAsia" w:ascii="宋体" w:hAnsi="宋体" w:eastAsia="宋体" w:cs="宋体"/>
                <w:color w:val="auto"/>
                <w:sz w:val="21"/>
                <w:szCs w:val="21"/>
                <w:highlight w:val="none"/>
              </w:rPr>
            </w:pPr>
          </w:p>
        </w:tc>
      </w:tr>
      <w:tr w14:paraId="053F8B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07DED61F">
            <w:pPr>
              <w:pStyle w:val="49"/>
              <w:jc w:val="center"/>
              <w:rPr>
                <w:rFonts w:hint="eastAsia" w:ascii="宋体" w:hAnsi="宋体" w:eastAsia="宋体" w:cs="宋体"/>
                <w:color w:val="auto"/>
                <w:sz w:val="21"/>
                <w:szCs w:val="21"/>
                <w:highlight w:val="none"/>
              </w:rPr>
            </w:pPr>
            <w:bookmarkStart w:id="692" w:name="_Toc100090789"/>
            <w:bookmarkStart w:id="693" w:name="_Toc99533297"/>
            <w:r>
              <w:rPr>
                <w:rFonts w:hint="eastAsia" w:ascii="宋体" w:hAnsi="宋体" w:eastAsia="宋体" w:cs="宋体"/>
                <w:color w:val="auto"/>
                <w:sz w:val="21"/>
                <w:szCs w:val="21"/>
                <w:highlight w:val="none"/>
              </w:rPr>
              <w:t>6</w:t>
            </w:r>
            <w:bookmarkEnd w:id="692"/>
            <w:bookmarkEnd w:id="693"/>
          </w:p>
        </w:tc>
        <w:tc>
          <w:tcPr>
            <w:tcW w:w="1267" w:type="dxa"/>
            <w:vAlign w:val="center"/>
          </w:tcPr>
          <w:p w14:paraId="40527E11">
            <w:pPr>
              <w:pStyle w:val="49"/>
              <w:jc w:val="center"/>
              <w:rPr>
                <w:rFonts w:hint="eastAsia" w:ascii="宋体" w:hAnsi="宋体" w:eastAsia="宋体" w:cs="宋体"/>
                <w:color w:val="auto"/>
                <w:sz w:val="21"/>
                <w:szCs w:val="21"/>
                <w:highlight w:val="none"/>
              </w:rPr>
            </w:pPr>
          </w:p>
        </w:tc>
        <w:tc>
          <w:tcPr>
            <w:tcW w:w="1296" w:type="dxa"/>
            <w:tcBorders>
              <w:right w:val="single" w:color="auto" w:sz="4" w:space="0"/>
            </w:tcBorders>
            <w:vAlign w:val="center"/>
          </w:tcPr>
          <w:p w14:paraId="16947C68">
            <w:pPr>
              <w:pStyle w:val="49"/>
              <w:jc w:val="center"/>
              <w:rPr>
                <w:rFonts w:hint="eastAsia" w:ascii="宋体" w:hAnsi="宋体" w:eastAsia="宋体" w:cs="宋体"/>
                <w:color w:val="auto"/>
                <w:sz w:val="21"/>
                <w:szCs w:val="21"/>
                <w:highlight w:val="none"/>
              </w:rPr>
            </w:pPr>
          </w:p>
        </w:tc>
        <w:tc>
          <w:tcPr>
            <w:tcW w:w="1080" w:type="dxa"/>
            <w:tcBorders>
              <w:left w:val="single" w:color="auto" w:sz="4" w:space="0"/>
            </w:tcBorders>
            <w:vAlign w:val="center"/>
          </w:tcPr>
          <w:p w14:paraId="1666B8AD">
            <w:pPr>
              <w:pStyle w:val="49"/>
              <w:jc w:val="center"/>
              <w:rPr>
                <w:rFonts w:hint="eastAsia" w:ascii="宋体" w:hAnsi="宋体" w:eastAsia="宋体" w:cs="宋体"/>
                <w:color w:val="auto"/>
                <w:sz w:val="21"/>
                <w:szCs w:val="21"/>
                <w:highlight w:val="none"/>
              </w:rPr>
            </w:pPr>
          </w:p>
        </w:tc>
        <w:tc>
          <w:tcPr>
            <w:tcW w:w="804" w:type="dxa"/>
            <w:tcBorders>
              <w:left w:val="single" w:color="auto" w:sz="4" w:space="0"/>
            </w:tcBorders>
            <w:vAlign w:val="center"/>
          </w:tcPr>
          <w:p w14:paraId="45256EB9">
            <w:pPr>
              <w:pStyle w:val="49"/>
              <w:jc w:val="center"/>
              <w:rPr>
                <w:rFonts w:hint="eastAsia" w:ascii="宋体" w:hAnsi="宋体" w:eastAsia="宋体" w:cs="宋体"/>
                <w:color w:val="auto"/>
                <w:sz w:val="21"/>
                <w:szCs w:val="21"/>
                <w:highlight w:val="none"/>
              </w:rPr>
            </w:pPr>
          </w:p>
        </w:tc>
        <w:tc>
          <w:tcPr>
            <w:tcW w:w="1860" w:type="dxa"/>
            <w:vAlign w:val="center"/>
          </w:tcPr>
          <w:p w14:paraId="51ADEB68">
            <w:pPr>
              <w:pStyle w:val="49"/>
              <w:jc w:val="center"/>
              <w:rPr>
                <w:rFonts w:hint="eastAsia" w:ascii="宋体" w:hAnsi="宋体" w:eastAsia="宋体" w:cs="宋体"/>
                <w:color w:val="auto"/>
                <w:sz w:val="21"/>
                <w:szCs w:val="21"/>
                <w:highlight w:val="none"/>
              </w:rPr>
            </w:pPr>
          </w:p>
        </w:tc>
        <w:tc>
          <w:tcPr>
            <w:tcW w:w="1356" w:type="dxa"/>
            <w:vAlign w:val="center"/>
          </w:tcPr>
          <w:p w14:paraId="1CED2476">
            <w:pPr>
              <w:pStyle w:val="49"/>
              <w:jc w:val="center"/>
              <w:rPr>
                <w:rFonts w:hint="eastAsia" w:ascii="宋体" w:hAnsi="宋体" w:eastAsia="宋体" w:cs="宋体"/>
                <w:color w:val="auto"/>
                <w:sz w:val="21"/>
                <w:szCs w:val="21"/>
                <w:highlight w:val="none"/>
              </w:rPr>
            </w:pPr>
          </w:p>
        </w:tc>
        <w:tc>
          <w:tcPr>
            <w:tcW w:w="816" w:type="dxa"/>
            <w:vAlign w:val="center"/>
          </w:tcPr>
          <w:p w14:paraId="4EF8AB8A">
            <w:pPr>
              <w:pStyle w:val="49"/>
              <w:jc w:val="center"/>
              <w:rPr>
                <w:rFonts w:hint="eastAsia" w:ascii="宋体" w:hAnsi="宋体" w:eastAsia="宋体" w:cs="宋体"/>
                <w:color w:val="auto"/>
                <w:sz w:val="21"/>
                <w:szCs w:val="21"/>
                <w:highlight w:val="none"/>
              </w:rPr>
            </w:pPr>
          </w:p>
        </w:tc>
      </w:tr>
      <w:tr w14:paraId="661CA4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6AA4734C">
            <w:pPr>
              <w:pStyle w:val="49"/>
              <w:jc w:val="center"/>
              <w:rPr>
                <w:rFonts w:hint="eastAsia" w:ascii="宋体" w:hAnsi="宋体" w:eastAsia="宋体" w:cs="宋体"/>
                <w:color w:val="auto"/>
                <w:sz w:val="21"/>
                <w:szCs w:val="21"/>
                <w:highlight w:val="none"/>
              </w:rPr>
            </w:pPr>
            <w:bookmarkStart w:id="694" w:name="_Toc99533298"/>
            <w:bookmarkStart w:id="695" w:name="_Toc100090790"/>
            <w:r>
              <w:rPr>
                <w:rFonts w:hint="eastAsia" w:ascii="宋体" w:hAnsi="宋体" w:eastAsia="宋体" w:cs="宋体"/>
                <w:color w:val="auto"/>
                <w:sz w:val="21"/>
                <w:szCs w:val="21"/>
                <w:highlight w:val="none"/>
              </w:rPr>
              <w:t>7</w:t>
            </w:r>
            <w:bookmarkEnd w:id="694"/>
            <w:bookmarkEnd w:id="695"/>
          </w:p>
        </w:tc>
        <w:tc>
          <w:tcPr>
            <w:tcW w:w="1267" w:type="dxa"/>
            <w:vAlign w:val="center"/>
          </w:tcPr>
          <w:p w14:paraId="3F3B684D">
            <w:pPr>
              <w:pStyle w:val="49"/>
              <w:jc w:val="center"/>
              <w:rPr>
                <w:rFonts w:hint="eastAsia" w:ascii="宋体" w:hAnsi="宋体" w:eastAsia="宋体" w:cs="宋体"/>
                <w:color w:val="auto"/>
                <w:sz w:val="21"/>
                <w:szCs w:val="21"/>
                <w:highlight w:val="none"/>
              </w:rPr>
            </w:pPr>
          </w:p>
        </w:tc>
        <w:tc>
          <w:tcPr>
            <w:tcW w:w="1296" w:type="dxa"/>
            <w:tcBorders>
              <w:right w:val="single" w:color="auto" w:sz="4" w:space="0"/>
            </w:tcBorders>
            <w:vAlign w:val="center"/>
          </w:tcPr>
          <w:p w14:paraId="78032A99">
            <w:pPr>
              <w:pStyle w:val="49"/>
              <w:jc w:val="center"/>
              <w:rPr>
                <w:rFonts w:hint="eastAsia" w:ascii="宋体" w:hAnsi="宋体" w:eastAsia="宋体" w:cs="宋体"/>
                <w:color w:val="auto"/>
                <w:sz w:val="21"/>
                <w:szCs w:val="21"/>
                <w:highlight w:val="none"/>
              </w:rPr>
            </w:pPr>
          </w:p>
        </w:tc>
        <w:tc>
          <w:tcPr>
            <w:tcW w:w="1080" w:type="dxa"/>
            <w:tcBorders>
              <w:left w:val="single" w:color="auto" w:sz="4" w:space="0"/>
            </w:tcBorders>
            <w:vAlign w:val="center"/>
          </w:tcPr>
          <w:p w14:paraId="601AE572">
            <w:pPr>
              <w:pStyle w:val="49"/>
              <w:jc w:val="center"/>
              <w:rPr>
                <w:rFonts w:hint="eastAsia" w:ascii="宋体" w:hAnsi="宋体" w:eastAsia="宋体" w:cs="宋体"/>
                <w:color w:val="auto"/>
                <w:sz w:val="21"/>
                <w:szCs w:val="21"/>
                <w:highlight w:val="none"/>
              </w:rPr>
            </w:pPr>
          </w:p>
        </w:tc>
        <w:tc>
          <w:tcPr>
            <w:tcW w:w="804" w:type="dxa"/>
            <w:tcBorders>
              <w:left w:val="single" w:color="auto" w:sz="4" w:space="0"/>
            </w:tcBorders>
            <w:vAlign w:val="center"/>
          </w:tcPr>
          <w:p w14:paraId="01172C19">
            <w:pPr>
              <w:pStyle w:val="49"/>
              <w:jc w:val="center"/>
              <w:rPr>
                <w:rFonts w:hint="eastAsia" w:ascii="宋体" w:hAnsi="宋体" w:eastAsia="宋体" w:cs="宋体"/>
                <w:color w:val="auto"/>
                <w:sz w:val="21"/>
                <w:szCs w:val="21"/>
                <w:highlight w:val="none"/>
              </w:rPr>
            </w:pPr>
          </w:p>
        </w:tc>
        <w:tc>
          <w:tcPr>
            <w:tcW w:w="1860" w:type="dxa"/>
            <w:vAlign w:val="center"/>
          </w:tcPr>
          <w:p w14:paraId="7E9B2A2D">
            <w:pPr>
              <w:pStyle w:val="49"/>
              <w:jc w:val="center"/>
              <w:rPr>
                <w:rFonts w:hint="eastAsia" w:ascii="宋体" w:hAnsi="宋体" w:eastAsia="宋体" w:cs="宋体"/>
                <w:color w:val="auto"/>
                <w:sz w:val="21"/>
                <w:szCs w:val="21"/>
                <w:highlight w:val="none"/>
              </w:rPr>
            </w:pPr>
          </w:p>
        </w:tc>
        <w:tc>
          <w:tcPr>
            <w:tcW w:w="1356" w:type="dxa"/>
            <w:vAlign w:val="center"/>
          </w:tcPr>
          <w:p w14:paraId="4A11C356">
            <w:pPr>
              <w:pStyle w:val="49"/>
              <w:jc w:val="center"/>
              <w:rPr>
                <w:rFonts w:hint="eastAsia" w:ascii="宋体" w:hAnsi="宋体" w:eastAsia="宋体" w:cs="宋体"/>
                <w:color w:val="auto"/>
                <w:sz w:val="21"/>
                <w:szCs w:val="21"/>
                <w:highlight w:val="none"/>
              </w:rPr>
            </w:pPr>
          </w:p>
        </w:tc>
        <w:tc>
          <w:tcPr>
            <w:tcW w:w="816" w:type="dxa"/>
            <w:vAlign w:val="center"/>
          </w:tcPr>
          <w:p w14:paraId="718DD530">
            <w:pPr>
              <w:pStyle w:val="49"/>
              <w:jc w:val="center"/>
              <w:rPr>
                <w:rFonts w:hint="eastAsia" w:ascii="宋体" w:hAnsi="宋体" w:eastAsia="宋体" w:cs="宋体"/>
                <w:color w:val="auto"/>
                <w:sz w:val="21"/>
                <w:szCs w:val="21"/>
                <w:highlight w:val="none"/>
              </w:rPr>
            </w:pPr>
          </w:p>
        </w:tc>
      </w:tr>
      <w:tr w14:paraId="5E0A6F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603F7F8C">
            <w:pPr>
              <w:pStyle w:val="49"/>
              <w:jc w:val="center"/>
              <w:rPr>
                <w:rFonts w:hint="eastAsia" w:ascii="宋体" w:hAnsi="宋体" w:eastAsia="宋体" w:cs="宋体"/>
                <w:color w:val="auto"/>
                <w:sz w:val="21"/>
                <w:szCs w:val="21"/>
                <w:highlight w:val="none"/>
              </w:rPr>
            </w:pPr>
            <w:bookmarkStart w:id="696" w:name="_Toc100090791"/>
            <w:bookmarkStart w:id="697" w:name="_Toc99533299"/>
            <w:r>
              <w:rPr>
                <w:rFonts w:hint="eastAsia" w:ascii="宋体" w:hAnsi="宋体" w:eastAsia="宋体" w:cs="宋体"/>
                <w:color w:val="auto"/>
                <w:sz w:val="21"/>
                <w:szCs w:val="21"/>
                <w:highlight w:val="none"/>
              </w:rPr>
              <w:t>8</w:t>
            </w:r>
            <w:bookmarkEnd w:id="696"/>
            <w:bookmarkEnd w:id="697"/>
          </w:p>
        </w:tc>
        <w:tc>
          <w:tcPr>
            <w:tcW w:w="1267" w:type="dxa"/>
            <w:vAlign w:val="center"/>
          </w:tcPr>
          <w:p w14:paraId="20BD29D0">
            <w:pPr>
              <w:pStyle w:val="49"/>
              <w:jc w:val="center"/>
              <w:rPr>
                <w:rFonts w:hint="eastAsia" w:ascii="宋体" w:hAnsi="宋体" w:eastAsia="宋体" w:cs="宋体"/>
                <w:color w:val="auto"/>
                <w:sz w:val="21"/>
                <w:szCs w:val="21"/>
                <w:highlight w:val="none"/>
              </w:rPr>
            </w:pPr>
          </w:p>
        </w:tc>
        <w:tc>
          <w:tcPr>
            <w:tcW w:w="1296" w:type="dxa"/>
            <w:tcBorders>
              <w:right w:val="single" w:color="auto" w:sz="4" w:space="0"/>
            </w:tcBorders>
            <w:vAlign w:val="center"/>
          </w:tcPr>
          <w:p w14:paraId="7C9D455C">
            <w:pPr>
              <w:pStyle w:val="49"/>
              <w:jc w:val="center"/>
              <w:rPr>
                <w:rFonts w:hint="eastAsia" w:ascii="宋体" w:hAnsi="宋体" w:eastAsia="宋体" w:cs="宋体"/>
                <w:color w:val="auto"/>
                <w:sz w:val="21"/>
                <w:szCs w:val="21"/>
                <w:highlight w:val="none"/>
              </w:rPr>
            </w:pPr>
          </w:p>
        </w:tc>
        <w:tc>
          <w:tcPr>
            <w:tcW w:w="1080" w:type="dxa"/>
            <w:tcBorders>
              <w:left w:val="single" w:color="auto" w:sz="4" w:space="0"/>
            </w:tcBorders>
            <w:vAlign w:val="center"/>
          </w:tcPr>
          <w:p w14:paraId="3548599B">
            <w:pPr>
              <w:pStyle w:val="49"/>
              <w:jc w:val="center"/>
              <w:rPr>
                <w:rFonts w:hint="eastAsia" w:ascii="宋体" w:hAnsi="宋体" w:eastAsia="宋体" w:cs="宋体"/>
                <w:color w:val="auto"/>
                <w:sz w:val="21"/>
                <w:szCs w:val="21"/>
                <w:highlight w:val="none"/>
              </w:rPr>
            </w:pPr>
          </w:p>
        </w:tc>
        <w:tc>
          <w:tcPr>
            <w:tcW w:w="804" w:type="dxa"/>
            <w:tcBorders>
              <w:left w:val="single" w:color="auto" w:sz="4" w:space="0"/>
            </w:tcBorders>
            <w:vAlign w:val="center"/>
          </w:tcPr>
          <w:p w14:paraId="2842C962">
            <w:pPr>
              <w:pStyle w:val="49"/>
              <w:jc w:val="center"/>
              <w:rPr>
                <w:rFonts w:hint="eastAsia" w:ascii="宋体" w:hAnsi="宋体" w:eastAsia="宋体" w:cs="宋体"/>
                <w:color w:val="auto"/>
                <w:sz w:val="21"/>
                <w:szCs w:val="21"/>
                <w:highlight w:val="none"/>
              </w:rPr>
            </w:pPr>
          </w:p>
        </w:tc>
        <w:tc>
          <w:tcPr>
            <w:tcW w:w="1860" w:type="dxa"/>
            <w:vAlign w:val="center"/>
          </w:tcPr>
          <w:p w14:paraId="292DF220">
            <w:pPr>
              <w:pStyle w:val="49"/>
              <w:jc w:val="center"/>
              <w:rPr>
                <w:rFonts w:hint="eastAsia" w:ascii="宋体" w:hAnsi="宋体" w:eastAsia="宋体" w:cs="宋体"/>
                <w:color w:val="auto"/>
                <w:sz w:val="21"/>
                <w:szCs w:val="21"/>
                <w:highlight w:val="none"/>
              </w:rPr>
            </w:pPr>
          </w:p>
        </w:tc>
        <w:tc>
          <w:tcPr>
            <w:tcW w:w="1356" w:type="dxa"/>
            <w:vAlign w:val="center"/>
          </w:tcPr>
          <w:p w14:paraId="70F58594">
            <w:pPr>
              <w:pStyle w:val="49"/>
              <w:jc w:val="center"/>
              <w:rPr>
                <w:rFonts w:hint="eastAsia" w:ascii="宋体" w:hAnsi="宋体" w:eastAsia="宋体" w:cs="宋体"/>
                <w:color w:val="auto"/>
                <w:sz w:val="21"/>
                <w:szCs w:val="21"/>
                <w:highlight w:val="none"/>
              </w:rPr>
            </w:pPr>
          </w:p>
        </w:tc>
        <w:tc>
          <w:tcPr>
            <w:tcW w:w="816" w:type="dxa"/>
            <w:vAlign w:val="center"/>
          </w:tcPr>
          <w:p w14:paraId="247AF589">
            <w:pPr>
              <w:pStyle w:val="49"/>
              <w:jc w:val="center"/>
              <w:rPr>
                <w:rFonts w:hint="eastAsia" w:ascii="宋体" w:hAnsi="宋体" w:eastAsia="宋体" w:cs="宋体"/>
                <w:color w:val="auto"/>
                <w:sz w:val="21"/>
                <w:szCs w:val="21"/>
                <w:highlight w:val="none"/>
              </w:rPr>
            </w:pPr>
          </w:p>
        </w:tc>
      </w:tr>
      <w:tr w14:paraId="17D5B0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4F7A90D9">
            <w:pPr>
              <w:pStyle w:val="49"/>
              <w:jc w:val="center"/>
              <w:rPr>
                <w:rFonts w:hint="eastAsia" w:ascii="宋体" w:hAnsi="宋体" w:eastAsia="宋体" w:cs="宋体"/>
                <w:color w:val="auto"/>
                <w:sz w:val="21"/>
                <w:szCs w:val="21"/>
                <w:highlight w:val="none"/>
              </w:rPr>
            </w:pPr>
            <w:bookmarkStart w:id="698" w:name="_Toc100090792"/>
            <w:bookmarkStart w:id="699" w:name="_Toc99533300"/>
            <w:r>
              <w:rPr>
                <w:rFonts w:hint="eastAsia" w:ascii="宋体" w:hAnsi="宋体" w:eastAsia="宋体" w:cs="宋体"/>
                <w:color w:val="auto"/>
                <w:sz w:val="21"/>
                <w:szCs w:val="21"/>
                <w:highlight w:val="none"/>
              </w:rPr>
              <w:t>9</w:t>
            </w:r>
            <w:bookmarkEnd w:id="698"/>
            <w:bookmarkEnd w:id="699"/>
          </w:p>
        </w:tc>
        <w:tc>
          <w:tcPr>
            <w:tcW w:w="1267" w:type="dxa"/>
            <w:vAlign w:val="center"/>
          </w:tcPr>
          <w:p w14:paraId="6C5090EC">
            <w:pPr>
              <w:pStyle w:val="49"/>
              <w:jc w:val="center"/>
              <w:rPr>
                <w:rFonts w:hint="eastAsia" w:ascii="宋体" w:hAnsi="宋体" w:eastAsia="宋体" w:cs="宋体"/>
                <w:color w:val="auto"/>
                <w:sz w:val="21"/>
                <w:szCs w:val="21"/>
                <w:highlight w:val="none"/>
              </w:rPr>
            </w:pPr>
          </w:p>
        </w:tc>
        <w:tc>
          <w:tcPr>
            <w:tcW w:w="1296" w:type="dxa"/>
            <w:tcBorders>
              <w:right w:val="single" w:color="auto" w:sz="4" w:space="0"/>
            </w:tcBorders>
            <w:vAlign w:val="center"/>
          </w:tcPr>
          <w:p w14:paraId="32CD2ADB">
            <w:pPr>
              <w:pStyle w:val="49"/>
              <w:jc w:val="center"/>
              <w:rPr>
                <w:rFonts w:hint="eastAsia" w:ascii="宋体" w:hAnsi="宋体" w:eastAsia="宋体" w:cs="宋体"/>
                <w:color w:val="auto"/>
                <w:sz w:val="21"/>
                <w:szCs w:val="21"/>
                <w:highlight w:val="none"/>
              </w:rPr>
            </w:pPr>
          </w:p>
        </w:tc>
        <w:tc>
          <w:tcPr>
            <w:tcW w:w="1080" w:type="dxa"/>
            <w:tcBorders>
              <w:left w:val="single" w:color="auto" w:sz="4" w:space="0"/>
            </w:tcBorders>
            <w:vAlign w:val="center"/>
          </w:tcPr>
          <w:p w14:paraId="0DD9EDDC">
            <w:pPr>
              <w:pStyle w:val="49"/>
              <w:jc w:val="center"/>
              <w:rPr>
                <w:rFonts w:hint="eastAsia" w:ascii="宋体" w:hAnsi="宋体" w:eastAsia="宋体" w:cs="宋体"/>
                <w:color w:val="auto"/>
                <w:sz w:val="21"/>
                <w:szCs w:val="21"/>
                <w:highlight w:val="none"/>
              </w:rPr>
            </w:pPr>
          </w:p>
        </w:tc>
        <w:tc>
          <w:tcPr>
            <w:tcW w:w="804" w:type="dxa"/>
            <w:tcBorders>
              <w:left w:val="single" w:color="auto" w:sz="4" w:space="0"/>
            </w:tcBorders>
            <w:vAlign w:val="center"/>
          </w:tcPr>
          <w:p w14:paraId="05650614">
            <w:pPr>
              <w:pStyle w:val="49"/>
              <w:jc w:val="center"/>
              <w:rPr>
                <w:rFonts w:hint="eastAsia" w:ascii="宋体" w:hAnsi="宋体" w:eastAsia="宋体" w:cs="宋体"/>
                <w:color w:val="auto"/>
                <w:sz w:val="21"/>
                <w:szCs w:val="21"/>
                <w:highlight w:val="none"/>
              </w:rPr>
            </w:pPr>
          </w:p>
        </w:tc>
        <w:tc>
          <w:tcPr>
            <w:tcW w:w="1860" w:type="dxa"/>
            <w:vAlign w:val="center"/>
          </w:tcPr>
          <w:p w14:paraId="337B4053">
            <w:pPr>
              <w:pStyle w:val="49"/>
              <w:jc w:val="center"/>
              <w:rPr>
                <w:rFonts w:hint="eastAsia" w:ascii="宋体" w:hAnsi="宋体" w:eastAsia="宋体" w:cs="宋体"/>
                <w:color w:val="auto"/>
                <w:sz w:val="21"/>
                <w:szCs w:val="21"/>
                <w:highlight w:val="none"/>
              </w:rPr>
            </w:pPr>
          </w:p>
        </w:tc>
        <w:tc>
          <w:tcPr>
            <w:tcW w:w="1356" w:type="dxa"/>
            <w:vAlign w:val="center"/>
          </w:tcPr>
          <w:p w14:paraId="7D6C0C38">
            <w:pPr>
              <w:pStyle w:val="49"/>
              <w:jc w:val="center"/>
              <w:rPr>
                <w:rFonts w:hint="eastAsia" w:ascii="宋体" w:hAnsi="宋体" w:eastAsia="宋体" w:cs="宋体"/>
                <w:color w:val="auto"/>
                <w:sz w:val="21"/>
                <w:szCs w:val="21"/>
                <w:highlight w:val="none"/>
              </w:rPr>
            </w:pPr>
          </w:p>
        </w:tc>
        <w:tc>
          <w:tcPr>
            <w:tcW w:w="816" w:type="dxa"/>
            <w:vAlign w:val="center"/>
          </w:tcPr>
          <w:p w14:paraId="45D99552">
            <w:pPr>
              <w:pStyle w:val="49"/>
              <w:jc w:val="center"/>
              <w:rPr>
                <w:rFonts w:hint="eastAsia" w:ascii="宋体" w:hAnsi="宋体" w:eastAsia="宋体" w:cs="宋体"/>
                <w:color w:val="auto"/>
                <w:sz w:val="21"/>
                <w:szCs w:val="21"/>
                <w:highlight w:val="none"/>
              </w:rPr>
            </w:pPr>
          </w:p>
        </w:tc>
      </w:tr>
      <w:tr w14:paraId="5F497A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9" w:hRule="atLeast"/>
        </w:trPr>
        <w:tc>
          <w:tcPr>
            <w:tcW w:w="773" w:type="dxa"/>
            <w:vAlign w:val="center"/>
          </w:tcPr>
          <w:p w14:paraId="406250BE">
            <w:pPr>
              <w:pStyle w:val="49"/>
              <w:jc w:val="center"/>
              <w:rPr>
                <w:rFonts w:hint="eastAsia" w:ascii="宋体" w:hAnsi="宋体" w:eastAsia="宋体" w:cs="宋体"/>
                <w:color w:val="auto"/>
                <w:sz w:val="21"/>
                <w:szCs w:val="21"/>
                <w:highlight w:val="none"/>
              </w:rPr>
            </w:pPr>
            <w:bookmarkStart w:id="700" w:name="_Toc99533301"/>
            <w:bookmarkStart w:id="701" w:name="_Toc100090793"/>
            <w:r>
              <w:rPr>
                <w:rFonts w:hint="eastAsia" w:ascii="宋体" w:hAnsi="宋体" w:eastAsia="宋体" w:cs="宋体"/>
                <w:color w:val="auto"/>
                <w:sz w:val="21"/>
                <w:szCs w:val="21"/>
                <w:highlight w:val="none"/>
              </w:rPr>
              <w:t>10</w:t>
            </w:r>
            <w:bookmarkEnd w:id="700"/>
            <w:bookmarkEnd w:id="701"/>
          </w:p>
        </w:tc>
        <w:tc>
          <w:tcPr>
            <w:tcW w:w="1267" w:type="dxa"/>
            <w:vAlign w:val="center"/>
          </w:tcPr>
          <w:p w14:paraId="0D84E205">
            <w:pPr>
              <w:pStyle w:val="49"/>
              <w:jc w:val="center"/>
              <w:rPr>
                <w:rFonts w:hint="eastAsia" w:ascii="宋体" w:hAnsi="宋体" w:eastAsia="宋体" w:cs="宋体"/>
                <w:color w:val="auto"/>
                <w:sz w:val="21"/>
                <w:szCs w:val="21"/>
                <w:highlight w:val="none"/>
              </w:rPr>
            </w:pPr>
          </w:p>
        </w:tc>
        <w:tc>
          <w:tcPr>
            <w:tcW w:w="1296" w:type="dxa"/>
            <w:tcBorders>
              <w:right w:val="single" w:color="auto" w:sz="4" w:space="0"/>
            </w:tcBorders>
            <w:vAlign w:val="center"/>
          </w:tcPr>
          <w:p w14:paraId="79F36313">
            <w:pPr>
              <w:pStyle w:val="49"/>
              <w:jc w:val="center"/>
              <w:rPr>
                <w:rFonts w:hint="eastAsia" w:ascii="宋体" w:hAnsi="宋体" w:eastAsia="宋体" w:cs="宋体"/>
                <w:color w:val="auto"/>
                <w:sz w:val="21"/>
                <w:szCs w:val="21"/>
                <w:highlight w:val="none"/>
              </w:rPr>
            </w:pPr>
          </w:p>
        </w:tc>
        <w:tc>
          <w:tcPr>
            <w:tcW w:w="1080" w:type="dxa"/>
            <w:tcBorders>
              <w:left w:val="single" w:color="auto" w:sz="4" w:space="0"/>
            </w:tcBorders>
            <w:vAlign w:val="center"/>
          </w:tcPr>
          <w:p w14:paraId="193C6909">
            <w:pPr>
              <w:pStyle w:val="49"/>
              <w:jc w:val="center"/>
              <w:rPr>
                <w:rFonts w:hint="eastAsia" w:ascii="宋体" w:hAnsi="宋体" w:eastAsia="宋体" w:cs="宋体"/>
                <w:color w:val="auto"/>
                <w:sz w:val="21"/>
                <w:szCs w:val="21"/>
                <w:highlight w:val="none"/>
              </w:rPr>
            </w:pPr>
          </w:p>
        </w:tc>
        <w:tc>
          <w:tcPr>
            <w:tcW w:w="804" w:type="dxa"/>
            <w:tcBorders>
              <w:left w:val="single" w:color="auto" w:sz="4" w:space="0"/>
            </w:tcBorders>
            <w:vAlign w:val="center"/>
          </w:tcPr>
          <w:p w14:paraId="6C34049E">
            <w:pPr>
              <w:pStyle w:val="49"/>
              <w:jc w:val="center"/>
              <w:rPr>
                <w:rFonts w:hint="eastAsia" w:ascii="宋体" w:hAnsi="宋体" w:eastAsia="宋体" w:cs="宋体"/>
                <w:color w:val="auto"/>
                <w:sz w:val="21"/>
                <w:szCs w:val="21"/>
                <w:highlight w:val="none"/>
              </w:rPr>
            </w:pPr>
          </w:p>
        </w:tc>
        <w:tc>
          <w:tcPr>
            <w:tcW w:w="1860" w:type="dxa"/>
            <w:vAlign w:val="center"/>
          </w:tcPr>
          <w:p w14:paraId="7790D037">
            <w:pPr>
              <w:pStyle w:val="49"/>
              <w:jc w:val="center"/>
              <w:rPr>
                <w:rFonts w:hint="eastAsia" w:ascii="宋体" w:hAnsi="宋体" w:eastAsia="宋体" w:cs="宋体"/>
                <w:color w:val="auto"/>
                <w:sz w:val="21"/>
                <w:szCs w:val="21"/>
                <w:highlight w:val="none"/>
              </w:rPr>
            </w:pPr>
          </w:p>
        </w:tc>
        <w:tc>
          <w:tcPr>
            <w:tcW w:w="1356" w:type="dxa"/>
            <w:vAlign w:val="center"/>
          </w:tcPr>
          <w:p w14:paraId="7B74B27D">
            <w:pPr>
              <w:pStyle w:val="49"/>
              <w:jc w:val="center"/>
              <w:rPr>
                <w:rFonts w:hint="eastAsia" w:ascii="宋体" w:hAnsi="宋体" w:eastAsia="宋体" w:cs="宋体"/>
                <w:color w:val="auto"/>
                <w:sz w:val="21"/>
                <w:szCs w:val="21"/>
                <w:highlight w:val="none"/>
              </w:rPr>
            </w:pPr>
          </w:p>
        </w:tc>
        <w:tc>
          <w:tcPr>
            <w:tcW w:w="816" w:type="dxa"/>
            <w:vAlign w:val="center"/>
          </w:tcPr>
          <w:p w14:paraId="77E1C162">
            <w:pPr>
              <w:pStyle w:val="49"/>
              <w:jc w:val="center"/>
              <w:rPr>
                <w:rFonts w:hint="eastAsia" w:ascii="宋体" w:hAnsi="宋体" w:eastAsia="宋体" w:cs="宋体"/>
                <w:color w:val="auto"/>
                <w:sz w:val="21"/>
                <w:szCs w:val="21"/>
                <w:highlight w:val="none"/>
              </w:rPr>
            </w:pPr>
          </w:p>
        </w:tc>
      </w:tr>
    </w:tbl>
    <w:p w14:paraId="72DBC0B8">
      <w:pPr>
        <w:rPr>
          <w:color w:val="auto"/>
          <w:highlight w:val="none"/>
        </w:rPr>
      </w:pPr>
    </w:p>
    <w:p w14:paraId="1EAF0062">
      <w:pPr>
        <w:rPr>
          <w:rFonts w:hint="default" w:cs="仿宋_GB2312"/>
          <w:color w:val="auto"/>
          <w:sz w:val="21"/>
          <w:szCs w:val="21"/>
          <w:highlight w:val="none"/>
          <w:lang w:val="en-US"/>
        </w:rPr>
      </w:pPr>
      <w:r>
        <w:rPr>
          <w:rFonts w:hint="eastAsia" w:cs="仿宋_GB2312"/>
          <w:color w:val="auto"/>
          <w:sz w:val="21"/>
          <w:szCs w:val="21"/>
          <w:highlight w:val="none"/>
          <w:lang w:val="en-US" w:eastAsia="zh-CN"/>
        </w:rPr>
        <w:t>注：按招标文件要求在本表后附相关人员证书。</w:t>
      </w:r>
    </w:p>
    <w:p w14:paraId="3B621572">
      <w:pPr>
        <w:ind w:firstLine="420" w:firstLineChars="200"/>
        <w:rPr>
          <w:rFonts w:hint="eastAsia" w:cs="仿宋_GB2312"/>
          <w:color w:val="auto"/>
          <w:sz w:val="21"/>
          <w:szCs w:val="21"/>
          <w:highlight w:val="none"/>
          <w:lang w:val="en-US" w:eastAsia="zh-CN"/>
        </w:rPr>
      </w:pPr>
    </w:p>
    <w:p w14:paraId="178B25F9">
      <w:pPr>
        <w:ind w:firstLine="420" w:firstLineChars="200"/>
        <w:rPr>
          <w:rFonts w:hint="eastAsia" w:cs="仿宋_GB2312"/>
          <w:color w:val="auto"/>
          <w:sz w:val="21"/>
          <w:szCs w:val="21"/>
          <w:highlight w:val="none"/>
          <w:lang w:val="en-US" w:eastAsia="zh-CN"/>
        </w:rPr>
      </w:pPr>
      <w:r>
        <w:rPr>
          <w:rFonts w:hint="eastAsia" w:cs="仿宋_GB2312"/>
          <w:color w:val="auto"/>
          <w:sz w:val="21"/>
          <w:szCs w:val="21"/>
          <w:highlight w:val="none"/>
          <w:lang w:val="en-US" w:eastAsia="zh-CN"/>
        </w:rPr>
        <w:t xml:space="preserve">说明： </w:t>
      </w:r>
    </w:p>
    <w:p w14:paraId="442D33DF">
      <w:pPr>
        <w:ind w:firstLine="420" w:firstLineChars="200"/>
        <w:rPr>
          <w:rFonts w:hint="eastAsia" w:cs="仿宋_GB2312"/>
          <w:color w:val="auto"/>
          <w:sz w:val="21"/>
          <w:szCs w:val="21"/>
          <w:highlight w:val="none"/>
        </w:rPr>
      </w:pPr>
      <w:r>
        <w:rPr>
          <w:rFonts w:hint="eastAsia" w:cs="仿宋_GB2312"/>
          <w:color w:val="auto"/>
          <w:sz w:val="21"/>
          <w:szCs w:val="21"/>
          <w:highlight w:val="none"/>
          <w:lang w:val="en-US" w:eastAsia="zh-CN"/>
        </w:rPr>
        <w:t xml:space="preserve">1.“在团队中职务（岗位）”栏应包括但不限于：项目负责人、项目联系人、项目服务人员或技术人员等。 </w:t>
      </w:r>
    </w:p>
    <w:p w14:paraId="51ED7B0D">
      <w:pPr>
        <w:ind w:firstLine="420" w:firstLineChars="200"/>
        <w:rPr>
          <w:color w:val="auto"/>
          <w:highlight w:val="none"/>
        </w:rPr>
      </w:pPr>
      <w:r>
        <w:rPr>
          <w:rFonts w:hint="eastAsia" w:cs="仿宋_GB2312"/>
          <w:color w:val="auto"/>
          <w:sz w:val="21"/>
          <w:szCs w:val="21"/>
          <w:highlight w:val="none"/>
          <w:lang w:val="en-US" w:eastAsia="zh-CN"/>
        </w:rPr>
        <w:t>2.如投标人中标，须按本表项目组成人员操作，不得随意更换。</w:t>
      </w:r>
      <w:r>
        <w:rPr>
          <w:color w:val="auto"/>
          <w:highlight w:val="none"/>
        </w:rPr>
        <w:br w:type="page"/>
      </w:r>
    </w:p>
    <w:p w14:paraId="1358285E">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eastAsia="宋体" w:asciiTheme="majorHAnsi" w:hAnsiTheme="majorHAnsi" w:cstheme="majorBidi"/>
          <w:b/>
          <w:bCs/>
          <w:color w:val="auto"/>
          <w:kern w:val="2"/>
          <w:sz w:val="32"/>
          <w:szCs w:val="32"/>
          <w:highlight w:val="none"/>
          <w:lang w:val="en-US" w:eastAsia="zh-CN" w:bidi="ar-SA"/>
        </w:rPr>
      </w:pPr>
      <w:bookmarkStart w:id="702" w:name="_Toc5387"/>
      <w:bookmarkStart w:id="703" w:name="_Toc3121"/>
      <w:r>
        <w:rPr>
          <w:rFonts w:hint="eastAsia" w:cstheme="majorBidi"/>
          <w:b/>
          <w:bCs/>
          <w:color w:val="auto"/>
          <w:kern w:val="2"/>
          <w:sz w:val="32"/>
          <w:szCs w:val="32"/>
          <w:highlight w:val="none"/>
          <w:lang w:val="en-US" w:eastAsia="zh-CN" w:bidi="ar-SA"/>
        </w:rPr>
        <w:t>九</w:t>
      </w:r>
      <w:r>
        <w:rPr>
          <w:rFonts w:hint="eastAsia" w:eastAsia="宋体" w:asciiTheme="majorHAnsi" w:hAnsiTheme="majorHAnsi" w:cstheme="majorBidi"/>
          <w:b/>
          <w:bCs/>
          <w:color w:val="auto"/>
          <w:kern w:val="2"/>
          <w:sz w:val="32"/>
          <w:szCs w:val="32"/>
          <w:highlight w:val="none"/>
          <w:lang w:val="en-US" w:eastAsia="zh-CN" w:bidi="ar-SA"/>
        </w:rPr>
        <w:t>、技术响应偏离表</w:t>
      </w:r>
      <w:bookmarkEnd w:id="702"/>
      <w:bookmarkEnd w:id="703"/>
    </w:p>
    <w:p w14:paraId="7EE50E6A">
      <w:pPr>
        <w:rPr>
          <w:rFonts w:cs="仿宋_GB2312"/>
          <w:color w:val="auto"/>
          <w:szCs w:val="24"/>
          <w:highlight w:val="none"/>
        </w:rPr>
      </w:pPr>
      <w:r>
        <w:rPr>
          <w:rFonts w:hint="eastAsia" w:cs="仿宋_GB2312"/>
          <w:color w:val="auto"/>
          <w:szCs w:val="24"/>
          <w:highlight w:val="none"/>
        </w:rPr>
        <w:t xml:space="preserve">项目名称：                                         </w:t>
      </w:r>
    </w:p>
    <w:p w14:paraId="3BECE8B1">
      <w:pPr>
        <w:rPr>
          <w:rFonts w:cs="仿宋_GB2312"/>
          <w:color w:val="auto"/>
          <w:szCs w:val="24"/>
          <w:highlight w:val="none"/>
        </w:rPr>
      </w:pPr>
      <w:r>
        <w:rPr>
          <w:rFonts w:hint="eastAsia" w:cs="仿宋_GB2312"/>
          <w:color w:val="auto"/>
          <w:szCs w:val="24"/>
          <w:highlight w:val="none"/>
        </w:rPr>
        <w:t>项目编号</w:t>
      </w:r>
      <w:r>
        <w:rPr>
          <w:rFonts w:hint="eastAsia"/>
          <w:b w:val="0"/>
          <w:bCs/>
          <w:color w:val="auto"/>
          <w:szCs w:val="21"/>
          <w:highlight w:val="none"/>
          <w:lang w:val="en-US" w:eastAsia="zh-CN"/>
        </w:rPr>
        <w:t>/</w:t>
      </w:r>
      <w:r>
        <w:rPr>
          <w:rFonts w:hint="eastAsia"/>
          <w:b w:val="0"/>
          <w:bCs/>
          <w:color w:val="auto"/>
          <w:szCs w:val="21"/>
          <w:highlight w:val="none"/>
          <w:lang w:val="zh-CN"/>
        </w:rPr>
        <w:t>包号</w:t>
      </w:r>
      <w:r>
        <w:rPr>
          <w:rFonts w:hint="eastAsia" w:cs="仿宋_GB2312"/>
          <w:color w:val="auto"/>
          <w:szCs w:val="24"/>
          <w:highlight w:val="none"/>
        </w:rPr>
        <w:t xml:space="preserve">：         </w:t>
      </w:r>
    </w:p>
    <w:tbl>
      <w:tblPr>
        <w:tblStyle w:val="29"/>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1"/>
        <w:gridCol w:w="1976"/>
        <w:gridCol w:w="1758"/>
        <w:gridCol w:w="2157"/>
        <w:gridCol w:w="1937"/>
      </w:tblGrid>
      <w:tr w14:paraId="764463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406" w:type="pct"/>
            <w:vAlign w:val="center"/>
          </w:tcPr>
          <w:p w14:paraId="0FCCCEAC">
            <w:pPr>
              <w:pStyle w:val="49"/>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159" w:type="pct"/>
            <w:vAlign w:val="center"/>
          </w:tcPr>
          <w:p w14:paraId="69669C77">
            <w:pPr>
              <w:pStyle w:val="49"/>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招标文件技术</w:t>
            </w:r>
          </w:p>
          <w:p w14:paraId="71DD4B6D">
            <w:pPr>
              <w:pStyle w:val="49"/>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要求条款</w:t>
            </w:r>
          </w:p>
        </w:tc>
        <w:tc>
          <w:tcPr>
            <w:tcW w:w="1031" w:type="pct"/>
            <w:vAlign w:val="center"/>
          </w:tcPr>
          <w:p w14:paraId="0AB54F24">
            <w:pPr>
              <w:pStyle w:val="49"/>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投标文件内容</w:t>
            </w:r>
          </w:p>
          <w:p w14:paraId="1F49E79F">
            <w:pPr>
              <w:pStyle w:val="49"/>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对应简述</w:t>
            </w:r>
          </w:p>
        </w:tc>
        <w:tc>
          <w:tcPr>
            <w:tcW w:w="1265" w:type="pct"/>
            <w:vAlign w:val="center"/>
          </w:tcPr>
          <w:p w14:paraId="3F1EB795">
            <w:pPr>
              <w:pStyle w:val="49"/>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响应情况</w:t>
            </w:r>
          </w:p>
        </w:tc>
        <w:tc>
          <w:tcPr>
            <w:tcW w:w="1136" w:type="pct"/>
            <w:vAlign w:val="center"/>
          </w:tcPr>
          <w:p w14:paraId="3E3F1E73">
            <w:pPr>
              <w:pStyle w:val="49"/>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证明资料</w:t>
            </w:r>
            <w:r>
              <w:rPr>
                <w:rFonts w:hint="eastAsia" w:ascii="宋体" w:hAnsi="宋体" w:eastAsia="宋体" w:cs="宋体"/>
                <w:color w:val="auto"/>
                <w:sz w:val="21"/>
                <w:szCs w:val="21"/>
                <w:highlight w:val="none"/>
              </w:rPr>
              <w:t>及索引</w:t>
            </w:r>
          </w:p>
        </w:tc>
      </w:tr>
      <w:tr w14:paraId="7F921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406" w:type="pct"/>
            <w:vAlign w:val="center"/>
          </w:tcPr>
          <w:p w14:paraId="1390C611">
            <w:pPr>
              <w:pStyle w:val="49"/>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159" w:type="pct"/>
            <w:vAlign w:val="center"/>
          </w:tcPr>
          <w:p w14:paraId="23DD6440">
            <w:pPr>
              <w:pStyle w:val="49"/>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031" w:type="pct"/>
            <w:vAlign w:val="center"/>
          </w:tcPr>
          <w:p w14:paraId="24669278">
            <w:pPr>
              <w:pStyle w:val="49"/>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265" w:type="pct"/>
            <w:vAlign w:val="center"/>
          </w:tcPr>
          <w:p w14:paraId="5C5A608D">
            <w:pPr>
              <w:pStyle w:val="49"/>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响应/正偏离/负偏离</w:t>
            </w:r>
          </w:p>
        </w:tc>
        <w:tc>
          <w:tcPr>
            <w:tcW w:w="1136" w:type="pct"/>
            <w:vAlign w:val="center"/>
          </w:tcPr>
          <w:p w14:paraId="3F3AE223">
            <w:pPr>
              <w:pStyle w:val="49"/>
              <w:jc w:val="center"/>
              <w:rPr>
                <w:rFonts w:hint="eastAsia" w:ascii="宋体" w:hAnsi="宋体" w:eastAsia="宋体" w:cs="宋体"/>
                <w:color w:val="auto"/>
                <w:sz w:val="21"/>
                <w:szCs w:val="21"/>
                <w:highlight w:val="none"/>
              </w:rPr>
            </w:pPr>
          </w:p>
        </w:tc>
      </w:tr>
      <w:tr w14:paraId="16FF8C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406" w:type="pct"/>
            <w:vAlign w:val="center"/>
          </w:tcPr>
          <w:p w14:paraId="681E1A24">
            <w:pPr>
              <w:pStyle w:val="49"/>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159" w:type="pct"/>
            <w:vAlign w:val="center"/>
          </w:tcPr>
          <w:p w14:paraId="1B1CC670">
            <w:pPr>
              <w:pStyle w:val="49"/>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031" w:type="pct"/>
            <w:vAlign w:val="center"/>
          </w:tcPr>
          <w:p w14:paraId="3CDA8454">
            <w:pPr>
              <w:pStyle w:val="49"/>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265" w:type="pct"/>
            <w:vAlign w:val="center"/>
          </w:tcPr>
          <w:p w14:paraId="17532297">
            <w:pPr>
              <w:pStyle w:val="49"/>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响应/正偏离/负偏离</w:t>
            </w:r>
          </w:p>
        </w:tc>
        <w:tc>
          <w:tcPr>
            <w:tcW w:w="1136" w:type="pct"/>
            <w:vAlign w:val="center"/>
          </w:tcPr>
          <w:p w14:paraId="1786AA8B">
            <w:pPr>
              <w:pStyle w:val="49"/>
              <w:jc w:val="center"/>
              <w:rPr>
                <w:rFonts w:hint="eastAsia" w:ascii="宋体" w:hAnsi="宋体" w:eastAsia="宋体" w:cs="宋体"/>
                <w:color w:val="auto"/>
                <w:sz w:val="21"/>
                <w:szCs w:val="21"/>
                <w:highlight w:val="none"/>
              </w:rPr>
            </w:pPr>
          </w:p>
        </w:tc>
      </w:tr>
      <w:tr w14:paraId="33466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406" w:type="pct"/>
            <w:shd w:val="clear" w:color="auto" w:fill="auto"/>
            <w:vAlign w:val="center"/>
          </w:tcPr>
          <w:p w14:paraId="4CADFE13">
            <w:pPr>
              <w:pStyle w:val="49"/>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p>
        </w:tc>
        <w:tc>
          <w:tcPr>
            <w:tcW w:w="1159" w:type="pct"/>
            <w:shd w:val="clear" w:color="auto" w:fill="auto"/>
            <w:vAlign w:val="center"/>
          </w:tcPr>
          <w:p w14:paraId="7EAC22E8">
            <w:pPr>
              <w:pStyle w:val="49"/>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w:t>
            </w:r>
          </w:p>
        </w:tc>
        <w:tc>
          <w:tcPr>
            <w:tcW w:w="1031" w:type="pct"/>
            <w:shd w:val="clear" w:color="auto" w:fill="auto"/>
            <w:vAlign w:val="center"/>
          </w:tcPr>
          <w:p w14:paraId="1261D841">
            <w:pPr>
              <w:pStyle w:val="49"/>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w:t>
            </w:r>
          </w:p>
        </w:tc>
        <w:tc>
          <w:tcPr>
            <w:tcW w:w="1265" w:type="pct"/>
            <w:shd w:val="clear" w:color="auto" w:fill="auto"/>
            <w:vAlign w:val="center"/>
          </w:tcPr>
          <w:p w14:paraId="21AB0CEA">
            <w:pPr>
              <w:pStyle w:val="49"/>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响应/正偏离/负偏离</w:t>
            </w:r>
          </w:p>
        </w:tc>
        <w:tc>
          <w:tcPr>
            <w:tcW w:w="1136" w:type="pct"/>
            <w:vAlign w:val="center"/>
          </w:tcPr>
          <w:p w14:paraId="02205EF5">
            <w:pPr>
              <w:pStyle w:val="49"/>
              <w:jc w:val="center"/>
              <w:rPr>
                <w:rFonts w:hint="eastAsia" w:ascii="宋体" w:hAnsi="宋体" w:eastAsia="宋体" w:cs="宋体"/>
                <w:color w:val="auto"/>
                <w:sz w:val="21"/>
                <w:szCs w:val="21"/>
                <w:highlight w:val="none"/>
              </w:rPr>
            </w:pPr>
          </w:p>
        </w:tc>
      </w:tr>
      <w:tr w14:paraId="547EFC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406" w:type="pct"/>
            <w:vAlign w:val="center"/>
          </w:tcPr>
          <w:p w14:paraId="2615990F">
            <w:pPr>
              <w:pStyle w:val="49"/>
              <w:jc w:val="center"/>
              <w:rPr>
                <w:rFonts w:hint="eastAsia" w:ascii="宋体" w:hAnsi="宋体" w:eastAsia="宋体" w:cs="宋体"/>
                <w:color w:val="auto"/>
                <w:sz w:val="21"/>
                <w:szCs w:val="21"/>
                <w:highlight w:val="none"/>
              </w:rPr>
            </w:pPr>
          </w:p>
        </w:tc>
        <w:tc>
          <w:tcPr>
            <w:tcW w:w="1159" w:type="pct"/>
            <w:vAlign w:val="center"/>
          </w:tcPr>
          <w:p w14:paraId="4EFDD3F7">
            <w:pPr>
              <w:pStyle w:val="49"/>
              <w:jc w:val="center"/>
              <w:rPr>
                <w:rFonts w:hint="eastAsia" w:ascii="宋体" w:hAnsi="宋体" w:eastAsia="宋体" w:cs="宋体"/>
                <w:color w:val="auto"/>
                <w:sz w:val="21"/>
                <w:szCs w:val="21"/>
                <w:highlight w:val="none"/>
              </w:rPr>
            </w:pPr>
          </w:p>
        </w:tc>
        <w:tc>
          <w:tcPr>
            <w:tcW w:w="1031" w:type="pct"/>
            <w:vAlign w:val="center"/>
          </w:tcPr>
          <w:p w14:paraId="6F3FE338">
            <w:pPr>
              <w:pStyle w:val="49"/>
              <w:jc w:val="center"/>
              <w:rPr>
                <w:rFonts w:hint="eastAsia" w:ascii="宋体" w:hAnsi="宋体" w:eastAsia="宋体" w:cs="宋体"/>
                <w:color w:val="auto"/>
                <w:sz w:val="21"/>
                <w:szCs w:val="21"/>
                <w:highlight w:val="none"/>
              </w:rPr>
            </w:pPr>
          </w:p>
        </w:tc>
        <w:tc>
          <w:tcPr>
            <w:tcW w:w="1265" w:type="pct"/>
            <w:vAlign w:val="center"/>
          </w:tcPr>
          <w:p w14:paraId="1DE7F15C">
            <w:pPr>
              <w:pStyle w:val="49"/>
              <w:jc w:val="center"/>
              <w:rPr>
                <w:rFonts w:hint="eastAsia" w:ascii="宋体" w:hAnsi="宋体" w:eastAsia="宋体" w:cs="宋体"/>
                <w:color w:val="auto"/>
                <w:sz w:val="21"/>
                <w:szCs w:val="21"/>
                <w:highlight w:val="none"/>
              </w:rPr>
            </w:pPr>
          </w:p>
        </w:tc>
        <w:tc>
          <w:tcPr>
            <w:tcW w:w="1136" w:type="pct"/>
            <w:vAlign w:val="center"/>
          </w:tcPr>
          <w:p w14:paraId="7E461BBA">
            <w:pPr>
              <w:pStyle w:val="49"/>
              <w:jc w:val="center"/>
              <w:rPr>
                <w:rFonts w:hint="eastAsia" w:ascii="宋体" w:hAnsi="宋体" w:eastAsia="宋体" w:cs="宋体"/>
                <w:color w:val="auto"/>
                <w:sz w:val="21"/>
                <w:szCs w:val="21"/>
                <w:highlight w:val="none"/>
              </w:rPr>
            </w:pPr>
          </w:p>
        </w:tc>
      </w:tr>
      <w:tr w14:paraId="054E5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406" w:type="pct"/>
            <w:vAlign w:val="center"/>
          </w:tcPr>
          <w:p w14:paraId="21914A14">
            <w:pPr>
              <w:pStyle w:val="49"/>
              <w:jc w:val="center"/>
              <w:rPr>
                <w:rFonts w:hint="eastAsia" w:ascii="宋体" w:hAnsi="宋体" w:eastAsia="宋体" w:cs="宋体"/>
                <w:color w:val="auto"/>
                <w:sz w:val="21"/>
                <w:szCs w:val="21"/>
                <w:highlight w:val="none"/>
              </w:rPr>
            </w:pPr>
          </w:p>
        </w:tc>
        <w:tc>
          <w:tcPr>
            <w:tcW w:w="1159" w:type="pct"/>
            <w:vAlign w:val="center"/>
          </w:tcPr>
          <w:p w14:paraId="01FAF6FF">
            <w:pPr>
              <w:pStyle w:val="49"/>
              <w:jc w:val="center"/>
              <w:rPr>
                <w:rFonts w:hint="eastAsia" w:ascii="宋体" w:hAnsi="宋体" w:eastAsia="宋体" w:cs="宋体"/>
                <w:color w:val="auto"/>
                <w:sz w:val="21"/>
                <w:szCs w:val="21"/>
                <w:highlight w:val="none"/>
              </w:rPr>
            </w:pPr>
          </w:p>
        </w:tc>
        <w:tc>
          <w:tcPr>
            <w:tcW w:w="1031" w:type="pct"/>
            <w:vAlign w:val="center"/>
          </w:tcPr>
          <w:p w14:paraId="7C7F56A7">
            <w:pPr>
              <w:pStyle w:val="49"/>
              <w:jc w:val="center"/>
              <w:rPr>
                <w:rFonts w:hint="eastAsia" w:ascii="宋体" w:hAnsi="宋体" w:eastAsia="宋体" w:cs="宋体"/>
                <w:color w:val="auto"/>
                <w:sz w:val="21"/>
                <w:szCs w:val="21"/>
                <w:highlight w:val="none"/>
              </w:rPr>
            </w:pPr>
          </w:p>
        </w:tc>
        <w:tc>
          <w:tcPr>
            <w:tcW w:w="1265" w:type="pct"/>
            <w:vAlign w:val="center"/>
          </w:tcPr>
          <w:p w14:paraId="611127F1">
            <w:pPr>
              <w:pStyle w:val="49"/>
              <w:jc w:val="center"/>
              <w:rPr>
                <w:rFonts w:hint="eastAsia" w:ascii="宋体" w:hAnsi="宋体" w:eastAsia="宋体" w:cs="宋体"/>
                <w:color w:val="auto"/>
                <w:sz w:val="21"/>
                <w:szCs w:val="21"/>
                <w:highlight w:val="none"/>
              </w:rPr>
            </w:pPr>
          </w:p>
        </w:tc>
        <w:tc>
          <w:tcPr>
            <w:tcW w:w="1136" w:type="pct"/>
            <w:vAlign w:val="center"/>
          </w:tcPr>
          <w:p w14:paraId="0E4A26B6">
            <w:pPr>
              <w:pStyle w:val="49"/>
              <w:jc w:val="center"/>
              <w:rPr>
                <w:rFonts w:hint="eastAsia" w:ascii="宋体" w:hAnsi="宋体" w:eastAsia="宋体" w:cs="宋体"/>
                <w:color w:val="auto"/>
                <w:sz w:val="21"/>
                <w:szCs w:val="21"/>
                <w:highlight w:val="none"/>
              </w:rPr>
            </w:pPr>
          </w:p>
        </w:tc>
      </w:tr>
      <w:tr w14:paraId="6E8D34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406" w:type="pct"/>
            <w:vAlign w:val="center"/>
          </w:tcPr>
          <w:p w14:paraId="30C5ED4E">
            <w:pPr>
              <w:pStyle w:val="49"/>
              <w:jc w:val="center"/>
              <w:rPr>
                <w:rFonts w:hint="eastAsia" w:ascii="宋体" w:hAnsi="宋体" w:eastAsia="宋体" w:cs="宋体"/>
                <w:color w:val="auto"/>
                <w:sz w:val="21"/>
                <w:szCs w:val="21"/>
                <w:highlight w:val="none"/>
              </w:rPr>
            </w:pPr>
          </w:p>
        </w:tc>
        <w:tc>
          <w:tcPr>
            <w:tcW w:w="1159" w:type="pct"/>
            <w:vAlign w:val="center"/>
          </w:tcPr>
          <w:p w14:paraId="5C4DD07B">
            <w:pPr>
              <w:pStyle w:val="49"/>
              <w:jc w:val="center"/>
              <w:rPr>
                <w:rFonts w:hint="eastAsia" w:ascii="宋体" w:hAnsi="宋体" w:eastAsia="宋体" w:cs="宋体"/>
                <w:color w:val="auto"/>
                <w:sz w:val="21"/>
                <w:szCs w:val="21"/>
                <w:highlight w:val="none"/>
              </w:rPr>
            </w:pPr>
          </w:p>
        </w:tc>
        <w:tc>
          <w:tcPr>
            <w:tcW w:w="1031" w:type="pct"/>
            <w:vAlign w:val="center"/>
          </w:tcPr>
          <w:p w14:paraId="26683DD4">
            <w:pPr>
              <w:pStyle w:val="49"/>
              <w:jc w:val="center"/>
              <w:rPr>
                <w:rFonts w:hint="eastAsia" w:ascii="宋体" w:hAnsi="宋体" w:eastAsia="宋体" w:cs="宋体"/>
                <w:color w:val="auto"/>
                <w:sz w:val="21"/>
                <w:szCs w:val="21"/>
                <w:highlight w:val="none"/>
              </w:rPr>
            </w:pPr>
          </w:p>
        </w:tc>
        <w:tc>
          <w:tcPr>
            <w:tcW w:w="1265" w:type="pct"/>
            <w:vAlign w:val="center"/>
          </w:tcPr>
          <w:p w14:paraId="4D8C3BA1">
            <w:pPr>
              <w:pStyle w:val="49"/>
              <w:jc w:val="center"/>
              <w:rPr>
                <w:rFonts w:hint="eastAsia" w:ascii="宋体" w:hAnsi="宋体" w:eastAsia="宋体" w:cs="宋体"/>
                <w:color w:val="auto"/>
                <w:sz w:val="21"/>
                <w:szCs w:val="21"/>
                <w:highlight w:val="none"/>
              </w:rPr>
            </w:pPr>
          </w:p>
        </w:tc>
        <w:tc>
          <w:tcPr>
            <w:tcW w:w="1136" w:type="pct"/>
            <w:vAlign w:val="center"/>
          </w:tcPr>
          <w:p w14:paraId="2E8B5F67">
            <w:pPr>
              <w:pStyle w:val="49"/>
              <w:jc w:val="center"/>
              <w:rPr>
                <w:rFonts w:hint="eastAsia" w:ascii="宋体" w:hAnsi="宋体" w:eastAsia="宋体" w:cs="宋体"/>
                <w:color w:val="auto"/>
                <w:sz w:val="21"/>
                <w:szCs w:val="21"/>
                <w:highlight w:val="none"/>
              </w:rPr>
            </w:pPr>
          </w:p>
        </w:tc>
      </w:tr>
      <w:tr w14:paraId="361F6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406" w:type="pct"/>
            <w:vAlign w:val="center"/>
          </w:tcPr>
          <w:p w14:paraId="1F51D1EA">
            <w:pPr>
              <w:pStyle w:val="49"/>
              <w:jc w:val="center"/>
              <w:rPr>
                <w:rFonts w:hint="eastAsia" w:ascii="宋体" w:hAnsi="宋体" w:eastAsia="宋体" w:cs="宋体"/>
                <w:color w:val="auto"/>
                <w:sz w:val="21"/>
                <w:szCs w:val="21"/>
                <w:highlight w:val="none"/>
              </w:rPr>
            </w:pPr>
          </w:p>
        </w:tc>
        <w:tc>
          <w:tcPr>
            <w:tcW w:w="1159" w:type="pct"/>
            <w:vAlign w:val="center"/>
          </w:tcPr>
          <w:p w14:paraId="1204324D">
            <w:pPr>
              <w:pStyle w:val="49"/>
              <w:jc w:val="center"/>
              <w:rPr>
                <w:rFonts w:hint="eastAsia" w:ascii="宋体" w:hAnsi="宋体" w:eastAsia="宋体" w:cs="宋体"/>
                <w:color w:val="auto"/>
                <w:sz w:val="21"/>
                <w:szCs w:val="21"/>
                <w:highlight w:val="none"/>
              </w:rPr>
            </w:pPr>
          </w:p>
        </w:tc>
        <w:tc>
          <w:tcPr>
            <w:tcW w:w="1031" w:type="pct"/>
            <w:vAlign w:val="center"/>
          </w:tcPr>
          <w:p w14:paraId="36FD0F55">
            <w:pPr>
              <w:pStyle w:val="49"/>
              <w:jc w:val="center"/>
              <w:rPr>
                <w:rFonts w:hint="eastAsia" w:ascii="宋体" w:hAnsi="宋体" w:eastAsia="宋体" w:cs="宋体"/>
                <w:color w:val="auto"/>
                <w:sz w:val="21"/>
                <w:szCs w:val="21"/>
                <w:highlight w:val="none"/>
              </w:rPr>
            </w:pPr>
          </w:p>
        </w:tc>
        <w:tc>
          <w:tcPr>
            <w:tcW w:w="1265" w:type="pct"/>
            <w:vAlign w:val="center"/>
          </w:tcPr>
          <w:p w14:paraId="6D3AA7E1">
            <w:pPr>
              <w:pStyle w:val="49"/>
              <w:jc w:val="center"/>
              <w:rPr>
                <w:rFonts w:hint="eastAsia" w:ascii="宋体" w:hAnsi="宋体" w:eastAsia="宋体" w:cs="宋体"/>
                <w:color w:val="auto"/>
                <w:sz w:val="21"/>
                <w:szCs w:val="21"/>
                <w:highlight w:val="none"/>
              </w:rPr>
            </w:pPr>
          </w:p>
        </w:tc>
        <w:tc>
          <w:tcPr>
            <w:tcW w:w="1136" w:type="pct"/>
            <w:vAlign w:val="center"/>
          </w:tcPr>
          <w:p w14:paraId="449BE1FC">
            <w:pPr>
              <w:pStyle w:val="49"/>
              <w:jc w:val="center"/>
              <w:rPr>
                <w:rFonts w:hint="eastAsia" w:ascii="宋体" w:hAnsi="宋体" w:eastAsia="宋体" w:cs="宋体"/>
                <w:color w:val="auto"/>
                <w:sz w:val="21"/>
                <w:szCs w:val="21"/>
                <w:highlight w:val="none"/>
              </w:rPr>
            </w:pPr>
          </w:p>
        </w:tc>
      </w:tr>
      <w:tr w14:paraId="7E841A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406" w:type="pct"/>
            <w:vAlign w:val="center"/>
          </w:tcPr>
          <w:p w14:paraId="6ECE9C6C">
            <w:pPr>
              <w:pStyle w:val="49"/>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159" w:type="pct"/>
            <w:vAlign w:val="center"/>
          </w:tcPr>
          <w:p w14:paraId="69EDFD22">
            <w:pPr>
              <w:pStyle w:val="49"/>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031" w:type="pct"/>
            <w:vAlign w:val="center"/>
          </w:tcPr>
          <w:p w14:paraId="0D19C04A">
            <w:pPr>
              <w:pStyle w:val="49"/>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265" w:type="pct"/>
            <w:vAlign w:val="center"/>
          </w:tcPr>
          <w:p w14:paraId="16652C7B">
            <w:pPr>
              <w:pStyle w:val="49"/>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136" w:type="pct"/>
            <w:vAlign w:val="center"/>
          </w:tcPr>
          <w:p w14:paraId="7E732B44">
            <w:pPr>
              <w:pStyle w:val="49"/>
              <w:jc w:val="center"/>
              <w:rPr>
                <w:rFonts w:hint="eastAsia" w:ascii="宋体" w:hAnsi="宋体" w:eastAsia="宋体" w:cs="宋体"/>
                <w:color w:val="auto"/>
                <w:sz w:val="21"/>
                <w:szCs w:val="21"/>
                <w:highlight w:val="none"/>
              </w:rPr>
            </w:pPr>
          </w:p>
        </w:tc>
      </w:tr>
    </w:tbl>
    <w:p w14:paraId="7D87EEFE">
      <w:pPr>
        <w:ind w:firstLine="480" w:firstLineChars="200"/>
        <w:rPr>
          <w:rFonts w:cs="仿宋_GB2312"/>
          <w:color w:val="auto"/>
          <w:szCs w:val="24"/>
          <w:highlight w:val="none"/>
        </w:rPr>
      </w:pPr>
    </w:p>
    <w:p w14:paraId="53059121">
      <w:pPr>
        <w:ind w:firstLine="480" w:firstLineChars="200"/>
        <w:rPr>
          <w:rFonts w:cs="仿宋_GB2312"/>
          <w:color w:val="auto"/>
          <w:szCs w:val="24"/>
          <w:highlight w:val="none"/>
        </w:rPr>
      </w:pPr>
      <w:r>
        <w:rPr>
          <w:rFonts w:hint="eastAsia" w:cs="仿宋_GB2312"/>
          <w:color w:val="auto"/>
          <w:szCs w:val="24"/>
          <w:highlight w:val="none"/>
        </w:rPr>
        <w:t>投标人名称</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ascii="宋体" w:hAnsi="宋体" w:cs="宋体"/>
          <w:color w:val="auto"/>
          <w:kern w:val="0"/>
          <w:sz w:val="24"/>
          <w:highlight w:val="none"/>
          <w:lang w:val="zh-CN"/>
        </w:rPr>
        <w:t>)</w:t>
      </w:r>
      <w:r>
        <w:rPr>
          <w:rFonts w:hint="eastAsia" w:cs="仿宋_GB2312"/>
          <w:color w:val="auto"/>
          <w:szCs w:val="24"/>
          <w:highlight w:val="none"/>
        </w:rPr>
        <w:t>：</w:t>
      </w:r>
    </w:p>
    <w:p w14:paraId="27EF6D84">
      <w:pPr>
        <w:ind w:firstLine="420"/>
        <w:rPr>
          <w:rFonts w:cs="仿宋_GB2312"/>
          <w:color w:val="auto"/>
          <w:szCs w:val="24"/>
          <w:highlight w:val="none"/>
        </w:rPr>
      </w:pPr>
      <w:r>
        <w:rPr>
          <w:rFonts w:hint="eastAsia" w:cs="仿宋_GB2312"/>
          <w:color w:val="auto"/>
          <w:szCs w:val="24"/>
          <w:highlight w:val="none"/>
        </w:rPr>
        <w:t>日      期：</w:t>
      </w:r>
    </w:p>
    <w:p w14:paraId="1685FB85">
      <w:pPr>
        <w:ind w:firstLine="420"/>
        <w:rPr>
          <w:rFonts w:cs="仿宋_GB2312"/>
          <w:color w:val="auto"/>
          <w:szCs w:val="24"/>
          <w:highlight w:val="none"/>
        </w:rPr>
      </w:pPr>
    </w:p>
    <w:p w14:paraId="695CF979">
      <w:pPr>
        <w:ind w:firstLine="420" w:firstLineChars="200"/>
        <w:rPr>
          <w:rFonts w:cs="仿宋_GB2312"/>
          <w:color w:val="auto"/>
          <w:szCs w:val="24"/>
          <w:highlight w:val="none"/>
        </w:rPr>
      </w:pPr>
      <w:r>
        <w:rPr>
          <w:rFonts w:hint="eastAsia" w:cs="仿宋_GB2312"/>
          <w:color w:val="auto"/>
          <w:sz w:val="21"/>
          <w:szCs w:val="21"/>
          <w:highlight w:val="none"/>
        </w:rPr>
        <w:t>注：投标人应按照招标文件“第三章 采购需求”</w:t>
      </w:r>
      <w:r>
        <w:rPr>
          <w:rFonts w:hint="eastAsia" w:cs="仿宋_GB2312"/>
          <w:color w:val="auto"/>
          <w:sz w:val="21"/>
          <w:szCs w:val="21"/>
          <w:highlight w:val="none"/>
          <w:lang w:val="en-US" w:eastAsia="zh-CN"/>
        </w:rPr>
        <w:t>中的技术要求</w:t>
      </w:r>
      <w:r>
        <w:rPr>
          <w:rFonts w:hint="eastAsia" w:cs="仿宋_GB2312"/>
          <w:color w:val="auto"/>
          <w:sz w:val="21"/>
          <w:szCs w:val="21"/>
          <w:highlight w:val="none"/>
        </w:rPr>
        <w:t>填写</w:t>
      </w:r>
      <w:r>
        <w:rPr>
          <w:rFonts w:hint="eastAsia" w:cs="仿宋_GB2312"/>
          <w:color w:val="auto"/>
          <w:sz w:val="21"/>
          <w:szCs w:val="21"/>
          <w:highlight w:val="none"/>
          <w:lang w:eastAsia="zh-CN"/>
        </w:rPr>
        <w:t>：</w:t>
      </w:r>
    </w:p>
    <w:p w14:paraId="2C3D9747">
      <w:pPr>
        <w:ind w:firstLine="420" w:firstLineChars="200"/>
        <w:rPr>
          <w:rFonts w:hint="eastAsia" w:cs="仿宋_GB2312"/>
          <w:color w:val="auto"/>
          <w:sz w:val="21"/>
          <w:szCs w:val="21"/>
          <w:highlight w:val="none"/>
        </w:rPr>
      </w:pPr>
      <w:r>
        <w:rPr>
          <w:rFonts w:hint="eastAsia" w:cs="仿宋_GB2312"/>
          <w:color w:val="auto"/>
          <w:sz w:val="21"/>
          <w:szCs w:val="21"/>
          <w:highlight w:val="none"/>
          <w:lang w:val="en-US" w:eastAsia="zh-CN"/>
        </w:rPr>
        <w:t xml:space="preserve">1.“招标文件技术要求条款”栏应详细列明招标文件中的要求。 </w:t>
      </w:r>
    </w:p>
    <w:p w14:paraId="67B3A4D5">
      <w:pPr>
        <w:ind w:firstLine="420" w:firstLineChars="200"/>
        <w:rPr>
          <w:rFonts w:hint="eastAsia" w:cs="仿宋_GB2312"/>
          <w:color w:val="auto"/>
          <w:sz w:val="21"/>
          <w:szCs w:val="21"/>
          <w:highlight w:val="none"/>
        </w:rPr>
      </w:pPr>
      <w:r>
        <w:rPr>
          <w:rFonts w:hint="eastAsia" w:cs="仿宋_GB2312"/>
          <w:color w:val="auto"/>
          <w:sz w:val="21"/>
          <w:szCs w:val="21"/>
          <w:highlight w:val="none"/>
          <w:lang w:val="en-US" w:eastAsia="zh-CN"/>
        </w:rPr>
        <w:t>2.“投标文件内容对应简述”栏填写投标人对招标文件提出的技术要求作出的明确响应，并列明具体响应数值或内容，只注明符合、满足等无具体内容表述的，将视为未实质性满足招标文件要求</w:t>
      </w:r>
      <w:r>
        <w:rPr>
          <w:rFonts w:hint="default" w:cs="仿宋_GB2312"/>
          <w:color w:val="auto"/>
          <w:sz w:val="21"/>
          <w:szCs w:val="21"/>
          <w:highlight w:val="none"/>
          <w:lang w:val="en-US" w:eastAsia="zh-CN"/>
        </w:rPr>
        <w:t>，</w:t>
      </w:r>
      <w:r>
        <w:rPr>
          <w:rFonts w:hint="eastAsia" w:cs="仿宋_GB2312"/>
          <w:b/>
          <w:bCs/>
          <w:color w:val="auto"/>
          <w:sz w:val="21"/>
          <w:szCs w:val="21"/>
          <w:highlight w:val="none"/>
          <w:lang w:val="en-US" w:eastAsia="zh-CN"/>
        </w:rPr>
        <w:t>投标</w:t>
      </w:r>
      <w:r>
        <w:rPr>
          <w:rFonts w:hint="default" w:cs="仿宋_GB2312"/>
          <w:b/>
          <w:bCs/>
          <w:color w:val="auto"/>
          <w:sz w:val="21"/>
          <w:szCs w:val="21"/>
          <w:highlight w:val="none"/>
          <w:lang w:val="en-US" w:eastAsia="zh-CN"/>
        </w:rPr>
        <w:t>无效</w:t>
      </w:r>
      <w:r>
        <w:rPr>
          <w:rFonts w:hint="eastAsia" w:cs="仿宋_GB2312"/>
          <w:color w:val="auto"/>
          <w:sz w:val="21"/>
          <w:szCs w:val="21"/>
          <w:highlight w:val="none"/>
          <w:lang w:val="en-US" w:eastAsia="zh-CN"/>
        </w:rPr>
        <w:t xml:space="preserve">。 </w:t>
      </w:r>
    </w:p>
    <w:p w14:paraId="1ADFBBD2">
      <w:pPr>
        <w:ind w:firstLine="420" w:firstLineChars="200"/>
        <w:rPr>
          <w:rFonts w:hint="eastAsia" w:cs="仿宋_GB2312"/>
          <w:color w:val="auto"/>
          <w:sz w:val="21"/>
          <w:szCs w:val="21"/>
          <w:highlight w:val="none"/>
        </w:rPr>
      </w:pPr>
      <w:r>
        <w:rPr>
          <w:rFonts w:hint="eastAsia" w:cs="仿宋_GB2312"/>
          <w:color w:val="auto"/>
          <w:sz w:val="21"/>
          <w:szCs w:val="21"/>
          <w:highlight w:val="none"/>
          <w:lang w:val="en-US" w:eastAsia="zh-CN"/>
        </w:rPr>
        <w:t xml:space="preserve">3.“响应情况”栏应据实填写“响应”、“正偏离”或“负偏离”。 </w:t>
      </w:r>
    </w:p>
    <w:p w14:paraId="5D0BE6F5">
      <w:pPr>
        <w:ind w:firstLine="420" w:firstLineChars="200"/>
        <w:rPr>
          <w:rFonts w:hint="eastAsia" w:cs="仿宋_GB2312"/>
          <w:color w:val="auto"/>
          <w:sz w:val="21"/>
          <w:szCs w:val="21"/>
          <w:highlight w:val="none"/>
        </w:rPr>
      </w:pPr>
      <w:r>
        <w:rPr>
          <w:rFonts w:hint="eastAsia" w:cs="仿宋_GB2312"/>
          <w:color w:val="auto"/>
          <w:sz w:val="21"/>
          <w:szCs w:val="21"/>
          <w:highlight w:val="none"/>
          <w:lang w:val="en-US" w:eastAsia="zh-CN"/>
        </w:rPr>
        <w:t>4.“证明资料及索引”栏可填写证明资料的具体内容及索引。</w:t>
      </w:r>
    </w:p>
    <w:p w14:paraId="0865D440">
      <w:pPr>
        <w:ind w:firstLine="420"/>
        <w:rPr>
          <w:rFonts w:hint="eastAsia" w:cs="仿宋_GB2312"/>
          <w:color w:val="auto"/>
          <w:szCs w:val="24"/>
          <w:highlight w:val="none"/>
          <w:lang w:val="en-US" w:eastAsia="zh-CN"/>
        </w:rPr>
      </w:pPr>
      <w:r>
        <w:rPr>
          <w:rFonts w:hint="eastAsia" w:cs="仿宋_GB2312"/>
          <w:color w:val="auto"/>
          <w:sz w:val="21"/>
          <w:szCs w:val="21"/>
          <w:highlight w:val="none"/>
          <w:lang w:val="en-US" w:eastAsia="zh-CN"/>
        </w:rPr>
        <w:t>5.对招标文件中的所有技术要求，除本表所列明的所有偏离外，均视作供应商</w:t>
      </w:r>
      <w:r>
        <w:rPr>
          <w:rFonts w:hint="default" w:cs="仿宋_GB2312"/>
          <w:color w:val="auto"/>
          <w:sz w:val="21"/>
          <w:szCs w:val="21"/>
          <w:highlight w:val="none"/>
          <w:lang w:val="en-US" w:eastAsia="zh-CN"/>
        </w:rPr>
        <w:t>已对之理解和响应。此表中若无任何文字说明，内容为空白的，</w:t>
      </w:r>
      <w:r>
        <w:rPr>
          <w:rFonts w:hint="default" w:cs="仿宋_GB2312"/>
          <w:b/>
          <w:bCs/>
          <w:color w:val="auto"/>
          <w:sz w:val="21"/>
          <w:szCs w:val="21"/>
          <w:highlight w:val="none"/>
          <w:lang w:val="en-US" w:eastAsia="zh-CN"/>
        </w:rPr>
        <w:t>投标无效</w:t>
      </w:r>
      <w:r>
        <w:rPr>
          <w:rFonts w:hint="default" w:cs="仿宋_GB2312"/>
          <w:color w:val="auto"/>
          <w:sz w:val="21"/>
          <w:szCs w:val="21"/>
          <w:highlight w:val="none"/>
          <w:lang w:val="en-US" w:eastAsia="zh-CN"/>
        </w:rPr>
        <w:t>。</w:t>
      </w:r>
    </w:p>
    <w:p w14:paraId="49A1A5E5">
      <w:pPr>
        <w:ind w:firstLine="420"/>
        <w:rPr>
          <w:rFonts w:cs="仿宋_GB2312"/>
          <w:color w:val="auto"/>
          <w:szCs w:val="24"/>
          <w:highlight w:val="none"/>
        </w:rPr>
      </w:pPr>
      <w:r>
        <w:rPr>
          <w:rFonts w:cs="仿宋_GB2312"/>
          <w:color w:val="auto"/>
          <w:szCs w:val="24"/>
          <w:highlight w:val="none"/>
        </w:rPr>
        <w:br w:type="page"/>
      </w:r>
    </w:p>
    <w:p w14:paraId="06C98EB9">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eastAsia="宋体" w:asciiTheme="majorHAnsi" w:hAnsiTheme="majorHAnsi" w:cstheme="majorBidi"/>
          <w:b/>
          <w:bCs/>
          <w:color w:val="auto"/>
          <w:kern w:val="2"/>
          <w:sz w:val="32"/>
          <w:szCs w:val="32"/>
          <w:highlight w:val="none"/>
          <w:lang w:val="en-US" w:eastAsia="zh-CN" w:bidi="ar-SA"/>
        </w:rPr>
      </w:pPr>
      <w:bookmarkStart w:id="704" w:name="_Toc28036"/>
      <w:bookmarkStart w:id="705" w:name="_Toc24401"/>
      <w:r>
        <w:rPr>
          <w:rFonts w:hint="eastAsia" w:cstheme="majorBidi"/>
          <w:b/>
          <w:bCs/>
          <w:color w:val="auto"/>
          <w:kern w:val="2"/>
          <w:sz w:val="32"/>
          <w:szCs w:val="32"/>
          <w:highlight w:val="none"/>
          <w:lang w:val="en-US" w:eastAsia="zh-CN" w:bidi="ar-SA"/>
        </w:rPr>
        <w:t>十</w:t>
      </w:r>
      <w:r>
        <w:rPr>
          <w:rFonts w:hint="eastAsia" w:eastAsia="宋体" w:asciiTheme="majorHAnsi" w:hAnsiTheme="majorHAnsi" w:cstheme="majorBidi"/>
          <w:b/>
          <w:bCs/>
          <w:color w:val="auto"/>
          <w:kern w:val="2"/>
          <w:sz w:val="32"/>
          <w:szCs w:val="32"/>
          <w:highlight w:val="none"/>
          <w:lang w:val="en-US" w:eastAsia="zh-CN" w:bidi="ar-SA"/>
        </w:rPr>
        <w:t>、技术方案</w:t>
      </w:r>
      <w:bookmarkEnd w:id="704"/>
      <w:bookmarkEnd w:id="705"/>
    </w:p>
    <w:p w14:paraId="7078B366">
      <w:pPr>
        <w:pStyle w:val="37"/>
        <w:rPr>
          <w:rFonts w:hint="eastAsia"/>
          <w:color w:val="auto"/>
          <w:highlight w:val="none"/>
        </w:rPr>
      </w:pPr>
      <w:r>
        <w:rPr>
          <w:rFonts w:hint="eastAsia"/>
          <w:color w:val="auto"/>
          <w:highlight w:val="none"/>
        </w:rPr>
        <w:t>投标人应按照招标文件的要求，提供详细的服务方案，包括文字描述或图表显示。格式自拟。</w:t>
      </w:r>
    </w:p>
    <w:p w14:paraId="7EE77353">
      <w:pPr>
        <w:pStyle w:val="37"/>
        <w:rPr>
          <w:color w:val="auto"/>
          <w:highlight w:val="none"/>
        </w:rPr>
      </w:pPr>
      <w:r>
        <w:rPr>
          <w:color w:val="auto"/>
          <w:highlight w:val="none"/>
        </w:rPr>
        <w:br w:type="page"/>
      </w:r>
    </w:p>
    <w:p w14:paraId="01EB5657">
      <w:pPr>
        <w:ind w:firstLine="420"/>
        <w:rPr>
          <w:rFonts w:hint="eastAsia" w:cs="仿宋_GB2312"/>
          <w:color w:val="auto"/>
          <w:sz w:val="21"/>
          <w:szCs w:val="21"/>
          <w:highlight w:val="none"/>
          <w:lang w:val="en-US" w:eastAsia="zh-CN"/>
        </w:rPr>
      </w:pPr>
    </w:p>
    <w:p w14:paraId="3D755871">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eastAsia="宋体" w:asciiTheme="majorHAnsi" w:hAnsiTheme="majorHAnsi" w:cstheme="majorBidi"/>
          <w:b/>
          <w:bCs/>
          <w:color w:val="auto"/>
          <w:kern w:val="2"/>
          <w:sz w:val="32"/>
          <w:szCs w:val="32"/>
          <w:highlight w:val="none"/>
          <w:lang w:val="en-US" w:eastAsia="zh-CN" w:bidi="ar-SA"/>
        </w:rPr>
      </w:pPr>
      <w:bookmarkStart w:id="706" w:name="_Toc22006"/>
      <w:bookmarkStart w:id="707" w:name="_Toc8606"/>
      <w:r>
        <w:rPr>
          <w:rFonts w:hint="eastAsia" w:eastAsia="宋体" w:asciiTheme="majorHAnsi" w:hAnsiTheme="majorHAnsi" w:cstheme="majorBidi"/>
          <w:b/>
          <w:bCs/>
          <w:color w:val="auto"/>
          <w:kern w:val="2"/>
          <w:sz w:val="32"/>
          <w:szCs w:val="32"/>
          <w:highlight w:val="none"/>
          <w:lang w:val="en-US" w:eastAsia="zh-CN" w:bidi="ar-SA"/>
        </w:rPr>
        <w:t>十</w:t>
      </w:r>
      <w:r>
        <w:rPr>
          <w:rFonts w:hint="eastAsia" w:cstheme="majorBidi"/>
          <w:b/>
          <w:bCs/>
          <w:color w:val="auto"/>
          <w:kern w:val="2"/>
          <w:sz w:val="32"/>
          <w:szCs w:val="32"/>
          <w:highlight w:val="none"/>
          <w:lang w:val="en-US" w:eastAsia="zh-CN" w:bidi="ar-SA"/>
        </w:rPr>
        <w:t>一</w:t>
      </w:r>
      <w:r>
        <w:rPr>
          <w:rFonts w:hint="eastAsia" w:eastAsia="宋体" w:asciiTheme="majorHAnsi" w:hAnsiTheme="majorHAnsi" w:cstheme="majorBidi"/>
          <w:b/>
          <w:bCs/>
          <w:color w:val="auto"/>
          <w:kern w:val="2"/>
          <w:sz w:val="32"/>
          <w:szCs w:val="32"/>
          <w:highlight w:val="none"/>
          <w:lang w:val="en-US" w:eastAsia="zh-CN" w:bidi="ar-SA"/>
        </w:rPr>
        <w:t>、其他文件</w:t>
      </w:r>
      <w:bookmarkEnd w:id="706"/>
      <w:bookmarkEnd w:id="707"/>
    </w:p>
    <w:p w14:paraId="6EF40482">
      <w:pPr>
        <w:pStyle w:val="37"/>
        <w:ind w:left="0" w:leftChars="0" w:firstLine="0" w:firstLineChars="0"/>
        <w:rPr>
          <w:rFonts w:hint="eastAsia"/>
          <w:b/>
          <w:bCs/>
          <w:color w:val="auto"/>
          <w:sz w:val="24"/>
          <w:szCs w:val="24"/>
          <w:highlight w:val="none"/>
        </w:rPr>
      </w:pPr>
      <w:r>
        <w:rPr>
          <w:rFonts w:hint="eastAsia"/>
          <w:b/>
          <w:bCs/>
          <w:color w:val="auto"/>
          <w:sz w:val="24"/>
          <w:szCs w:val="24"/>
          <w:highlight w:val="none"/>
          <w:lang w:eastAsia="zh-CN"/>
        </w:rPr>
        <w:t>（</w:t>
      </w:r>
      <w:r>
        <w:rPr>
          <w:rFonts w:hint="eastAsia"/>
          <w:b/>
          <w:bCs/>
          <w:color w:val="auto"/>
          <w:sz w:val="24"/>
          <w:szCs w:val="24"/>
          <w:highlight w:val="none"/>
          <w:lang w:val="en-US" w:eastAsia="zh-CN"/>
        </w:rPr>
        <w:t>一）</w:t>
      </w:r>
      <w:r>
        <w:rPr>
          <w:rFonts w:hint="eastAsia"/>
          <w:b/>
          <w:bCs/>
          <w:color w:val="auto"/>
          <w:sz w:val="24"/>
          <w:szCs w:val="24"/>
          <w:highlight w:val="none"/>
        </w:rPr>
        <w:t>招标文件要求提供的其它商务</w:t>
      </w:r>
      <w:r>
        <w:rPr>
          <w:rFonts w:hint="eastAsia"/>
          <w:b/>
          <w:bCs/>
          <w:color w:val="auto"/>
          <w:sz w:val="24"/>
          <w:szCs w:val="24"/>
          <w:highlight w:val="none"/>
          <w:lang w:eastAsia="zh-CN"/>
        </w:rPr>
        <w:t>、</w:t>
      </w:r>
      <w:r>
        <w:rPr>
          <w:rFonts w:hint="eastAsia"/>
          <w:b/>
          <w:bCs/>
          <w:color w:val="auto"/>
          <w:sz w:val="24"/>
          <w:szCs w:val="24"/>
          <w:highlight w:val="none"/>
        </w:rPr>
        <w:t>技术资料和证明材料；</w:t>
      </w:r>
    </w:p>
    <w:p w14:paraId="09B7BCDB">
      <w:pPr>
        <w:pStyle w:val="37"/>
        <w:rPr>
          <w:rFonts w:hint="eastAsia"/>
          <w:color w:val="auto"/>
          <w:sz w:val="24"/>
          <w:szCs w:val="24"/>
          <w:highlight w:val="none"/>
          <w:lang w:val="en-US" w:eastAsia="zh-CN"/>
        </w:rPr>
      </w:pPr>
      <w:r>
        <w:rPr>
          <w:rFonts w:hint="eastAsia"/>
          <w:color w:val="auto"/>
          <w:sz w:val="24"/>
          <w:szCs w:val="24"/>
          <w:highlight w:val="none"/>
          <w:lang w:val="en-US" w:eastAsia="zh-CN"/>
        </w:rPr>
        <w:t>1.1供应商信息采集表</w:t>
      </w:r>
    </w:p>
    <w:tbl>
      <w:tblPr>
        <w:tblStyle w:val="30"/>
        <w:tblW w:w="0" w:type="auto"/>
        <w:tblInd w:w="1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08"/>
        <w:gridCol w:w="2841"/>
        <w:gridCol w:w="2743"/>
      </w:tblGrid>
      <w:tr w14:paraId="23991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trPr>
        <w:tc>
          <w:tcPr>
            <w:tcW w:w="2708" w:type="dxa"/>
            <w:vAlign w:val="center"/>
          </w:tcPr>
          <w:p w14:paraId="1DAB5D76">
            <w:pPr>
              <w:keepNext w:val="0"/>
              <w:keepLines w:val="0"/>
              <w:widowControl/>
              <w:suppressLineNumbers w:val="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kern w:val="0"/>
                <w:sz w:val="24"/>
                <w:szCs w:val="24"/>
                <w:highlight w:val="none"/>
                <w:lang w:val="en-US" w:eastAsia="zh-CN" w:bidi="ar"/>
              </w:rPr>
              <w:t>供应商名称</w:t>
            </w:r>
          </w:p>
        </w:tc>
        <w:tc>
          <w:tcPr>
            <w:tcW w:w="2841" w:type="dxa"/>
            <w:vAlign w:val="center"/>
          </w:tcPr>
          <w:p w14:paraId="7E8BFF2C">
            <w:pPr>
              <w:keepNext w:val="0"/>
              <w:keepLines w:val="0"/>
              <w:widowControl/>
              <w:suppressLineNumbers w:val="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kern w:val="0"/>
                <w:sz w:val="24"/>
                <w:szCs w:val="24"/>
                <w:highlight w:val="none"/>
                <w:lang w:val="en-US" w:eastAsia="zh-CN" w:bidi="ar"/>
              </w:rPr>
              <w:t>供应商实际控制人性别</w:t>
            </w:r>
          </w:p>
        </w:tc>
        <w:tc>
          <w:tcPr>
            <w:tcW w:w="2743" w:type="dxa"/>
            <w:vAlign w:val="center"/>
          </w:tcPr>
          <w:p w14:paraId="27FEC6CB">
            <w:pPr>
              <w:keepNext w:val="0"/>
              <w:keepLines w:val="0"/>
              <w:widowControl/>
              <w:suppressLineNumbers w:val="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kern w:val="0"/>
                <w:sz w:val="24"/>
                <w:szCs w:val="24"/>
                <w:highlight w:val="none"/>
                <w:lang w:val="en-US" w:eastAsia="zh-CN" w:bidi="ar"/>
              </w:rPr>
              <w:t>外商投资类型</w:t>
            </w:r>
          </w:p>
        </w:tc>
      </w:tr>
      <w:tr w14:paraId="6C8211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8" w:type="dxa"/>
          </w:tcPr>
          <w:p w14:paraId="00EF63A6">
            <w:pPr>
              <w:pStyle w:val="37"/>
              <w:rPr>
                <w:rFonts w:hint="eastAsia" w:ascii="宋体" w:hAnsi="宋体" w:eastAsia="宋体" w:cs="宋体"/>
                <w:color w:val="auto"/>
                <w:sz w:val="24"/>
                <w:szCs w:val="24"/>
                <w:highlight w:val="none"/>
                <w:vertAlign w:val="baseline"/>
                <w:lang w:val="en-US" w:eastAsia="zh-CN"/>
              </w:rPr>
            </w:pPr>
          </w:p>
        </w:tc>
        <w:tc>
          <w:tcPr>
            <w:tcW w:w="2841" w:type="dxa"/>
          </w:tcPr>
          <w:p w14:paraId="2C8A474B">
            <w:pPr>
              <w:pStyle w:val="37"/>
              <w:rPr>
                <w:rFonts w:hint="eastAsia" w:ascii="宋体" w:hAnsi="宋体" w:eastAsia="宋体" w:cs="宋体"/>
                <w:color w:val="auto"/>
                <w:sz w:val="24"/>
                <w:szCs w:val="24"/>
                <w:highlight w:val="none"/>
                <w:vertAlign w:val="baseline"/>
                <w:lang w:val="en-US" w:eastAsia="zh-CN"/>
              </w:rPr>
            </w:pPr>
          </w:p>
        </w:tc>
        <w:tc>
          <w:tcPr>
            <w:tcW w:w="2743" w:type="dxa"/>
          </w:tcPr>
          <w:p w14:paraId="2F4800D6">
            <w:pPr>
              <w:pStyle w:val="37"/>
              <w:rPr>
                <w:rFonts w:hint="eastAsia" w:ascii="宋体" w:hAnsi="宋体" w:eastAsia="宋体" w:cs="宋体"/>
                <w:color w:val="auto"/>
                <w:sz w:val="24"/>
                <w:szCs w:val="24"/>
                <w:highlight w:val="none"/>
                <w:vertAlign w:val="baseline"/>
                <w:lang w:val="en-US" w:eastAsia="zh-CN"/>
              </w:rPr>
            </w:pPr>
          </w:p>
        </w:tc>
      </w:tr>
      <w:tr w14:paraId="2A1583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8" w:type="dxa"/>
          </w:tcPr>
          <w:p w14:paraId="38538042">
            <w:pPr>
              <w:pStyle w:val="37"/>
              <w:rPr>
                <w:rFonts w:hint="eastAsia" w:ascii="宋体" w:hAnsi="宋体" w:eastAsia="宋体" w:cs="宋体"/>
                <w:color w:val="auto"/>
                <w:sz w:val="24"/>
                <w:szCs w:val="24"/>
                <w:highlight w:val="none"/>
                <w:vertAlign w:val="baseline"/>
                <w:lang w:val="en-US" w:eastAsia="zh-CN"/>
              </w:rPr>
            </w:pPr>
          </w:p>
        </w:tc>
        <w:tc>
          <w:tcPr>
            <w:tcW w:w="2841" w:type="dxa"/>
          </w:tcPr>
          <w:p w14:paraId="15D28C08">
            <w:pPr>
              <w:pStyle w:val="37"/>
              <w:rPr>
                <w:rFonts w:hint="eastAsia" w:ascii="宋体" w:hAnsi="宋体" w:eastAsia="宋体" w:cs="宋体"/>
                <w:color w:val="auto"/>
                <w:sz w:val="24"/>
                <w:szCs w:val="24"/>
                <w:highlight w:val="none"/>
                <w:vertAlign w:val="baseline"/>
                <w:lang w:val="en-US" w:eastAsia="zh-CN"/>
              </w:rPr>
            </w:pPr>
          </w:p>
        </w:tc>
        <w:tc>
          <w:tcPr>
            <w:tcW w:w="2743" w:type="dxa"/>
          </w:tcPr>
          <w:p w14:paraId="31FE53FE">
            <w:pPr>
              <w:pStyle w:val="37"/>
              <w:rPr>
                <w:rFonts w:hint="eastAsia" w:ascii="宋体" w:hAnsi="宋体" w:eastAsia="宋体" w:cs="宋体"/>
                <w:color w:val="auto"/>
                <w:sz w:val="24"/>
                <w:szCs w:val="24"/>
                <w:highlight w:val="none"/>
                <w:vertAlign w:val="baseline"/>
                <w:lang w:val="en-US" w:eastAsia="zh-CN"/>
              </w:rPr>
            </w:pPr>
          </w:p>
        </w:tc>
      </w:tr>
      <w:tr w14:paraId="74D54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8" w:type="dxa"/>
          </w:tcPr>
          <w:p w14:paraId="0EF0ABBA">
            <w:pPr>
              <w:pStyle w:val="37"/>
              <w:rPr>
                <w:rFonts w:hint="eastAsia" w:ascii="宋体" w:hAnsi="宋体" w:eastAsia="宋体" w:cs="宋体"/>
                <w:color w:val="auto"/>
                <w:sz w:val="24"/>
                <w:szCs w:val="24"/>
                <w:highlight w:val="none"/>
                <w:vertAlign w:val="baseline"/>
                <w:lang w:val="en-US" w:eastAsia="zh-CN"/>
              </w:rPr>
            </w:pPr>
          </w:p>
        </w:tc>
        <w:tc>
          <w:tcPr>
            <w:tcW w:w="2841" w:type="dxa"/>
          </w:tcPr>
          <w:p w14:paraId="15A0EA10">
            <w:pPr>
              <w:pStyle w:val="37"/>
              <w:rPr>
                <w:rFonts w:hint="eastAsia" w:ascii="宋体" w:hAnsi="宋体" w:eastAsia="宋体" w:cs="宋体"/>
                <w:color w:val="auto"/>
                <w:sz w:val="24"/>
                <w:szCs w:val="24"/>
                <w:highlight w:val="none"/>
                <w:vertAlign w:val="baseline"/>
                <w:lang w:val="en-US" w:eastAsia="zh-CN"/>
              </w:rPr>
            </w:pPr>
          </w:p>
        </w:tc>
        <w:tc>
          <w:tcPr>
            <w:tcW w:w="2743" w:type="dxa"/>
          </w:tcPr>
          <w:p w14:paraId="4DD25543">
            <w:pPr>
              <w:pStyle w:val="37"/>
              <w:rPr>
                <w:rFonts w:hint="eastAsia" w:ascii="宋体" w:hAnsi="宋体" w:eastAsia="宋体" w:cs="宋体"/>
                <w:color w:val="auto"/>
                <w:sz w:val="24"/>
                <w:szCs w:val="24"/>
                <w:highlight w:val="none"/>
                <w:vertAlign w:val="baseline"/>
                <w:lang w:val="en-US" w:eastAsia="zh-CN"/>
              </w:rPr>
            </w:pPr>
          </w:p>
        </w:tc>
      </w:tr>
      <w:tr w14:paraId="000F13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8" w:type="dxa"/>
          </w:tcPr>
          <w:p w14:paraId="6B6D0E2F">
            <w:pPr>
              <w:pStyle w:val="37"/>
              <w:rPr>
                <w:rFonts w:hint="eastAsia" w:ascii="宋体" w:hAnsi="宋体" w:eastAsia="宋体" w:cs="宋体"/>
                <w:color w:val="auto"/>
                <w:sz w:val="24"/>
                <w:szCs w:val="24"/>
                <w:highlight w:val="none"/>
                <w:vertAlign w:val="baseline"/>
                <w:lang w:val="en-US" w:eastAsia="zh-CN"/>
              </w:rPr>
            </w:pPr>
          </w:p>
        </w:tc>
        <w:tc>
          <w:tcPr>
            <w:tcW w:w="2841" w:type="dxa"/>
          </w:tcPr>
          <w:p w14:paraId="7437EC56">
            <w:pPr>
              <w:pStyle w:val="37"/>
              <w:rPr>
                <w:rFonts w:hint="eastAsia" w:ascii="宋体" w:hAnsi="宋体" w:eastAsia="宋体" w:cs="宋体"/>
                <w:color w:val="auto"/>
                <w:sz w:val="24"/>
                <w:szCs w:val="24"/>
                <w:highlight w:val="none"/>
                <w:vertAlign w:val="baseline"/>
                <w:lang w:val="en-US" w:eastAsia="zh-CN"/>
              </w:rPr>
            </w:pPr>
          </w:p>
        </w:tc>
        <w:tc>
          <w:tcPr>
            <w:tcW w:w="2743" w:type="dxa"/>
          </w:tcPr>
          <w:p w14:paraId="769E8F28">
            <w:pPr>
              <w:pStyle w:val="37"/>
              <w:rPr>
                <w:rFonts w:hint="eastAsia" w:ascii="宋体" w:hAnsi="宋体" w:eastAsia="宋体" w:cs="宋体"/>
                <w:color w:val="auto"/>
                <w:sz w:val="24"/>
                <w:szCs w:val="24"/>
                <w:highlight w:val="none"/>
                <w:vertAlign w:val="baseline"/>
                <w:lang w:val="en-US" w:eastAsia="zh-CN"/>
              </w:rPr>
            </w:pPr>
          </w:p>
        </w:tc>
      </w:tr>
    </w:tbl>
    <w:p w14:paraId="3318F9F0">
      <w:pPr>
        <w:keepNext w:val="0"/>
        <w:keepLines w:val="0"/>
        <w:widowControl/>
        <w:suppressLineNumbers w:val="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注：1.供应商如为联合体，则应填写联合体各成员信息。 </w:t>
      </w:r>
    </w:p>
    <w:p w14:paraId="53D1AE7E">
      <w:pPr>
        <w:keepNext w:val="0"/>
        <w:keepLines w:val="0"/>
        <w:widowControl/>
        <w:suppressLineNumbers w:val="0"/>
        <w:ind w:firstLine="420" w:firstLineChars="200"/>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2.</w:t>
      </w:r>
      <w:r>
        <w:rPr>
          <w:rFonts w:hint="eastAsia" w:cs="宋体"/>
          <w:color w:val="auto"/>
          <w:kern w:val="0"/>
          <w:sz w:val="21"/>
          <w:szCs w:val="21"/>
          <w:highlight w:val="none"/>
          <w:lang w:val="en-US" w:eastAsia="zh-CN" w:bidi="ar"/>
        </w:rPr>
        <w:t>“供应商实际控制人性别”</w:t>
      </w:r>
      <w:r>
        <w:rPr>
          <w:rFonts w:hint="eastAsia" w:ascii="宋体" w:hAnsi="宋体" w:eastAsia="宋体" w:cs="宋体"/>
          <w:color w:val="auto"/>
          <w:kern w:val="0"/>
          <w:sz w:val="21"/>
          <w:szCs w:val="21"/>
          <w:highlight w:val="none"/>
          <w:lang w:val="en-US" w:eastAsia="zh-CN" w:bidi="ar"/>
        </w:rPr>
        <w:t>按供应商实际控制人性别划分请填写“男”或“女”，指拥有供应商 51%以上绝对所有权的性</w:t>
      </w:r>
      <w:r>
        <w:rPr>
          <w:rFonts w:hint="eastAsia" w:cs="宋体"/>
          <w:color w:val="auto"/>
          <w:kern w:val="0"/>
          <w:sz w:val="21"/>
          <w:szCs w:val="21"/>
          <w:highlight w:val="none"/>
          <w:lang w:val="en-US" w:eastAsia="zh-CN" w:bidi="ar"/>
        </w:rPr>
        <w:t>别</w:t>
      </w:r>
      <w:r>
        <w:rPr>
          <w:rFonts w:hint="eastAsia" w:ascii="宋体" w:hAnsi="宋体" w:eastAsia="宋体" w:cs="宋体"/>
          <w:color w:val="auto"/>
          <w:kern w:val="0"/>
          <w:sz w:val="21"/>
          <w:szCs w:val="21"/>
          <w:highlight w:val="none"/>
          <w:lang w:val="en-US" w:eastAsia="zh-CN" w:bidi="ar"/>
        </w:rPr>
        <w:t>；绝对所有权拥有者可以是一个人，也可以是多人合计计算。</w:t>
      </w:r>
    </w:p>
    <w:p w14:paraId="6C85D95C">
      <w:pPr>
        <w:pStyle w:val="37"/>
        <w:ind w:left="0" w:leftChars="0" w:firstLine="420" w:firstLineChars="200"/>
        <w:rPr>
          <w:rFonts w:hint="eastAsia"/>
          <w:color w:val="auto"/>
          <w:sz w:val="21"/>
          <w:szCs w:val="21"/>
          <w:highlight w:val="none"/>
          <w:lang w:eastAsia="zh-CN"/>
        </w:rPr>
      </w:pPr>
      <w:r>
        <w:rPr>
          <w:rFonts w:hint="eastAsia" w:ascii="宋体" w:hAnsi="宋体" w:eastAsia="宋体" w:cs="宋体"/>
          <w:color w:val="auto"/>
          <w:kern w:val="0"/>
          <w:sz w:val="21"/>
          <w:szCs w:val="21"/>
          <w:highlight w:val="none"/>
          <w:lang w:val="en-US" w:eastAsia="zh-CN" w:bidi="ar"/>
        </w:rPr>
        <w:t>3.</w:t>
      </w:r>
      <w:r>
        <w:rPr>
          <w:rFonts w:hint="eastAsia" w:cs="宋体"/>
          <w:color w:val="auto"/>
          <w:kern w:val="0"/>
          <w:sz w:val="21"/>
          <w:szCs w:val="21"/>
          <w:highlight w:val="none"/>
          <w:lang w:val="en-US" w:eastAsia="zh-CN" w:bidi="ar"/>
        </w:rPr>
        <w:t>“</w:t>
      </w:r>
      <w:r>
        <w:rPr>
          <w:rFonts w:hint="eastAsia" w:ascii="宋体" w:hAnsi="宋体" w:eastAsia="宋体" w:cs="宋体"/>
          <w:color w:val="auto"/>
          <w:kern w:val="0"/>
          <w:sz w:val="21"/>
          <w:szCs w:val="21"/>
          <w:highlight w:val="none"/>
          <w:lang w:val="en-US" w:eastAsia="zh-CN" w:bidi="ar"/>
        </w:rPr>
        <w:t>外商投资类型</w:t>
      </w:r>
      <w:r>
        <w:rPr>
          <w:rFonts w:hint="eastAsia" w:cs="宋体"/>
          <w:color w:val="auto"/>
          <w:kern w:val="0"/>
          <w:sz w:val="21"/>
          <w:szCs w:val="21"/>
          <w:highlight w:val="none"/>
          <w:lang w:val="en-US" w:eastAsia="zh-CN" w:bidi="ar"/>
        </w:rPr>
        <w:t>”</w:t>
      </w:r>
      <w:r>
        <w:rPr>
          <w:rFonts w:hint="eastAsia" w:ascii="宋体" w:hAnsi="宋体" w:eastAsia="宋体" w:cs="宋体"/>
          <w:color w:val="auto"/>
          <w:kern w:val="0"/>
          <w:sz w:val="21"/>
          <w:szCs w:val="21"/>
          <w:highlight w:val="none"/>
          <w:lang w:val="en-US" w:eastAsia="zh-CN" w:bidi="ar"/>
        </w:rPr>
        <w:t>请填写“外商单独投资”、“外商部分投资”或“内资”。</w:t>
      </w:r>
    </w:p>
    <w:p w14:paraId="74B37C36">
      <w:pPr>
        <w:pStyle w:val="37"/>
        <w:rPr>
          <w:rFonts w:hint="eastAsia"/>
          <w:color w:val="auto"/>
          <w:sz w:val="28"/>
          <w:szCs w:val="28"/>
          <w:highlight w:val="none"/>
          <w:lang w:val="en-US" w:eastAsia="zh-CN"/>
        </w:rPr>
      </w:pPr>
    </w:p>
    <w:p w14:paraId="3CD7B018">
      <w:pPr>
        <w:pStyle w:val="37"/>
        <w:rPr>
          <w:rFonts w:hint="eastAsia"/>
          <w:color w:val="auto"/>
          <w:sz w:val="24"/>
          <w:szCs w:val="24"/>
          <w:highlight w:val="none"/>
          <w:lang w:val="en-US" w:eastAsia="zh-CN"/>
        </w:rPr>
      </w:pPr>
      <w:r>
        <w:rPr>
          <w:rFonts w:hint="eastAsia"/>
          <w:color w:val="auto"/>
          <w:sz w:val="24"/>
          <w:szCs w:val="24"/>
          <w:highlight w:val="none"/>
          <w:lang w:val="en-US" w:eastAsia="zh-CN"/>
        </w:rPr>
        <w:t>1.2其它商务、技术资料和证明材料</w:t>
      </w:r>
    </w:p>
    <w:p w14:paraId="45C8EB48">
      <w:pPr>
        <w:pStyle w:val="37"/>
        <w:ind w:left="0" w:leftChars="0" w:firstLine="0" w:firstLineChars="0"/>
        <w:rPr>
          <w:rFonts w:hint="eastAsia"/>
          <w:b/>
          <w:bCs/>
          <w:color w:val="auto"/>
          <w:sz w:val="24"/>
          <w:szCs w:val="24"/>
          <w:highlight w:val="none"/>
          <w:lang w:eastAsia="zh-CN"/>
        </w:rPr>
      </w:pPr>
    </w:p>
    <w:p w14:paraId="7DF13FE9">
      <w:pPr>
        <w:pStyle w:val="37"/>
        <w:ind w:left="0" w:leftChars="0" w:firstLine="0" w:firstLineChars="0"/>
        <w:rPr>
          <w:rFonts w:hint="eastAsia"/>
          <w:b/>
          <w:bCs/>
          <w:color w:val="auto"/>
          <w:sz w:val="24"/>
          <w:szCs w:val="24"/>
          <w:highlight w:val="none"/>
        </w:rPr>
      </w:pPr>
      <w:r>
        <w:rPr>
          <w:rFonts w:hint="eastAsia"/>
          <w:b/>
          <w:bCs/>
          <w:color w:val="auto"/>
          <w:sz w:val="24"/>
          <w:szCs w:val="24"/>
          <w:highlight w:val="none"/>
          <w:lang w:eastAsia="zh-CN"/>
        </w:rPr>
        <w:t>（</w:t>
      </w:r>
      <w:r>
        <w:rPr>
          <w:rFonts w:hint="eastAsia"/>
          <w:b/>
          <w:bCs/>
          <w:color w:val="auto"/>
          <w:sz w:val="24"/>
          <w:szCs w:val="24"/>
          <w:highlight w:val="none"/>
          <w:lang w:val="en-US" w:eastAsia="zh-CN"/>
        </w:rPr>
        <w:t>二）</w:t>
      </w:r>
      <w:r>
        <w:rPr>
          <w:rFonts w:hint="eastAsia"/>
          <w:b/>
          <w:bCs/>
          <w:color w:val="auto"/>
          <w:sz w:val="24"/>
          <w:szCs w:val="24"/>
          <w:highlight w:val="none"/>
        </w:rPr>
        <w:t>投标人认为需要提供的其它商务</w:t>
      </w:r>
      <w:r>
        <w:rPr>
          <w:rFonts w:hint="eastAsia"/>
          <w:b/>
          <w:bCs/>
          <w:color w:val="auto"/>
          <w:sz w:val="24"/>
          <w:szCs w:val="24"/>
          <w:highlight w:val="none"/>
          <w:lang w:eastAsia="zh-CN"/>
        </w:rPr>
        <w:t>、</w:t>
      </w:r>
      <w:r>
        <w:rPr>
          <w:rFonts w:hint="eastAsia"/>
          <w:b/>
          <w:bCs/>
          <w:color w:val="auto"/>
          <w:sz w:val="24"/>
          <w:szCs w:val="24"/>
          <w:highlight w:val="none"/>
        </w:rPr>
        <w:t>技术资料和说明。</w:t>
      </w:r>
    </w:p>
    <w:p w14:paraId="58B0EA7B">
      <w:pPr>
        <w:pStyle w:val="37"/>
        <w:rPr>
          <w:rFonts w:hint="eastAsia"/>
          <w:color w:val="auto"/>
          <w:highlight w:val="none"/>
        </w:rPr>
      </w:pPr>
    </w:p>
    <w:sectPr>
      <w:pgSz w:w="11906" w:h="16838"/>
      <w:pgMar w:top="1440" w:right="1800" w:bottom="1440" w:left="1800" w:header="851" w:footer="992" w:gutter="0"/>
      <w:pgBorders>
        <w:top w:val="none" w:sz="0" w:space="0"/>
        <w:left w:val="none" w:sz="0" w:space="0"/>
        <w:bottom w:val="none" w:sz="0" w:space="0"/>
        <w:right w:val="none" w:sz="0" w:space="0"/>
      </w:pgBorders>
      <w:pgNumType w:fmt="numberInDash"/>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02"/>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华文楷体">
    <w:altName w:val="楷体_GB2312"/>
    <w:panose1 w:val="02010600040101010101"/>
    <w:charset w:val="86"/>
    <w:family w:val="auto"/>
    <w:pitch w:val="default"/>
    <w:sig w:usb0="00000000" w:usb1="00000000" w:usb2="00000000" w:usb3="00000000" w:csb0="0004009F" w:csb1="DFD70000"/>
  </w:font>
  <w:font w:name="楷体_GB2312">
    <w:panose1 w:val="02010609030101010101"/>
    <w:charset w:val="86"/>
    <w:family w:val="auto"/>
    <w:pitch w:val="default"/>
    <w:sig w:usb0="00000001" w:usb1="080E0000" w:usb2="00000000" w:usb3="00000000" w:csb0="00040000" w:csb1="00000000"/>
  </w:font>
  <w:font w:name="方正仿宋_GB2312">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 w:name="方正仿宋_GBK">
    <w:altName w:val="微软雅黑"/>
    <w:panose1 w:val="02000000000000000000"/>
    <w:charset w:val="86"/>
    <w:family w:val="auto"/>
    <w:pitch w:val="default"/>
    <w:sig w:usb0="00000000" w:usb1="00000000" w:usb2="00082016" w:usb3="00000000" w:csb0="00040001" w:csb1="00000000"/>
  </w:font>
  <w:font w:name="Helvetica">
    <w:altName w:val="Arial"/>
    <w:panose1 w:val="020B0604020202020204"/>
    <w:charset w:val="00"/>
    <w:family w:val="swiss"/>
    <w:pitch w:val="default"/>
    <w:sig w:usb0="00000000" w:usb1="00000000" w:usb2="00000000" w:usb3="00000000" w:csb0="00000000" w:csb1="00000000"/>
  </w:font>
  <w:font w:name="Tahoma">
    <w:panose1 w:val="020B0604030504040204"/>
    <w:charset w:val="00"/>
    <w:family w:val="swiss"/>
    <w:pitch w:val="default"/>
    <w:sig w:usb0="E1002EFF" w:usb1="C000605B" w:usb2="00000029" w:usb3="00000000" w:csb0="200101FF" w:csb1="20280000"/>
  </w:font>
  <w:font w:name="方正小标宋_GBK">
    <w:altName w:val="微软雅黑"/>
    <w:panose1 w:val="03000509000000000000"/>
    <w:charset w:val="86"/>
    <w:family w:val="auto"/>
    <w:pitch w:val="default"/>
    <w:sig w:usb0="00000000" w:usb1="00000000" w:usb2="00000000" w:usb3="00000000" w:csb0="00040000" w:csb1="00000000"/>
  </w:font>
  <w:font w:name="DejaVuSans">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F71C02">
    <w:pPr>
      <w:pStyle w:val="19"/>
      <w:jc w:val="cente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052A52F">
                          <w:pPr>
                            <w:pStyle w:val="19"/>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2052A52F">
                    <w:pPr>
                      <w:pStyle w:val="19"/>
                    </w:pPr>
                    <w:r>
                      <w:fldChar w:fldCharType="begin"/>
                    </w:r>
                    <w:r>
                      <w:instrText xml:space="preserve"> PAGE  \* MERGEFORMAT </w:instrText>
                    </w:r>
                    <w:r>
                      <w:fldChar w:fldCharType="separate"/>
                    </w:r>
                    <w:r>
                      <w:t>- 1 -</w:t>
                    </w:r>
                    <w:r>
                      <w:fldChar w:fldCharType="end"/>
                    </w:r>
                  </w:p>
                </w:txbxContent>
              </v:textbox>
            </v:shape>
          </w:pict>
        </mc:Fallback>
      </mc:AlternateContent>
    </w: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67273"/>
                            <w:showingPlcHdr/>
                          </w:sdtPr>
                          <w:sdtContent>
                            <w:p w14:paraId="1DBF07E4">
                              <w:pPr>
                                <w:pStyle w:val="19"/>
                                <w:jc w:val="center"/>
                              </w:pPr>
                              <w:r>
                                <w:rPr>
                                  <w:rFonts w:hint="eastAsia"/>
                                  <w:lang w:eastAsia="zh-CN"/>
                                </w:rPr>
                                <w:t xml:space="preserve">     </w:t>
                              </w:r>
                            </w:p>
                          </w:sdtContent>
                        </w:sdt>
                        <w:p w14:paraId="2BF1767F"/>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sdt>
                    <w:sdtPr>
                      <w:id w:val="147467273"/>
                      <w:showingPlcHdr/>
                    </w:sdtPr>
                    <w:sdtContent>
                      <w:p w14:paraId="1DBF07E4">
                        <w:pPr>
                          <w:pStyle w:val="19"/>
                          <w:jc w:val="center"/>
                        </w:pPr>
                        <w:r>
                          <w:rPr>
                            <w:rFonts w:hint="eastAsia"/>
                            <w:lang w:eastAsia="zh-CN"/>
                          </w:rPr>
                          <w:t xml:space="preserve">     </w:t>
                        </w:r>
                      </w:p>
                    </w:sdtContent>
                  </w:sdt>
                  <w:p w14:paraId="2BF1767F"/>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46E938">
    <w:pPr>
      <w:pStyle w:val="19"/>
      <w:bidi w:val="0"/>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CE68D9D">
                          <w:pPr>
                            <w:pStyle w:val="19"/>
                            <w:keepNext w:val="0"/>
                            <w:keepLines w:val="0"/>
                            <w:pageBreakBefore w:val="0"/>
                            <w:widowControl w:val="0"/>
                            <w:kinsoku/>
                            <w:wordWrap/>
                            <w:overflowPunct/>
                            <w:topLinePunct w:val="0"/>
                            <w:bidi w:val="0"/>
                            <w:adjustRightInd/>
                            <w:snapToGrid w:val="0"/>
                            <w:textAlignment w:val="auto"/>
                            <w:rPr>
                              <w:sz w:val="21"/>
                              <w:szCs w:val="21"/>
                            </w:rPr>
                          </w:pPr>
                          <w:r>
                            <w:rPr>
                              <w:sz w:val="21"/>
                              <w:szCs w:val="21"/>
                            </w:rPr>
                            <w:fldChar w:fldCharType="begin"/>
                          </w:r>
                          <w:r>
                            <w:rPr>
                              <w:sz w:val="21"/>
                              <w:szCs w:val="21"/>
                            </w:rPr>
                            <w:instrText xml:space="preserve"> PAGE  \* MERGEFORMAT </w:instrText>
                          </w:r>
                          <w:r>
                            <w:rPr>
                              <w:sz w:val="21"/>
                              <w:szCs w:val="21"/>
                            </w:rPr>
                            <w:fldChar w:fldCharType="separate"/>
                          </w:r>
                          <w:r>
                            <w:rPr>
                              <w:sz w:val="21"/>
                              <w:szCs w:val="21"/>
                            </w:rPr>
                            <w:t>1</w:t>
                          </w:r>
                          <w:r>
                            <w:rPr>
                              <w:sz w:val="21"/>
                              <w:szCs w:val="21"/>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1CE68D9D">
                    <w:pPr>
                      <w:pStyle w:val="19"/>
                      <w:keepNext w:val="0"/>
                      <w:keepLines w:val="0"/>
                      <w:pageBreakBefore w:val="0"/>
                      <w:widowControl w:val="0"/>
                      <w:kinsoku/>
                      <w:wordWrap/>
                      <w:overflowPunct/>
                      <w:topLinePunct w:val="0"/>
                      <w:bidi w:val="0"/>
                      <w:adjustRightInd/>
                      <w:snapToGrid w:val="0"/>
                      <w:textAlignment w:val="auto"/>
                      <w:rPr>
                        <w:sz w:val="21"/>
                        <w:szCs w:val="21"/>
                      </w:rPr>
                    </w:pPr>
                    <w:r>
                      <w:rPr>
                        <w:sz w:val="21"/>
                        <w:szCs w:val="21"/>
                      </w:rPr>
                      <w:fldChar w:fldCharType="begin"/>
                    </w:r>
                    <w:r>
                      <w:rPr>
                        <w:sz w:val="21"/>
                        <w:szCs w:val="21"/>
                      </w:rPr>
                      <w:instrText xml:space="preserve"> PAGE  \* MERGEFORMAT </w:instrText>
                    </w:r>
                    <w:r>
                      <w:rPr>
                        <w:sz w:val="21"/>
                        <w:szCs w:val="21"/>
                      </w:rPr>
                      <w:fldChar w:fldCharType="separate"/>
                    </w:r>
                    <w:r>
                      <w:rPr>
                        <w:sz w:val="21"/>
                        <w:szCs w:val="21"/>
                      </w:rPr>
                      <w:t>1</w:t>
                    </w:r>
                    <w:r>
                      <w:rPr>
                        <w:sz w:val="21"/>
                        <w:szCs w:val="21"/>
                      </w:rPr>
                      <w:fldChar w:fldCharType="end"/>
                    </w:r>
                  </w:p>
                </w:txbxContent>
              </v:textbox>
            </v:shape>
          </w:pict>
        </mc:Fallback>
      </mc:AlternateContent>
    </w: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72379"/>
                            <w:showingPlcHdr/>
                          </w:sdtPr>
                          <w:sdtContent>
                            <w:p w14:paraId="37381B42">
                              <w:pPr>
                                <w:pStyle w:val="19"/>
                                <w:jc w:val="center"/>
                              </w:pPr>
                              <w:r>
                                <w:rPr>
                                  <w:rFonts w:hint="eastAsia"/>
                                  <w:lang w:eastAsia="zh-CN"/>
                                </w:rPr>
                                <w:t xml:space="preserve">     </w:t>
                              </w:r>
                            </w:p>
                          </w:sdtContent>
                        </w:sdt>
                        <w:p w14:paraId="7C39B392"/>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sdt>
                    <w:sdtPr>
                      <w:id w:val="147472379"/>
                      <w:showingPlcHdr/>
                    </w:sdtPr>
                    <w:sdtContent>
                      <w:p w14:paraId="37381B42">
                        <w:pPr>
                          <w:pStyle w:val="19"/>
                          <w:jc w:val="center"/>
                        </w:pPr>
                        <w:r>
                          <w:rPr>
                            <w:rFonts w:hint="eastAsia"/>
                            <w:lang w:eastAsia="zh-CN"/>
                          </w:rPr>
                          <w:t xml:space="preserve">     </w:t>
                        </w:r>
                      </w:p>
                    </w:sdtContent>
                  </w:sdt>
                  <w:p w14:paraId="7C39B392"/>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FA2D5C">
    <w:pPr>
      <w:pStyle w:val="19"/>
      <w:keepNext w:val="0"/>
      <w:keepLines w:val="0"/>
      <w:pageBreakBefore w:val="0"/>
      <w:widowControl w:val="0"/>
      <w:kinsoku/>
      <w:wordWrap/>
      <w:overflowPunct/>
      <w:topLinePunct w:val="0"/>
      <w:bidi w:val="0"/>
      <w:adjustRightInd/>
      <w:snapToGrid w:val="0"/>
      <w:textAlignment w:val="auto"/>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13757FD">
                          <w:pPr>
                            <w:pStyle w:val="19"/>
                          </w:pPr>
                          <w:r>
                            <w:fldChar w:fldCharType="begin"/>
                          </w:r>
                          <w:r>
                            <w:instrText xml:space="preserve"> PAGE  \* MERGEFORMAT </w:instrText>
                          </w:r>
                          <w:r>
                            <w:fldChar w:fldCharType="separate"/>
                          </w:r>
                          <w:r>
                            <w:t>67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313757FD">
                    <w:pPr>
                      <w:pStyle w:val="19"/>
                    </w:pPr>
                    <w:r>
                      <w:fldChar w:fldCharType="begin"/>
                    </w:r>
                    <w:r>
                      <w:instrText xml:space="preserve"> PAGE  \* MERGEFORMAT </w:instrText>
                    </w:r>
                    <w:r>
                      <w:fldChar w:fldCharType="separate"/>
                    </w:r>
                    <w:r>
                      <w:t>67</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E41052">
    <w:pPr>
      <w:pStyle w:val="19"/>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78428888"/>
                          </w:sdtPr>
                          <w:sdtContent>
                            <w:p w14:paraId="1087FA9B">
                              <w:pPr>
                                <w:pStyle w:val="19"/>
                                <w:jc w:val="center"/>
                              </w:pPr>
                              <w:r>
                                <w:rPr>
                                  <w:sz w:val="21"/>
                                  <w:szCs w:val="21"/>
                                </w:rPr>
                                <w:fldChar w:fldCharType="begin"/>
                              </w:r>
                              <w:r>
                                <w:rPr>
                                  <w:sz w:val="21"/>
                                  <w:szCs w:val="21"/>
                                </w:rPr>
                                <w:instrText xml:space="preserve">PAGE   \* MERGEFORMAT</w:instrText>
                              </w:r>
                              <w:r>
                                <w:rPr>
                                  <w:sz w:val="21"/>
                                  <w:szCs w:val="21"/>
                                </w:rPr>
                                <w:fldChar w:fldCharType="separate"/>
                              </w:r>
                              <w:r>
                                <w:rPr>
                                  <w:sz w:val="21"/>
                                  <w:szCs w:val="21"/>
                                  <w:lang w:val="zh-CN"/>
                                </w:rPr>
                                <w:t>2</w:t>
                              </w:r>
                              <w:r>
                                <w:rPr>
                                  <w:sz w:val="21"/>
                                  <w:szCs w:val="21"/>
                                </w:rPr>
                                <w:fldChar w:fldCharType="end"/>
                              </w:r>
                            </w:p>
                          </w:sdtContent>
                        </w:sdt>
                        <w:p w14:paraId="448A7938"/>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sdt>
                    <w:sdtPr>
                      <w:id w:val="-178428888"/>
                    </w:sdtPr>
                    <w:sdtContent>
                      <w:p w14:paraId="1087FA9B">
                        <w:pPr>
                          <w:pStyle w:val="19"/>
                          <w:jc w:val="center"/>
                        </w:pPr>
                        <w:r>
                          <w:rPr>
                            <w:sz w:val="21"/>
                            <w:szCs w:val="21"/>
                          </w:rPr>
                          <w:fldChar w:fldCharType="begin"/>
                        </w:r>
                        <w:r>
                          <w:rPr>
                            <w:sz w:val="21"/>
                            <w:szCs w:val="21"/>
                          </w:rPr>
                          <w:instrText xml:space="preserve">PAGE   \* MERGEFORMAT</w:instrText>
                        </w:r>
                        <w:r>
                          <w:rPr>
                            <w:sz w:val="21"/>
                            <w:szCs w:val="21"/>
                          </w:rPr>
                          <w:fldChar w:fldCharType="separate"/>
                        </w:r>
                        <w:r>
                          <w:rPr>
                            <w:sz w:val="21"/>
                            <w:szCs w:val="21"/>
                            <w:lang w:val="zh-CN"/>
                          </w:rPr>
                          <w:t>2</w:t>
                        </w:r>
                        <w:r>
                          <w:rPr>
                            <w:sz w:val="21"/>
                            <w:szCs w:val="21"/>
                          </w:rPr>
                          <w:fldChar w:fldCharType="end"/>
                        </w:r>
                      </w:p>
                    </w:sdtContent>
                  </w:sdt>
                  <w:p w14:paraId="448A7938"/>
                </w:txbxContent>
              </v:textbox>
            </v:shape>
          </w:pict>
        </mc:Fallback>
      </mc:AlternateContent>
    </w:r>
  </w:p>
  <w:p w14:paraId="4005E617">
    <w:pPr>
      <w:pStyle w:val="1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01E85C">
    <w:pPr>
      <w:pStyle w:val="20"/>
      <w:jc w:val="right"/>
      <w:rPr>
        <w:rFonts w:hint="default"/>
        <w:sz w:val="18"/>
        <w:szCs w:val="18"/>
        <w:lang w:val="en-US" w:eastAsia="zh-CN"/>
      </w:rPr>
    </w:pPr>
    <w:r>
      <w:rPr>
        <w:rFonts w:hint="eastAsia"/>
        <w:sz w:val="18"/>
        <w:szCs w:val="18"/>
        <w:lang w:val="en-US" w:eastAsia="zh-CN"/>
      </w:rPr>
      <w:t>伊犁州妇幼保健院安保洗涤外包服务采购项目（二标段）二次招标文件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82F3D0">
    <w:pPr>
      <w:pStyle w:val="20"/>
      <w:jc w:val="right"/>
    </w:pPr>
    <w:r>
      <w:rPr>
        <w:rFonts w:hint="eastAsia"/>
        <w:sz w:val="24"/>
        <w:szCs w:val="24"/>
        <w:lang w:val="en-US" w:eastAsia="zh-CN"/>
      </w:rPr>
      <w:t xml:space="preserve">                    </w:t>
    </w:r>
    <w:r>
      <w:rPr>
        <w:rFonts w:hint="eastAsia" w:ascii="宋体" w:hAnsi="宋体" w:eastAsia="宋体"/>
        <w:sz w:val="18"/>
        <w:szCs w:val="18"/>
        <w:lang w:val="en-US" w:eastAsia="zh-CN"/>
      </w:rPr>
      <w:t>伊犁州妇幼保健院安保洗涤外包服务采购项目</w:t>
    </w:r>
    <w:r>
      <w:rPr>
        <w:rFonts w:hint="eastAsia"/>
        <w:sz w:val="18"/>
        <w:szCs w:val="18"/>
        <w:lang w:val="en-US" w:eastAsia="zh-CN"/>
      </w:rPr>
      <w:t>（二标段）二次</w:t>
    </w:r>
    <w:r>
      <w:rPr>
        <w:rFonts w:hint="eastAsia" w:ascii="宋体" w:hAnsi="宋体" w:eastAsia="宋体"/>
        <w:sz w:val="18"/>
        <w:szCs w:val="18"/>
        <w:lang w:val="en-US" w:eastAsia="zh-CN"/>
      </w:rPr>
      <w:t>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070575"/>
    <w:multiLevelType w:val="singleLevel"/>
    <w:tmpl w:val="9C070575"/>
    <w:lvl w:ilvl="0" w:tentative="0">
      <w:start w:val="1"/>
      <w:numFmt w:val="decimal"/>
      <w:pStyle w:val="7"/>
      <w:lvlText w:val="%1."/>
      <w:lvlJc w:val="left"/>
      <w:pPr>
        <w:tabs>
          <w:tab w:val="left" w:pos="780"/>
        </w:tabs>
        <w:ind w:left="780" w:hanging="360"/>
      </w:pPr>
    </w:lvl>
  </w:abstractNum>
  <w:abstractNum w:abstractNumId="1">
    <w:nsid w:val="CBFB19E1"/>
    <w:multiLevelType w:val="singleLevel"/>
    <w:tmpl w:val="CBFB19E1"/>
    <w:lvl w:ilvl="0" w:tentative="0">
      <w:start w:val="3"/>
      <w:numFmt w:val="chineseCounting"/>
      <w:suff w:val="space"/>
      <w:lvlText w:val="第%1章"/>
      <w:lvlJc w:val="left"/>
      <w:rPr>
        <w:rFonts w:hint="eastAsia"/>
      </w:rPr>
    </w:lvl>
  </w:abstractNum>
  <w:abstractNum w:abstractNumId="2">
    <w:nsid w:val="D9A8280E"/>
    <w:multiLevelType w:val="singleLevel"/>
    <w:tmpl w:val="D9A8280E"/>
    <w:lvl w:ilvl="0" w:tentative="0">
      <w:start w:val="1"/>
      <w:numFmt w:val="decimal"/>
      <w:suff w:val="nothing"/>
      <w:lvlText w:val="%1、"/>
      <w:lvlJc w:val="left"/>
    </w:lvl>
  </w:abstractNum>
  <w:abstractNum w:abstractNumId="3">
    <w:nsid w:val="18104C42"/>
    <w:multiLevelType w:val="singleLevel"/>
    <w:tmpl w:val="18104C42"/>
    <w:lvl w:ilvl="0" w:tentative="0">
      <w:start w:val="2"/>
      <w:numFmt w:val="chineseCounting"/>
      <w:suff w:val="nothing"/>
      <w:lvlText w:val="%1、"/>
      <w:lvlJc w:val="left"/>
      <w:rPr>
        <w:rFonts w:hint="eastAsia"/>
      </w:rPr>
    </w:lvl>
  </w:abstractNum>
  <w:abstractNum w:abstractNumId="4">
    <w:nsid w:val="1C761375"/>
    <w:multiLevelType w:val="multilevel"/>
    <w:tmpl w:val="1C761375"/>
    <w:lvl w:ilvl="0" w:tentative="0">
      <w:start w:val="1"/>
      <w:numFmt w:val="decimal"/>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447B6378"/>
    <w:multiLevelType w:val="multilevel"/>
    <w:tmpl w:val="447B6378"/>
    <w:lvl w:ilvl="0" w:tentative="0">
      <w:start w:val="1"/>
      <w:numFmt w:val="decimal"/>
      <w:pStyle w:val="39"/>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75504026"/>
    <w:multiLevelType w:val="multilevel"/>
    <w:tmpl w:val="75504026"/>
    <w:lvl w:ilvl="0" w:tentative="0">
      <w:start w:val="1"/>
      <w:numFmt w:val="decimal"/>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5"/>
  </w:num>
  <w:num w:numId="3">
    <w:abstractNumId w:val="1"/>
  </w:num>
  <w:num w:numId="4">
    <w:abstractNumId w:val="3"/>
  </w:num>
  <w:num w:numId="5">
    <w:abstractNumId w:val="2"/>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JkNTg1OTJkZTA1ZDVhNGYzMmVkNzJiZGI5ZmNhNzAifQ=="/>
  </w:docVars>
  <w:rsids>
    <w:rsidRoot w:val="00172A27"/>
    <w:rsid w:val="0000366A"/>
    <w:rsid w:val="00006F7F"/>
    <w:rsid w:val="00007003"/>
    <w:rsid w:val="000075B7"/>
    <w:rsid w:val="000237EA"/>
    <w:rsid w:val="00027CD2"/>
    <w:rsid w:val="00031E0C"/>
    <w:rsid w:val="00040832"/>
    <w:rsid w:val="00040D23"/>
    <w:rsid w:val="000439DA"/>
    <w:rsid w:val="00063604"/>
    <w:rsid w:val="0006370A"/>
    <w:rsid w:val="00066832"/>
    <w:rsid w:val="00067934"/>
    <w:rsid w:val="000720BF"/>
    <w:rsid w:val="0008641D"/>
    <w:rsid w:val="000B39A0"/>
    <w:rsid w:val="000C3E03"/>
    <w:rsid w:val="000C488D"/>
    <w:rsid w:val="000C52EC"/>
    <w:rsid w:val="000D0230"/>
    <w:rsid w:val="000D0AD3"/>
    <w:rsid w:val="000E45BD"/>
    <w:rsid w:val="000E4E33"/>
    <w:rsid w:val="000E67CF"/>
    <w:rsid w:val="000F20FD"/>
    <w:rsid w:val="000F39B0"/>
    <w:rsid w:val="001008D8"/>
    <w:rsid w:val="001022A4"/>
    <w:rsid w:val="00115EF7"/>
    <w:rsid w:val="0013642D"/>
    <w:rsid w:val="00146410"/>
    <w:rsid w:val="00150D67"/>
    <w:rsid w:val="00156600"/>
    <w:rsid w:val="00160E9C"/>
    <w:rsid w:val="00172190"/>
    <w:rsid w:val="00173480"/>
    <w:rsid w:val="00181988"/>
    <w:rsid w:val="00182557"/>
    <w:rsid w:val="0018304A"/>
    <w:rsid w:val="001904E9"/>
    <w:rsid w:val="001A77DE"/>
    <w:rsid w:val="001B36EC"/>
    <w:rsid w:val="001D7B23"/>
    <w:rsid w:val="001E2F56"/>
    <w:rsid w:val="001F7F7E"/>
    <w:rsid w:val="002062E6"/>
    <w:rsid w:val="00207131"/>
    <w:rsid w:val="0022214D"/>
    <w:rsid w:val="00223585"/>
    <w:rsid w:val="002235CA"/>
    <w:rsid w:val="002317DB"/>
    <w:rsid w:val="00232245"/>
    <w:rsid w:val="0023265E"/>
    <w:rsid w:val="00235B5A"/>
    <w:rsid w:val="00251060"/>
    <w:rsid w:val="002514A3"/>
    <w:rsid w:val="00256B32"/>
    <w:rsid w:val="00256D01"/>
    <w:rsid w:val="002706F2"/>
    <w:rsid w:val="00271135"/>
    <w:rsid w:val="00285E30"/>
    <w:rsid w:val="002A1AEC"/>
    <w:rsid w:val="002A1BCB"/>
    <w:rsid w:val="002A5262"/>
    <w:rsid w:val="002A6484"/>
    <w:rsid w:val="002A79C6"/>
    <w:rsid w:val="002C06B9"/>
    <w:rsid w:val="002C0FDD"/>
    <w:rsid w:val="002C5E37"/>
    <w:rsid w:val="002D11F7"/>
    <w:rsid w:val="002D48C5"/>
    <w:rsid w:val="002E0B52"/>
    <w:rsid w:val="002E1CF4"/>
    <w:rsid w:val="002E5FED"/>
    <w:rsid w:val="002F0DA9"/>
    <w:rsid w:val="003113C1"/>
    <w:rsid w:val="00312C3A"/>
    <w:rsid w:val="0031353D"/>
    <w:rsid w:val="0032200D"/>
    <w:rsid w:val="00333B37"/>
    <w:rsid w:val="0034487B"/>
    <w:rsid w:val="00347CC6"/>
    <w:rsid w:val="00347D88"/>
    <w:rsid w:val="00350BCD"/>
    <w:rsid w:val="0035643C"/>
    <w:rsid w:val="00366226"/>
    <w:rsid w:val="003746B0"/>
    <w:rsid w:val="00374A6B"/>
    <w:rsid w:val="00383E1C"/>
    <w:rsid w:val="0039029A"/>
    <w:rsid w:val="00390D4A"/>
    <w:rsid w:val="0039222E"/>
    <w:rsid w:val="0039288A"/>
    <w:rsid w:val="00393395"/>
    <w:rsid w:val="0039372E"/>
    <w:rsid w:val="00394AF5"/>
    <w:rsid w:val="003A19A4"/>
    <w:rsid w:val="003A1A1B"/>
    <w:rsid w:val="003A4485"/>
    <w:rsid w:val="003A4878"/>
    <w:rsid w:val="003B4310"/>
    <w:rsid w:val="003B60A6"/>
    <w:rsid w:val="003C5883"/>
    <w:rsid w:val="003C7C49"/>
    <w:rsid w:val="003D3327"/>
    <w:rsid w:val="003D6656"/>
    <w:rsid w:val="003E057C"/>
    <w:rsid w:val="003E2B14"/>
    <w:rsid w:val="003E314B"/>
    <w:rsid w:val="003F5655"/>
    <w:rsid w:val="003F5BC6"/>
    <w:rsid w:val="004021C6"/>
    <w:rsid w:val="00406BEF"/>
    <w:rsid w:val="00410595"/>
    <w:rsid w:val="00420F7C"/>
    <w:rsid w:val="0043307A"/>
    <w:rsid w:val="00433514"/>
    <w:rsid w:val="00446BB3"/>
    <w:rsid w:val="0045353D"/>
    <w:rsid w:val="004771C7"/>
    <w:rsid w:val="00481C3A"/>
    <w:rsid w:val="004851CA"/>
    <w:rsid w:val="0048656E"/>
    <w:rsid w:val="00493221"/>
    <w:rsid w:val="004A302C"/>
    <w:rsid w:val="004B539D"/>
    <w:rsid w:val="004C1FA1"/>
    <w:rsid w:val="004C3DCC"/>
    <w:rsid w:val="004E0BF9"/>
    <w:rsid w:val="004E0CF9"/>
    <w:rsid w:val="004F3FDD"/>
    <w:rsid w:val="004F46AB"/>
    <w:rsid w:val="00501A4A"/>
    <w:rsid w:val="00501E05"/>
    <w:rsid w:val="005032B9"/>
    <w:rsid w:val="005100F2"/>
    <w:rsid w:val="00510300"/>
    <w:rsid w:val="00511D7B"/>
    <w:rsid w:val="00513AD5"/>
    <w:rsid w:val="00523D37"/>
    <w:rsid w:val="00524831"/>
    <w:rsid w:val="0052616B"/>
    <w:rsid w:val="00532F25"/>
    <w:rsid w:val="00541D90"/>
    <w:rsid w:val="00542258"/>
    <w:rsid w:val="0054547C"/>
    <w:rsid w:val="0054632A"/>
    <w:rsid w:val="00551EDC"/>
    <w:rsid w:val="005544D1"/>
    <w:rsid w:val="00554509"/>
    <w:rsid w:val="00561523"/>
    <w:rsid w:val="00561527"/>
    <w:rsid w:val="005714C6"/>
    <w:rsid w:val="00594E7A"/>
    <w:rsid w:val="005A146E"/>
    <w:rsid w:val="005A7208"/>
    <w:rsid w:val="005A7987"/>
    <w:rsid w:val="005B5936"/>
    <w:rsid w:val="005C0D20"/>
    <w:rsid w:val="005D050C"/>
    <w:rsid w:val="005F7A46"/>
    <w:rsid w:val="00611383"/>
    <w:rsid w:val="00620B1C"/>
    <w:rsid w:val="00626E33"/>
    <w:rsid w:val="006407ED"/>
    <w:rsid w:val="0064251F"/>
    <w:rsid w:val="00643F74"/>
    <w:rsid w:val="006503AE"/>
    <w:rsid w:val="00651EE4"/>
    <w:rsid w:val="00654524"/>
    <w:rsid w:val="00654BCF"/>
    <w:rsid w:val="0066052B"/>
    <w:rsid w:val="006630EF"/>
    <w:rsid w:val="0066446E"/>
    <w:rsid w:val="0066601A"/>
    <w:rsid w:val="006662AB"/>
    <w:rsid w:val="00674212"/>
    <w:rsid w:val="0067621A"/>
    <w:rsid w:val="006815D1"/>
    <w:rsid w:val="00687DD5"/>
    <w:rsid w:val="006923C3"/>
    <w:rsid w:val="006937E9"/>
    <w:rsid w:val="00693EF9"/>
    <w:rsid w:val="006947A5"/>
    <w:rsid w:val="006A1A11"/>
    <w:rsid w:val="006A2C75"/>
    <w:rsid w:val="006A4105"/>
    <w:rsid w:val="006B0C84"/>
    <w:rsid w:val="006B543B"/>
    <w:rsid w:val="006B7E54"/>
    <w:rsid w:val="006C0BD1"/>
    <w:rsid w:val="006C30C8"/>
    <w:rsid w:val="006C5139"/>
    <w:rsid w:val="006C69FC"/>
    <w:rsid w:val="006D069F"/>
    <w:rsid w:val="006D2C95"/>
    <w:rsid w:val="006D5F8F"/>
    <w:rsid w:val="006D6CEA"/>
    <w:rsid w:val="006E3B5C"/>
    <w:rsid w:val="006E3EB8"/>
    <w:rsid w:val="00707B1D"/>
    <w:rsid w:val="00710909"/>
    <w:rsid w:val="00716369"/>
    <w:rsid w:val="00723649"/>
    <w:rsid w:val="007265C3"/>
    <w:rsid w:val="00735F23"/>
    <w:rsid w:val="00740CEF"/>
    <w:rsid w:val="00742261"/>
    <w:rsid w:val="00752C5E"/>
    <w:rsid w:val="007531F9"/>
    <w:rsid w:val="00764378"/>
    <w:rsid w:val="0076591F"/>
    <w:rsid w:val="00766F0F"/>
    <w:rsid w:val="00773B9A"/>
    <w:rsid w:val="0077582F"/>
    <w:rsid w:val="007862C9"/>
    <w:rsid w:val="0079007B"/>
    <w:rsid w:val="007A0F22"/>
    <w:rsid w:val="007B5C1A"/>
    <w:rsid w:val="007C03A0"/>
    <w:rsid w:val="007C2BEF"/>
    <w:rsid w:val="007D3D77"/>
    <w:rsid w:val="007E157B"/>
    <w:rsid w:val="007E2EF7"/>
    <w:rsid w:val="007E4818"/>
    <w:rsid w:val="007E6A7E"/>
    <w:rsid w:val="007F33F3"/>
    <w:rsid w:val="007F6124"/>
    <w:rsid w:val="00801BDF"/>
    <w:rsid w:val="00802B86"/>
    <w:rsid w:val="0082514B"/>
    <w:rsid w:val="00830599"/>
    <w:rsid w:val="008334B0"/>
    <w:rsid w:val="0083496F"/>
    <w:rsid w:val="0083530F"/>
    <w:rsid w:val="00836468"/>
    <w:rsid w:val="00843492"/>
    <w:rsid w:val="00845F16"/>
    <w:rsid w:val="00852AF3"/>
    <w:rsid w:val="00856D2D"/>
    <w:rsid w:val="00856F2E"/>
    <w:rsid w:val="00867FFD"/>
    <w:rsid w:val="00871560"/>
    <w:rsid w:val="00872D54"/>
    <w:rsid w:val="00872F2D"/>
    <w:rsid w:val="0087585D"/>
    <w:rsid w:val="00880E22"/>
    <w:rsid w:val="00882B6F"/>
    <w:rsid w:val="008834AE"/>
    <w:rsid w:val="00885F4D"/>
    <w:rsid w:val="008962E2"/>
    <w:rsid w:val="008A74EF"/>
    <w:rsid w:val="008B0539"/>
    <w:rsid w:val="008B1C98"/>
    <w:rsid w:val="008B5ADF"/>
    <w:rsid w:val="008D0B3B"/>
    <w:rsid w:val="008D1450"/>
    <w:rsid w:val="008D2E66"/>
    <w:rsid w:val="008D56A5"/>
    <w:rsid w:val="008E1546"/>
    <w:rsid w:val="008E189F"/>
    <w:rsid w:val="008E24ED"/>
    <w:rsid w:val="008E40FE"/>
    <w:rsid w:val="008E57AC"/>
    <w:rsid w:val="008E6D3B"/>
    <w:rsid w:val="00906396"/>
    <w:rsid w:val="0090770A"/>
    <w:rsid w:val="00916E4D"/>
    <w:rsid w:val="00917A63"/>
    <w:rsid w:val="00923C36"/>
    <w:rsid w:val="00924B8E"/>
    <w:rsid w:val="00930024"/>
    <w:rsid w:val="009344DE"/>
    <w:rsid w:val="009357E5"/>
    <w:rsid w:val="00936087"/>
    <w:rsid w:val="00945D17"/>
    <w:rsid w:val="00965FBF"/>
    <w:rsid w:val="00973941"/>
    <w:rsid w:val="0097751F"/>
    <w:rsid w:val="00980255"/>
    <w:rsid w:val="009804FA"/>
    <w:rsid w:val="00985B78"/>
    <w:rsid w:val="0098649F"/>
    <w:rsid w:val="00993AFA"/>
    <w:rsid w:val="0099686E"/>
    <w:rsid w:val="00996DF2"/>
    <w:rsid w:val="009A41B0"/>
    <w:rsid w:val="009A4756"/>
    <w:rsid w:val="009A4C46"/>
    <w:rsid w:val="009A4DBF"/>
    <w:rsid w:val="009B3513"/>
    <w:rsid w:val="009B39EA"/>
    <w:rsid w:val="009D3FC3"/>
    <w:rsid w:val="009D433D"/>
    <w:rsid w:val="009D4484"/>
    <w:rsid w:val="009D5889"/>
    <w:rsid w:val="009D7755"/>
    <w:rsid w:val="009F1D20"/>
    <w:rsid w:val="00A00548"/>
    <w:rsid w:val="00A00713"/>
    <w:rsid w:val="00A00731"/>
    <w:rsid w:val="00A11A5C"/>
    <w:rsid w:val="00A22235"/>
    <w:rsid w:val="00A22F7B"/>
    <w:rsid w:val="00A23801"/>
    <w:rsid w:val="00A2554C"/>
    <w:rsid w:val="00A33652"/>
    <w:rsid w:val="00A3798C"/>
    <w:rsid w:val="00A42866"/>
    <w:rsid w:val="00A461C1"/>
    <w:rsid w:val="00A46B5C"/>
    <w:rsid w:val="00A50D6E"/>
    <w:rsid w:val="00A51DD8"/>
    <w:rsid w:val="00A647EA"/>
    <w:rsid w:val="00A736C6"/>
    <w:rsid w:val="00A82472"/>
    <w:rsid w:val="00A83F1F"/>
    <w:rsid w:val="00A8416F"/>
    <w:rsid w:val="00AA0223"/>
    <w:rsid w:val="00AB28B8"/>
    <w:rsid w:val="00AB3B77"/>
    <w:rsid w:val="00AC57B7"/>
    <w:rsid w:val="00AC73C5"/>
    <w:rsid w:val="00AC755C"/>
    <w:rsid w:val="00AD0E13"/>
    <w:rsid w:val="00AD5ABF"/>
    <w:rsid w:val="00AF45C5"/>
    <w:rsid w:val="00AF5667"/>
    <w:rsid w:val="00B05DD5"/>
    <w:rsid w:val="00B12477"/>
    <w:rsid w:val="00B13343"/>
    <w:rsid w:val="00B1354B"/>
    <w:rsid w:val="00B220B2"/>
    <w:rsid w:val="00B23942"/>
    <w:rsid w:val="00B32474"/>
    <w:rsid w:val="00B4327E"/>
    <w:rsid w:val="00B467A4"/>
    <w:rsid w:val="00B5286D"/>
    <w:rsid w:val="00B545BC"/>
    <w:rsid w:val="00B61032"/>
    <w:rsid w:val="00B61D2E"/>
    <w:rsid w:val="00B71854"/>
    <w:rsid w:val="00B71DA4"/>
    <w:rsid w:val="00B7235B"/>
    <w:rsid w:val="00B76348"/>
    <w:rsid w:val="00B81261"/>
    <w:rsid w:val="00B82556"/>
    <w:rsid w:val="00B87655"/>
    <w:rsid w:val="00B87801"/>
    <w:rsid w:val="00B92871"/>
    <w:rsid w:val="00B928DA"/>
    <w:rsid w:val="00BA5AC3"/>
    <w:rsid w:val="00BA630D"/>
    <w:rsid w:val="00BB06B4"/>
    <w:rsid w:val="00BB2551"/>
    <w:rsid w:val="00BB4892"/>
    <w:rsid w:val="00BB5E9B"/>
    <w:rsid w:val="00BC1A44"/>
    <w:rsid w:val="00BC5C37"/>
    <w:rsid w:val="00BC757B"/>
    <w:rsid w:val="00BC7ED2"/>
    <w:rsid w:val="00BD0190"/>
    <w:rsid w:val="00BE212E"/>
    <w:rsid w:val="00BE4AAB"/>
    <w:rsid w:val="00BE5086"/>
    <w:rsid w:val="00BF4971"/>
    <w:rsid w:val="00C07F40"/>
    <w:rsid w:val="00C12E85"/>
    <w:rsid w:val="00C16A79"/>
    <w:rsid w:val="00C20278"/>
    <w:rsid w:val="00C22791"/>
    <w:rsid w:val="00C236DC"/>
    <w:rsid w:val="00C31B7F"/>
    <w:rsid w:val="00C32F79"/>
    <w:rsid w:val="00C33FD2"/>
    <w:rsid w:val="00C35271"/>
    <w:rsid w:val="00C4036A"/>
    <w:rsid w:val="00C50E28"/>
    <w:rsid w:val="00C62934"/>
    <w:rsid w:val="00C64428"/>
    <w:rsid w:val="00C74D6F"/>
    <w:rsid w:val="00C842DE"/>
    <w:rsid w:val="00C902FB"/>
    <w:rsid w:val="00C965AE"/>
    <w:rsid w:val="00CA0AED"/>
    <w:rsid w:val="00CA66E6"/>
    <w:rsid w:val="00CC29DE"/>
    <w:rsid w:val="00CC3B64"/>
    <w:rsid w:val="00CD37C6"/>
    <w:rsid w:val="00CD3BA4"/>
    <w:rsid w:val="00CD41AA"/>
    <w:rsid w:val="00CD6943"/>
    <w:rsid w:val="00CE6C2F"/>
    <w:rsid w:val="00CE73CC"/>
    <w:rsid w:val="00CE7E9C"/>
    <w:rsid w:val="00CF2EF3"/>
    <w:rsid w:val="00CF3298"/>
    <w:rsid w:val="00D02F3B"/>
    <w:rsid w:val="00D0657B"/>
    <w:rsid w:val="00D129CB"/>
    <w:rsid w:val="00D16A04"/>
    <w:rsid w:val="00D27C17"/>
    <w:rsid w:val="00D41B89"/>
    <w:rsid w:val="00D47F27"/>
    <w:rsid w:val="00D5541F"/>
    <w:rsid w:val="00D57923"/>
    <w:rsid w:val="00D66387"/>
    <w:rsid w:val="00D741B6"/>
    <w:rsid w:val="00D74BD0"/>
    <w:rsid w:val="00D74FED"/>
    <w:rsid w:val="00D75A81"/>
    <w:rsid w:val="00D7761F"/>
    <w:rsid w:val="00D86806"/>
    <w:rsid w:val="00D86C35"/>
    <w:rsid w:val="00DB04FB"/>
    <w:rsid w:val="00DB6DFF"/>
    <w:rsid w:val="00DC003F"/>
    <w:rsid w:val="00DE72B3"/>
    <w:rsid w:val="00DF4668"/>
    <w:rsid w:val="00E00172"/>
    <w:rsid w:val="00E0533A"/>
    <w:rsid w:val="00E0701A"/>
    <w:rsid w:val="00E131D1"/>
    <w:rsid w:val="00E17AA0"/>
    <w:rsid w:val="00E2655B"/>
    <w:rsid w:val="00E311AB"/>
    <w:rsid w:val="00E358BF"/>
    <w:rsid w:val="00E36EC8"/>
    <w:rsid w:val="00E51146"/>
    <w:rsid w:val="00E512A9"/>
    <w:rsid w:val="00E54AF9"/>
    <w:rsid w:val="00E5624E"/>
    <w:rsid w:val="00E601D4"/>
    <w:rsid w:val="00E64C88"/>
    <w:rsid w:val="00E7179D"/>
    <w:rsid w:val="00E74832"/>
    <w:rsid w:val="00E81B04"/>
    <w:rsid w:val="00E820C5"/>
    <w:rsid w:val="00E87550"/>
    <w:rsid w:val="00E9413F"/>
    <w:rsid w:val="00E973D2"/>
    <w:rsid w:val="00EC7C64"/>
    <w:rsid w:val="00ED00D6"/>
    <w:rsid w:val="00EE26DC"/>
    <w:rsid w:val="00EE3FF1"/>
    <w:rsid w:val="00EE5816"/>
    <w:rsid w:val="00EF3D7E"/>
    <w:rsid w:val="00F03292"/>
    <w:rsid w:val="00F0565C"/>
    <w:rsid w:val="00F121AE"/>
    <w:rsid w:val="00F15852"/>
    <w:rsid w:val="00F23F4B"/>
    <w:rsid w:val="00F46C50"/>
    <w:rsid w:val="00F56CD7"/>
    <w:rsid w:val="00F60B61"/>
    <w:rsid w:val="00F66E89"/>
    <w:rsid w:val="00F67822"/>
    <w:rsid w:val="00F70621"/>
    <w:rsid w:val="00F74182"/>
    <w:rsid w:val="00F7607A"/>
    <w:rsid w:val="00F8517B"/>
    <w:rsid w:val="00F90250"/>
    <w:rsid w:val="00F91395"/>
    <w:rsid w:val="00F961D7"/>
    <w:rsid w:val="00F97A2B"/>
    <w:rsid w:val="00FA0CA3"/>
    <w:rsid w:val="00FA3BC5"/>
    <w:rsid w:val="00FA40FE"/>
    <w:rsid w:val="00FB08DC"/>
    <w:rsid w:val="00FB0D30"/>
    <w:rsid w:val="00FB1AE0"/>
    <w:rsid w:val="00FB34C2"/>
    <w:rsid w:val="00FB42F5"/>
    <w:rsid w:val="00FD76E1"/>
    <w:rsid w:val="00FE0970"/>
    <w:rsid w:val="00FF3F3A"/>
    <w:rsid w:val="00FF400F"/>
    <w:rsid w:val="01064C9A"/>
    <w:rsid w:val="013E61E2"/>
    <w:rsid w:val="014F4893"/>
    <w:rsid w:val="01541EA9"/>
    <w:rsid w:val="01580C56"/>
    <w:rsid w:val="01593EC7"/>
    <w:rsid w:val="01781929"/>
    <w:rsid w:val="01877B89"/>
    <w:rsid w:val="019E3125"/>
    <w:rsid w:val="01D0068D"/>
    <w:rsid w:val="01D775B9"/>
    <w:rsid w:val="02026E30"/>
    <w:rsid w:val="020B6A0C"/>
    <w:rsid w:val="02132174"/>
    <w:rsid w:val="02186A33"/>
    <w:rsid w:val="0224187C"/>
    <w:rsid w:val="023130F5"/>
    <w:rsid w:val="024737BC"/>
    <w:rsid w:val="024C2B81"/>
    <w:rsid w:val="028604AE"/>
    <w:rsid w:val="029D33DC"/>
    <w:rsid w:val="02AD3196"/>
    <w:rsid w:val="02AE1145"/>
    <w:rsid w:val="02C44E0D"/>
    <w:rsid w:val="02DA63DE"/>
    <w:rsid w:val="02ED7EC0"/>
    <w:rsid w:val="03200295"/>
    <w:rsid w:val="035E2B6B"/>
    <w:rsid w:val="0361440A"/>
    <w:rsid w:val="036D7252"/>
    <w:rsid w:val="03773C2D"/>
    <w:rsid w:val="03922815"/>
    <w:rsid w:val="03C350C4"/>
    <w:rsid w:val="03E2554B"/>
    <w:rsid w:val="03EA08A3"/>
    <w:rsid w:val="03F51722"/>
    <w:rsid w:val="03F62DA4"/>
    <w:rsid w:val="04066E90"/>
    <w:rsid w:val="045126D0"/>
    <w:rsid w:val="045D72C7"/>
    <w:rsid w:val="047A5783"/>
    <w:rsid w:val="04820ADC"/>
    <w:rsid w:val="0487418D"/>
    <w:rsid w:val="04893C18"/>
    <w:rsid w:val="04B14F1D"/>
    <w:rsid w:val="04C17856"/>
    <w:rsid w:val="04F01EE9"/>
    <w:rsid w:val="04F574FF"/>
    <w:rsid w:val="04F72882"/>
    <w:rsid w:val="04FF212C"/>
    <w:rsid w:val="05235E1B"/>
    <w:rsid w:val="052D0A47"/>
    <w:rsid w:val="052E656D"/>
    <w:rsid w:val="053E0EA6"/>
    <w:rsid w:val="053E47A5"/>
    <w:rsid w:val="053F247C"/>
    <w:rsid w:val="05595CE0"/>
    <w:rsid w:val="057C377D"/>
    <w:rsid w:val="05812B41"/>
    <w:rsid w:val="05AA653C"/>
    <w:rsid w:val="05C72C4A"/>
    <w:rsid w:val="05CB2336"/>
    <w:rsid w:val="05D15877"/>
    <w:rsid w:val="05D215EF"/>
    <w:rsid w:val="05D2339D"/>
    <w:rsid w:val="05D37841"/>
    <w:rsid w:val="05DB04A3"/>
    <w:rsid w:val="05E530D0"/>
    <w:rsid w:val="06127C3D"/>
    <w:rsid w:val="061A4B24"/>
    <w:rsid w:val="06231E4A"/>
    <w:rsid w:val="06253E14"/>
    <w:rsid w:val="0633208D"/>
    <w:rsid w:val="06587D46"/>
    <w:rsid w:val="067032E2"/>
    <w:rsid w:val="067E3A29"/>
    <w:rsid w:val="06856661"/>
    <w:rsid w:val="06896151"/>
    <w:rsid w:val="069114AA"/>
    <w:rsid w:val="06AE7966"/>
    <w:rsid w:val="06B07B82"/>
    <w:rsid w:val="06DD649D"/>
    <w:rsid w:val="06EC66E0"/>
    <w:rsid w:val="06F04422"/>
    <w:rsid w:val="07020C1A"/>
    <w:rsid w:val="0709089A"/>
    <w:rsid w:val="071C5217"/>
    <w:rsid w:val="071D4AEC"/>
    <w:rsid w:val="07210A39"/>
    <w:rsid w:val="072242D3"/>
    <w:rsid w:val="072440CC"/>
    <w:rsid w:val="072C25C9"/>
    <w:rsid w:val="0737795B"/>
    <w:rsid w:val="073F4A62"/>
    <w:rsid w:val="07442078"/>
    <w:rsid w:val="076C53FA"/>
    <w:rsid w:val="076D22AC"/>
    <w:rsid w:val="0784404A"/>
    <w:rsid w:val="078608E3"/>
    <w:rsid w:val="07941252"/>
    <w:rsid w:val="07A25DD3"/>
    <w:rsid w:val="07A64AE1"/>
    <w:rsid w:val="07B55348"/>
    <w:rsid w:val="07EA70C4"/>
    <w:rsid w:val="07F0083A"/>
    <w:rsid w:val="08687FE8"/>
    <w:rsid w:val="08935065"/>
    <w:rsid w:val="08997D8A"/>
    <w:rsid w:val="08A76D63"/>
    <w:rsid w:val="08AD2074"/>
    <w:rsid w:val="08BB45BC"/>
    <w:rsid w:val="08C6368D"/>
    <w:rsid w:val="08D306C7"/>
    <w:rsid w:val="08D538D0"/>
    <w:rsid w:val="08D77648"/>
    <w:rsid w:val="08E04023"/>
    <w:rsid w:val="08EE4992"/>
    <w:rsid w:val="09077801"/>
    <w:rsid w:val="091C32AD"/>
    <w:rsid w:val="09212671"/>
    <w:rsid w:val="0926010A"/>
    <w:rsid w:val="09664528"/>
    <w:rsid w:val="09970B85"/>
    <w:rsid w:val="09975029"/>
    <w:rsid w:val="09AC1C5B"/>
    <w:rsid w:val="09AD03A9"/>
    <w:rsid w:val="09CE174C"/>
    <w:rsid w:val="09E613EC"/>
    <w:rsid w:val="09EA6F07"/>
    <w:rsid w:val="09F23B8C"/>
    <w:rsid w:val="09FE29B2"/>
    <w:rsid w:val="0A1C108A"/>
    <w:rsid w:val="0A2148F3"/>
    <w:rsid w:val="0A391C3C"/>
    <w:rsid w:val="0A3D172D"/>
    <w:rsid w:val="0A3E680D"/>
    <w:rsid w:val="0A831432"/>
    <w:rsid w:val="0A9B6453"/>
    <w:rsid w:val="0AAB338B"/>
    <w:rsid w:val="0AAF1EFF"/>
    <w:rsid w:val="0ABF0394"/>
    <w:rsid w:val="0AC27E84"/>
    <w:rsid w:val="0AD84599"/>
    <w:rsid w:val="0B05734A"/>
    <w:rsid w:val="0B0E131B"/>
    <w:rsid w:val="0B115FB9"/>
    <w:rsid w:val="0B1A381C"/>
    <w:rsid w:val="0B352404"/>
    <w:rsid w:val="0B386398"/>
    <w:rsid w:val="0B536D2E"/>
    <w:rsid w:val="0B5C2086"/>
    <w:rsid w:val="0B6727D9"/>
    <w:rsid w:val="0B674587"/>
    <w:rsid w:val="0B6B4077"/>
    <w:rsid w:val="0B6E5916"/>
    <w:rsid w:val="0B745622"/>
    <w:rsid w:val="0B76679F"/>
    <w:rsid w:val="0B7F5D75"/>
    <w:rsid w:val="0BB24C22"/>
    <w:rsid w:val="0BE45BD8"/>
    <w:rsid w:val="0BF202F5"/>
    <w:rsid w:val="0BFE313E"/>
    <w:rsid w:val="0C02649C"/>
    <w:rsid w:val="0C0A3890"/>
    <w:rsid w:val="0C1E6205"/>
    <w:rsid w:val="0C28640C"/>
    <w:rsid w:val="0C3C5A14"/>
    <w:rsid w:val="0C41302A"/>
    <w:rsid w:val="0C5A4DAC"/>
    <w:rsid w:val="0C874EE1"/>
    <w:rsid w:val="0C8A677F"/>
    <w:rsid w:val="0CAA0BCF"/>
    <w:rsid w:val="0CC04897"/>
    <w:rsid w:val="0CD520F0"/>
    <w:rsid w:val="0CD67C16"/>
    <w:rsid w:val="0CD81BE1"/>
    <w:rsid w:val="0D0C53E6"/>
    <w:rsid w:val="0D1C7D1F"/>
    <w:rsid w:val="0D2210AE"/>
    <w:rsid w:val="0D2766C4"/>
    <w:rsid w:val="0D6B6E82"/>
    <w:rsid w:val="0D9D0734"/>
    <w:rsid w:val="0DA90E87"/>
    <w:rsid w:val="0DAF0B93"/>
    <w:rsid w:val="0DB241E0"/>
    <w:rsid w:val="0DB74AC1"/>
    <w:rsid w:val="0DC12F25"/>
    <w:rsid w:val="0DC14423"/>
    <w:rsid w:val="0DC83A03"/>
    <w:rsid w:val="0DCD1019"/>
    <w:rsid w:val="0DE10B00"/>
    <w:rsid w:val="0DEF71E2"/>
    <w:rsid w:val="0E0D58BA"/>
    <w:rsid w:val="0E0F1632"/>
    <w:rsid w:val="0E342E47"/>
    <w:rsid w:val="0E460DCC"/>
    <w:rsid w:val="0E464928"/>
    <w:rsid w:val="0E651252"/>
    <w:rsid w:val="0E653000"/>
    <w:rsid w:val="0E6D45AA"/>
    <w:rsid w:val="0E72396F"/>
    <w:rsid w:val="0E796AAB"/>
    <w:rsid w:val="0E7C0027"/>
    <w:rsid w:val="0E7F6315"/>
    <w:rsid w:val="0E92317E"/>
    <w:rsid w:val="0E9543D1"/>
    <w:rsid w:val="0EA33B28"/>
    <w:rsid w:val="0EB36461"/>
    <w:rsid w:val="0EB45D35"/>
    <w:rsid w:val="0EBD75FE"/>
    <w:rsid w:val="0EC817E1"/>
    <w:rsid w:val="0ECA5559"/>
    <w:rsid w:val="0ED53B2A"/>
    <w:rsid w:val="0EF600FC"/>
    <w:rsid w:val="0F096081"/>
    <w:rsid w:val="0F1B5913"/>
    <w:rsid w:val="0F2442A2"/>
    <w:rsid w:val="0F3D21CF"/>
    <w:rsid w:val="0F4C0664"/>
    <w:rsid w:val="0F5A5835"/>
    <w:rsid w:val="0F9D4A1B"/>
    <w:rsid w:val="0FA638D0"/>
    <w:rsid w:val="0FAB538A"/>
    <w:rsid w:val="0FD33C3D"/>
    <w:rsid w:val="0FE8213B"/>
    <w:rsid w:val="0FF52AA9"/>
    <w:rsid w:val="10047D52"/>
    <w:rsid w:val="10150A56"/>
    <w:rsid w:val="10240C99"/>
    <w:rsid w:val="102723E9"/>
    <w:rsid w:val="102B64CB"/>
    <w:rsid w:val="107439CE"/>
    <w:rsid w:val="1090632E"/>
    <w:rsid w:val="109220A6"/>
    <w:rsid w:val="109B71AD"/>
    <w:rsid w:val="10A92DD3"/>
    <w:rsid w:val="10AF4A06"/>
    <w:rsid w:val="10BD54A5"/>
    <w:rsid w:val="10C55FD8"/>
    <w:rsid w:val="10C85AC8"/>
    <w:rsid w:val="11036B00"/>
    <w:rsid w:val="11082369"/>
    <w:rsid w:val="112F5B47"/>
    <w:rsid w:val="11357D2A"/>
    <w:rsid w:val="113849FC"/>
    <w:rsid w:val="113A4C18"/>
    <w:rsid w:val="113D2012"/>
    <w:rsid w:val="11457119"/>
    <w:rsid w:val="1147614B"/>
    <w:rsid w:val="116E48C1"/>
    <w:rsid w:val="11785740"/>
    <w:rsid w:val="11845E93"/>
    <w:rsid w:val="11867E5D"/>
    <w:rsid w:val="11A2456B"/>
    <w:rsid w:val="11AE5258"/>
    <w:rsid w:val="11B12A00"/>
    <w:rsid w:val="11B30526"/>
    <w:rsid w:val="11DA1F57"/>
    <w:rsid w:val="11DF30C9"/>
    <w:rsid w:val="11FA6155"/>
    <w:rsid w:val="12130FC5"/>
    <w:rsid w:val="12371157"/>
    <w:rsid w:val="12483364"/>
    <w:rsid w:val="127001C5"/>
    <w:rsid w:val="12771554"/>
    <w:rsid w:val="127759F8"/>
    <w:rsid w:val="127A0C92"/>
    <w:rsid w:val="127F48AC"/>
    <w:rsid w:val="129E4D32"/>
    <w:rsid w:val="12AD766B"/>
    <w:rsid w:val="12B91B6C"/>
    <w:rsid w:val="12BA7692"/>
    <w:rsid w:val="12BC165D"/>
    <w:rsid w:val="12CC5D44"/>
    <w:rsid w:val="12DE7825"/>
    <w:rsid w:val="12E3308D"/>
    <w:rsid w:val="12EF558E"/>
    <w:rsid w:val="13021765"/>
    <w:rsid w:val="13037AFF"/>
    <w:rsid w:val="13453400"/>
    <w:rsid w:val="13456351"/>
    <w:rsid w:val="134C0C32"/>
    <w:rsid w:val="137B79E1"/>
    <w:rsid w:val="137D0DEC"/>
    <w:rsid w:val="13833F28"/>
    <w:rsid w:val="13A03104"/>
    <w:rsid w:val="13E470BD"/>
    <w:rsid w:val="13E62E35"/>
    <w:rsid w:val="14065285"/>
    <w:rsid w:val="14223741"/>
    <w:rsid w:val="143F42F3"/>
    <w:rsid w:val="144731A8"/>
    <w:rsid w:val="1457788F"/>
    <w:rsid w:val="14717C9A"/>
    <w:rsid w:val="147F2942"/>
    <w:rsid w:val="14AF7789"/>
    <w:rsid w:val="14BF5434"/>
    <w:rsid w:val="14BF71E2"/>
    <w:rsid w:val="14D50D33"/>
    <w:rsid w:val="14EF1875"/>
    <w:rsid w:val="14F50E56"/>
    <w:rsid w:val="150B1D24"/>
    <w:rsid w:val="151E65FF"/>
    <w:rsid w:val="152030DE"/>
    <w:rsid w:val="1537321C"/>
    <w:rsid w:val="154020D1"/>
    <w:rsid w:val="15681628"/>
    <w:rsid w:val="159D7523"/>
    <w:rsid w:val="15A840F3"/>
    <w:rsid w:val="15C9656A"/>
    <w:rsid w:val="15FB249C"/>
    <w:rsid w:val="15FF3D3A"/>
    <w:rsid w:val="1602382A"/>
    <w:rsid w:val="16565924"/>
    <w:rsid w:val="16640041"/>
    <w:rsid w:val="16646293"/>
    <w:rsid w:val="16685D83"/>
    <w:rsid w:val="167C182F"/>
    <w:rsid w:val="167D1103"/>
    <w:rsid w:val="167D2FDD"/>
    <w:rsid w:val="168B406D"/>
    <w:rsid w:val="169052DA"/>
    <w:rsid w:val="16AE5760"/>
    <w:rsid w:val="16AE750E"/>
    <w:rsid w:val="16B40FC8"/>
    <w:rsid w:val="16BE3BF5"/>
    <w:rsid w:val="16C46D32"/>
    <w:rsid w:val="16D84122"/>
    <w:rsid w:val="16E1737A"/>
    <w:rsid w:val="16E3540A"/>
    <w:rsid w:val="16E442B3"/>
    <w:rsid w:val="1711641B"/>
    <w:rsid w:val="1719707D"/>
    <w:rsid w:val="17215F32"/>
    <w:rsid w:val="172872C1"/>
    <w:rsid w:val="17457E73"/>
    <w:rsid w:val="174C1201"/>
    <w:rsid w:val="174F6F43"/>
    <w:rsid w:val="176821F4"/>
    <w:rsid w:val="17710C68"/>
    <w:rsid w:val="177C760C"/>
    <w:rsid w:val="177E1C86"/>
    <w:rsid w:val="179B7A92"/>
    <w:rsid w:val="17AD77C6"/>
    <w:rsid w:val="17CB7119"/>
    <w:rsid w:val="17D2722C"/>
    <w:rsid w:val="17FB49D5"/>
    <w:rsid w:val="18041ADC"/>
    <w:rsid w:val="18253800"/>
    <w:rsid w:val="182E6B59"/>
    <w:rsid w:val="187C5B16"/>
    <w:rsid w:val="189246B5"/>
    <w:rsid w:val="18A706B9"/>
    <w:rsid w:val="18C272A1"/>
    <w:rsid w:val="18CB43A7"/>
    <w:rsid w:val="18DA283C"/>
    <w:rsid w:val="18F733EE"/>
    <w:rsid w:val="18F90F15"/>
    <w:rsid w:val="19197809"/>
    <w:rsid w:val="192D6E10"/>
    <w:rsid w:val="1934019F"/>
    <w:rsid w:val="19373862"/>
    <w:rsid w:val="19520625"/>
    <w:rsid w:val="19526877"/>
    <w:rsid w:val="195E2798"/>
    <w:rsid w:val="19D2300F"/>
    <w:rsid w:val="1A0214BE"/>
    <w:rsid w:val="1A0E5C74"/>
    <w:rsid w:val="1A197394"/>
    <w:rsid w:val="1A352420"/>
    <w:rsid w:val="1A512FD2"/>
    <w:rsid w:val="1A5D54D3"/>
    <w:rsid w:val="1A5F124B"/>
    <w:rsid w:val="1A6124EF"/>
    <w:rsid w:val="1A710493"/>
    <w:rsid w:val="1AB33908"/>
    <w:rsid w:val="1ADA2FC8"/>
    <w:rsid w:val="1AE259D8"/>
    <w:rsid w:val="1AE35507"/>
    <w:rsid w:val="1AEB2ADF"/>
    <w:rsid w:val="1B3E3557"/>
    <w:rsid w:val="1B636B19"/>
    <w:rsid w:val="1B6805D3"/>
    <w:rsid w:val="1B7E1468"/>
    <w:rsid w:val="1B825739"/>
    <w:rsid w:val="1B83540D"/>
    <w:rsid w:val="1BA85854"/>
    <w:rsid w:val="1BC17CE4"/>
    <w:rsid w:val="1BCC0B62"/>
    <w:rsid w:val="1BDD4B1E"/>
    <w:rsid w:val="1BE718C7"/>
    <w:rsid w:val="1C146065"/>
    <w:rsid w:val="1C4032FE"/>
    <w:rsid w:val="1C406E5A"/>
    <w:rsid w:val="1C495921"/>
    <w:rsid w:val="1C744D56"/>
    <w:rsid w:val="1C7A6810"/>
    <w:rsid w:val="1C7B7E93"/>
    <w:rsid w:val="1C9C6787"/>
    <w:rsid w:val="1CA05B4B"/>
    <w:rsid w:val="1CA90EA4"/>
    <w:rsid w:val="1CAA6093"/>
    <w:rsid w:val="1CBF0268"/>
    <w:rsid w:val="1CD770EC"/>
    <w:rsid w:val="1CE43C8A"/>
    <w:rsid w:val="1D183933"/>
    <w:rsid w:val="1D1B3B0E"/>
    <w:rsid w:val="1D210A3A"/>
    <w:rsid w:val="1D214EDE"/>
    <w:rsid w:val="1D4A4435"/>
    <w:rsid w:val="1D524C10"/>
    <w:rsid w:val="1D61177E"/>
    <w:rsid w:val="1D7E7C3A"/>
    <w:rsid w:val="1D86436A"/>
    <w:rsid w:val="1D8D4321"/>
    <w:rsid w:val="1D9C27B6"/>
    <w:rsid w:val="1DAA4ED3"/>
    <w:rsid w:val="1DC53ABB"/>
    <w:rsid w:val="1DC835AB"/>
    <w:rsid w:val="1DE2466D"/>
    <w:rsid w:val="1E206F43"/>
    <w:rsid w:val="1E2F7187"/>
    <w:rsid w:val="1E340C41"/>
    <w:rsid w:val="1E401394"/>
    <w:rsid w:val="1E4E3AB1"/>
    <w:rsid w:val="1E51534F"/>
    <w:rsid w:val="1E5310C7"/>
    <w:rsid w:val="1E6908EA"/>
    <w:rsid w:val="1E766B63"/>
    <w:rsid w:val="1E9B2A6E"/>
    <w:rsid w:val="1EAC07D7"/>
    <w:rsid w:val="1EBA1146"/>
    <w:rsid w:val="1EC45B21"/>
    <w:rsid w:val="1EC73863"/>
    <w:rsid w:val="1ED63AA6"/>
    <w:rsid w:val="1EDF295B"/>
    <w:rsid w:val="1F046865"/>
    <w:rsid w:val="1F0A70F1"/>
    <w:rsid w:val="1F130856"/>
    <w:rsid w:val="1F1D16D5"/>
    <w:rsid w:val="1F4536E0"/>
    <w:rsid w:val="1F525822"/>
    <w:rsid w:val="1F58270D"/>
    <w:rsid w:val="1F5D7D23"/>
    <w:rsid w:val="1F5F1CED"/>
    <w:rsid w:val="1F7237CF"/>
    <w:rsid w:val="1F770DE5"/>
    <w:rsid w:val="1F8D0609"/>
    <w:rsid w:val="1FA96FA3"/>
    <w:rsid w:val="1FB82BC8"/>
    <w:rsid w:val="1FE31481"/>
    <w:rsid w:val="1FF468DA"/>
    <w:rsid w:val="200B6E05"/>
    <w:rsid w:val="200F101E"/>
    <w:rsid w:val="200F54C2"/>
    <w:rsid w:val="201B5C14"/>
    <w:rsid w:val="202D1DEC"/>
    <w:rsid w:val="2039253E"/>
    <w:rsid w:val="204607B7"/>
    <w:rsid w:val="204A02A8"/>
    <w:rsid w:val="204D7D98"/>
    <w:rsid w:val="205331F0"/>
    <w:rsid w:val="20690166"/>
    <w:rsid w:val="207B2DC6"/>
    <w:rsid w:val="20803CC9"/>
    <w:rsid w:val="209239FD"/>
    <w:rsid w:val="20B47E17"/>
    <w:rsid w:val="20DA3F99"/>
    <w:rsid w:val="20E71F9A"/>
    <w:rsid w:val="20E97AC1"/>
    <w:rsid w:val="20EA2A65"/>
    <w:rsid w:val="20EF2BFD"/>
    <w:rsid w:val="210112AE"/>
    <w:rsid w:val="212F12B7"/>
    <w:rsid w:val="214E2A84"/>
    <w:rsid w:val="21817CF9"/>
    <w:rsid w:val="21884BA0"/>
    <w:rsid w:val="219519F6"/>
    <w:rsid w:val="2197576F"/>
    <w:rsid w:val="219E6AFD"/>
    <w:rsid w:val="21A659B2"/>
    <w:rsid w:val="21B55BF5"/>
    <w:rsid w:val="21DE15EF"/>
    <w:rsid w:val="22105521"/>
    <w:rsid w:val="2217240B"/>
    <w:rsid w:val="22180900"/>
    <w:rsid w:val="222039B6"/>
    <w:rsid w:val="2228094B"/>
    <w:rsid w:val="222B5EB7"/>
    <w:rsid w:val="224A27E1"/>
    <w:rsid w:val="227635D6"/>
    <w:rsid w:val="22794E74"/>
    <w:rsid w:val="22AF6B26"/>
    <w:rsid w:val="22BB723B"/>
    <w:rsid w:val="22C87E24"/>
    <w:rsid w:val="22C95DFC"/>
    <w:rsid w:val="22EE06E2"/>
    <w:rsid w:val="22F84FC6"/>
    <w:rsid w:val="22FD3CF7"/>
    <w:rsid w:val="23250B58"/>
    <w:rsid w:val="23411E36"/>
    <w:rsid w:val="234D0B5D"/>
    <w:rsid w:val="235C6C70"/>
    <w:rsid w:val="23614286"/>
    <w:rsid w:val="23CC5B62"/>
    <w:rsid w:val="23CD510E"/>
    <w:rsid w:val="24170DE9"/>
    <w:rsid w:val="243472A5"/>
    <w:rsid w:val="2440076D"/>
    <w:rsid w:val="24A563F4"/>
    <w:rsid w:val="24B228BF"/>
    <w:rsid w:val="24C15199"/>
    <w:rsid w:val="24CE288D"/>
    <w:rsid w:val="24EF7670"/>
    <w:rsid w:val="24F46A34"/>
    <w:rsid w:val="25034EC9"/>
    <w:rsid w:val="251946ED"/>
    <w:rsid w:val="25777D91"/>
    <w:rsid w:val="25781413"/>
    <w:rsid w:val="257858B7"/>
    <w:rsid w:val="258506D6"/>
    <w:rsid w:val="258B383C"/>
    <w:rsid w:val="259455FA"/>
    <w:rsid w:val="259719F3"/>
    <w:rsid w:val="25AB17E9"/>
    <w:rsid w:val="25AD5EB4"/>
    <w:rsid w:val="25BF5294"/>
    <w:rsid w:val="25C2759F"/>
    <w:rsid w:val="25C63DCF"/>
    <w:rsid w:val="25C74149"/>
    <w:rsid w:val="25DC7BF4"/>
    <w:rsid w:val="25DE267C"/>
    <w:rsid w:val="25E46AA9"/>
    <w:rsid w:val="25E66CC5"/>
    <w:rsid w:val="25FA62CC"/>
    <w:rsid w:val="26143832"/>
    <w:rsid w:val="262275D1"/>
    <w:rsid w:val="263712CE"/>
    <w:rsid w:val="264B4D7A"/>
    <w:rsid w:val="264D6D44"/>
    <w:rsid w:val="26644EA7"/>
    <w:rsid w:val="266A3452"/>
    <w:rsid w:val="26977FBF"/>
    <w:rsid w:val="26AF355A"/>
    <w:rsid w:val="26B50445"/>
    <w:rsid w:val="26CD1C32"/>
    <w:rsid w:val="26DA55FB"/>
    <w:rsid w:val="26DC11F6"/>
    <w:rsid w:val="26EC191F"/>
    <w:rsid w:val="26F251F5"/>
    <w:rsid w:val="270C62B7"/>
    <w:rsid w:val="271E5FEA"/>
    <w:rsid w:val="272F7095"/>
    <w:rsid w:val="276B56D3"/>
    <w:rsid w:val="276E687B"/>
    <w:rsid w:val="277125BE"/>
    <w:rsid w:val="27802801"/>
    <w:rsid w:val="278A123C"/>
    <w:rsid w:val="279F537D"/>
    <w:rsid w:val="27CB7F20"/>
    <w:rsid w:val="27D52B4D"/>
    <w:rsid w:val="27D843EB"/>
    <w:rsid w:val="27EE00B2"/>
    <w:rsid w:val="27FC457D"/>
    <w:rsid w:val="2802590C"/>
    <w:rsid w:val="280451E0"/>
    <w:rsid w:val="280E7BD2"/>
    <w:rsid w:val="28153891"/>
    <w:rsid w:val="28177609"/>
    <w:rsid w:val="281C077C"/>
    <w:rsid w:val="28245427"/>
    <w:rsid w:val="28247630"/>
    <w:rsid w:val="282615FA"/>
    <w:rsid w:val="283E4B96"/>
    <w:rsid w:val="28414686"/>
    <w:rsid w:val="2849353B"/>
    <w:rsid w:val="284D6B87"/>
    <w:rsid w:val="28550131"/>
    <w:rsid w:val="28612632"/>
    <w:rsid w:val="28757E8C"/>
    <w:rsid w:val="287E4F92"/>
    <w:rsid w:val="28887BBF"/>
    <w:rsid w:val="28AB1AFF"/>
    <w:rsid w:val="28CB21A2"/>
    <w:rsid w:val="28E62B38"/>
    <w:rsid w:val="28F96D0F"/>
    <w:rsid w:val="290B7A2E"/>
    <w:rsid w:val="292A6EC8"/>
    <w:rsid w:val="293B10D5"/>
    <w:rsid w:val="2944442E"/>
    <w:rsid w:val="294550C5"/>
    <w:rsid w:val="29493E9D"/>
    <w:rsid w:val="294D2BB7"/>
    <w:rsid w:val="294F2293"/>
    <w:rsid w:val="29606D8E"/>
    <w:rsid w:val="2964062C"/>
    <w:rsid w:val="29787C34"/>
    <w:rsid w:val="29927747"/>
    <w:rsid w:val="29A749BD"/>
    <w:rsid w:val="29C9048F"/>
    <w:rsid w:val="29CB06AB"/>
    <w:rsid w:val="2A0108B7"/>
    <w:rsid w:val="2A04596B"/>
    <w:rsid w:val="2A0E67EA"/>
    <w:rsid w:val="2A133E00"/>
    <w:rsid w:val="2A1536D4"/>
    <w:rsid w:val="2A1A0CEB"/>
    <w:rsid w:val="2A202079"/>
    <w:rsid w:val="2A30050E"/>
    <w:rsid w:val="2A3B6D1B"/>
    <w:rsid w:val="2A411154"/>
    <w:rsid w:val="2A506E02"/>
    <w:rsid w:val="2A526D38"/>
    <w:rsid w:val="2A88659C"/>
    <w:rsid w:val="2A954815"/>
    <w:rsid w:val="2AD0584D"/>
    <w:rsid w:val="2AE80DE9"/>
    <w:rsid w:val="2AEE4B12"/>
    <w:rsid w:val="2AFE685E"/>
    <w:rsid w:val="2B027774"/>
    <w:rsid w:val="2B0D0850"/>
    <w:rsid w:val="2B116592"/>
    <w:rsid w:val="2B122D8D"/>
    <w:rsid w:val="2B193698"/>
    <w:rsid w:val="2B1C4F36"/>
    <w:rsid w:val="2B2160A9"/>
    <w:rsid w:val="2B3202B6"/>
    <w:rsid w:val="2B361B54"/>
    <w:rsid w:val="2B367DA6"/>
    <w:rsid w:val="2B400C25"/>
    <w:rsid w:val="2B4714A0"/>
    <w:rsid w:val="2B606BD1"/>
    <w:rsid w:val="2B6C5576"/>
    <w:rsid w:val="2B717030"/>
    <w:rsid w:val="2B74267D"/>
    <w:rsid w:val="2B93739B"/>
    <w:rsid w:val="2B994370"/>
    <w:rsid w:val="2BA50A88"/>
    <w:rsid w:val="2BB60EE7"/>
    <w:rsid w:val="2BC034DB"/>
    <w:rsid w:val="2BD819BD"/>
    <w:rsid w:val="2BEF4305"/>
    <w:rsid w:val="2C077995"/>
    <w:rsid w:val="2C235EB7"/>
    <w:rsid w:val="2C2B5431"/>
    <w:rsid w:val="2C3C763E"/>
    <w:rsid w:val="2C610E53"/>
    <w:rsid w:val="2C646B95"/>
    <w:rsid w:val="2C6646BB"/>
    <w:rsid w:val="2C83526D"/>
    <w:rsid w:val="2C9A0B92"/>
    <w:rsid w:val="2C9F3729"/>
    <w:rsid w:val="2CB73169"/>
    <w:rsid w:val="2CE47D2A"/>
    <w:rsid w:val="2CED0939"/>
    <w:rsid w:val="2CED6B8B"/>
    <w:rsid w:val="2CF27CFD"/>
    <w:rsid w:val="2CFA3055"/>
    <w:rsid w:val="2D012636"/>
    <w:rsid w:val="2D016C6B"/>
    <w:rsid w:val="2D0B5263"/>
    <w:rsid w:val="2D0D2D89"/>
    <w:rsid w:val="2D2B1461"/>
    <w:rsid w:val="2D2D1B91"/>
    <w:rsid w:val="2D404F0C"/>
    <w:rsid w:val="2D5B3AF4"/>
    <w:rsid w:val="2D8D7A26"/>
    <w:rsid w:val="2DA2135E"/>
    <w:rsid w:val="2DB9081B"/>
    <w:rsid w:val="2DCB70CE"/>
    <w:rsid w:val="2DCE2518"/>
    <w:rsid w:val="2DD218DC"/>
    <w:rsid w:val="2DDB69E3"/>
    <w:rsid w:val="2DEF7457"/>
    <w:rsid w:val="2E045F3A"/>
    <w:rsid w:val="2E093AD9"/>
    <w:rsid w:val="2E1B451A"/>
    <w:rsid w:val="2E2A34C6"/>
    <w:rsid w:val="2E426A62"/>
    <w:rsid w:val="2E6C48D9"/>
    <w:rsid w:val="2E786928"/>
    <w:rsid w:val="2E8F4F19"/>
    <w:rsid w:val="2EA63495"/>
    <w:rsid w:val="2EB57234"/>
    <w:rsid w:val="2ED7364E"/>
    <w:rsid w:val="2EF35FAE"/>
    <w:rsid w:val="2EFA6A37"/>
    <w:rsid w:val="2F167CA6"/>
    <w:rsid w:val="2F196260"/>
    <w:rsid w:val="2F1A353B"/>
    <w:rsid w:val="2F452CAE"/>
    <w:rsid w:val="2F542EF1"/>
    <w:rsid w:val="2F5D70AC"/>
    <w:rsid w:val="2F8B61E7"/>
    <w:rsid w:val="2FA36C75"/>
    <w:rsid w:val="2FA84FEB"/>
    <w:rsid w:val="2FAA2B11"/>
    <w:rsid w:val="2FBE036A"/>
    <w:rsid w:val="302428C3"/>
    <w:rsid w:val="30297EDA"/>
    <w:rsid w:val="302C5C1C"/>
    <w:rsid w:val="303074BA"/>
    <w:rsid w:val="30405223"/>
    <w:rsid w:val="306929CC"/>
    <w:rsid w:val="306B405E"/>
    <w:rsid w:val="306C7DC6"/>
    <w:rsid w:val="307F1BC0"/>
    <w:rsid w:val="30832D34"/>
    <w:rsid w:val="30872E52"/>
    <w:rsid w:val="308C4B30"/>
    <w:rsid w:val="30A75681"/>
    <w:rsid w:val="30C714A1"/>
    <w:rsid w:val="30F41419"/>
    <w:rsid w:val="30FC114A"/>
    <w:rsid w:val="310D77FB"/>
    <w:rsid w:val="310E0E7D"/>
    <w:rsid w:val="314A68DF"/>
    <w:rsid w:val="31523460"/>
    <w:rsid w:val="315620B8"/>
    <w:rsid w:val="316311C9"/>
    <w:rsid w:val="317F1D7B"/>
    <w:rsid w:val="31841AC8"/>
    <w:rsid w:val="31A737AC"/>
    <w:rsid w:val="31A87524"/>
    <w:rsid w:val="31B00187"/>
    <w:rsid w:val="31CB6D6E"/>
    <w:rsid w:val="31D200FD"/>
    <w:rsid w:val="31E64732"/>
    <w:rsid w:val="31EA5447"/>
    <w:rsid w:val="32140715"/>
    <w:rsid w:val="32230959"/>
    <w:rsid w:val="324059AE"/>
    <w:rsid w:val="326351F9"/>
    <w:rsid w:val="327D078A"/>
    <w:rsid w:val="3284589B"/>
    <w:rsid w:val="32933D30"/>
    <w:rsid w:val="32B31CDC"/>
    <w:rsid w:val="32C75788"/>
    <w:rsid w:val="32CC7242"/>
    <w:rsid w:val="32E165BD"/>
    <w:rsid w:val="32FA3DAF"/>
    <w:rsid w:val="334F40FB"/>
    <w:rsid w:val="33641229"/>
    <w:rsid w:val="337B243F"/>
    <w:rsid w:val="338673F1"/>
    <w:rsid w:val="339D48A3"/>
    <w:rsid w:val="33BF2903"/>
    <w:rsid w:val="33CF6FEA"/>
    <w:rsid w:val="33EA3E24"/>
    <w:rsid w:val="33F64577"/>
    <w:rsid w:val="33FB1B8D"/>
    <w:rsid w:val="34056568"/>
    <w:rsid w:val="34525525"/>
    <w:rsid w:val="346040E6"/>
    <w:rsid w:val="34945B3E"/>
    <w:rsid w:val="34A0589E"/>
    <w:rsid w:val="34A67F96"/>
    <w:rsid w:val="34B0508B"/>
    <w:rsid w:val="34B1049E"/>
    <w:rsid w:val="34DF440A"/>
    <w:rsid w:val="34E502E4"/>
    <w:rsid w:val="34F605A6"/>
    <w:rsid w:val="350031D3"/>
    <w:rsid w:val="350A581B"/>
    <w:rsid w:val="352275ED"/>
    <w:rsid w:val="352E7D40"/>
    <w:rsid w:val="35426A60"/>
    <w:rsid w:val="35571045"/>
    <w:rsid w:val="35586B6B"/>
    <w:rsid w:val="355A1520"/>
    <w:rsid w:val="355E7319"/>
    <w:rsid w:val="35690D78"/>
    <w:rsid w:val="35CE6E2D"/>
    <w:rsid w:val="35DB7EC8"/>
    <w:rsid w:val="35EE2046"/>
    <w:rsid w:val="35F41640"/>
    <w:rsid w:val="362A0508"/>
    <w:rsid w:val="36394BEF"/>
    <w:rsid w:val="364652E8"/>
    <w:rsid w:val="36603F29"/>
    <w:rsid w:val="36653C36"/>
    <w:rsid w:val="366A4DA8"/>
    <w:rsid w:val="36897924"/>
    <w:rsid w:val="369116D0"/>
    <w:rsid w:val="36941E25"/>
    <w:rsid w:val="3699568D"/>
    <w:rsid w:val="369F7E9A"/>
    <w:rsid w:val="36B67FED"/>
    <w:rsid w:val="36C46BAE"/>
    <w:rsid w:val="36CC15BF"/>
    <w:rsid w:val="36D3294D"/>
    <w:rsid w:val="370E607B"/>
    <w:rsid w:val="37112969"/>
    <w:rsid w:val="37180CA8"/>
    <w:rsid w:val="372907BF"/>
    <w:rsid w:val="37294C63"/>
    <w:rsid w:val="373830F8"/>
    <w:rsid w:val="374D6BA3"/>
    <w:rsid w:val="375647D6"/>
    <w:rsid w:val="375D66BB"/>
    <w:rsid w:val="377A726D"/>
    <w:rsid w:val="377E4FAF"/>
    <w:rsid w:val="37893954"/>
    <w:rsid w:val="37971BCD"/>
    <w:rsid w:val="37A75B88"/>
    <w:rsid w:val="37D921E5"/>
    <w:rsid w:val="37F92887"/>
    <w:rsid w:val="37FC2378"/>
    <w:rsid w:val="380C2A2C"/>
    <w:rsid w:val="384B3FA8"/>
    <w:rsid w:val="3854528C"/>
    <w:rsid w:val="38565141"/>
    <w:rsid w:val="38602906"/>
    <w:rsid w:val="389F176C"/>
    <w:rsid w:val="38A00F55"/>
    <w:rsid w:val="38B95B73"/>
    <w:rsid w:val="38C509BB"/>
    <w:rsid w:val="38CF183A"/>
    <w:rsid w:val="38E30E42"/>
    <w:rsid w:val="38EF5A38"/>
    <w:rsid w:val="38F33028"/>
    <w:rsid w:val="39036257"/>
    <w:rsid w:val="390F1199"/>
    <w:rsid w:val="39367F12"/>
    <w:rsid w:val="394538AA"/>
    <w:rsid w:val="39495149"/>
    <w:rsid w:val="394D5E49"/>
    <w:rsid w:val="39553AED"/>
    <w:rsid w:val="3986014B"/>
    <w:rsid w:val="39993E51"/>
    <w:rsid w:val="39AD02F7"/>
    <w:rsid w:val="39B5458C"/>
    <w:rsid w:val="39B60304"/>
    <w:rsid w:val="39DA2245"/>
    <w:rsid w:val="39DA3FF3"/>
    <w:rsid w:val="39DF3CFF"/>
    <w:rsid w:val="39E81075"/>
    <w:rsid w:val="39F71049"/>
    <w:rsid w:val="3A013C75"/>
    <w:rsid w:val="3A12378C"/>
    <w:rsid w:val="3A2B6F44"/>
    <w:rsid w:val="3A322081"/>
    <w:rsid w:val="3A331955"/>
    <w:rsid w:val="3A361B71"/>
    <w:rsid w:val="3A443B62"/>
    <w:rsid w:val="3A456E52"/>
    <w:rsid w:val="3A463AB7"/>
    <w:rsid w:val="3A4B6C9E"/>
    <w:rsid w:val="3A631110"/>
    <w:rsid w:val="3A7C32FC"/>
    <w:rsid w:val="3A854074"/>
    <w:rsid w:val="3AC70A1B"/>
    <w:rsid w:val="3AD66EB0"/>
    <w:rsid w:val="3AEA64B7"/>
    <w:rsid w:val="3AF92B9E"/>
    <w:rsid w:val="3AFA0DF0"/>
    <w:rsid w:val="3B236ECD"/>
    <w:rsid w:val="3B337E5E"/>
    <w:rsid w:val="3B343BD6"/>
    <w:rsid w:val="3B3C653D"/>
    <w:rsid w:val="3B497682"/>
    <w:rsid w:val="3B49769C"/>
    <w:rsid w:val="3B53405D"/>
    <w:rsid w:val="3B691AD2"/>
    <w:rsid w:val="3B6E533A"/>
    <w:rsid w:val="3B7F0C6A"/>
    <w:rsid w:val="3B7F30A4"/>
    <w:rsid w:val="3B8561E0"/>
    <w:rsid w:val="3B8B1A48"/>
    <w:rsid w:val="3B9A415A"/>
    <w:rsid w:val="3BA2244B"/>
    <w:rsid w:val="3BB07701"/>
    <w:rsid w:val="3BB2349B"/>
    <w:rsid w:val="3BB865B6"/>
    <w:rsid w:val="3BBF7944"/>
    <w:rsid w:val="3BC82C9D"/>
    <w:rsid w:val="3BEE1F9C"/>
    <w:rsid w:val="3C0D4B53"/>
    <w:rsid w:val="3C2105FF"/>
    <w:rsid w:val="3C372D23"/>
    <w:rsid w:val="3C447E49"/>
    <w:rsid w:val="3C4B380F"/>
    <w:rsid w:val="3C4F6F1A"/>
    <w:rsid w:val="3C511E12"/>
    <w:rsid w:val="3C5F2ED5"/>
    <w:rsid w:val="3C97441D"/>
    <w:rsid w:val="3CA408E8"/>
    <w:rsid w:val="3CA64660"/>
    <w:rsid w:val="3CBD0327"/>
    <w:rsid w:val="3CC14C1F"/>
    <w:rsid w:val="3CD0758C"/>
    <w:rsid w:val="3CDE6FFD"/>
    <w:rsid w:val="3CE55188"/>
    <w:rsid w:val="3CF56BC9"/>
    <w:rsid w:val="3D0A4BEF"/>
    <w:rsid w:val="3D1E4B3E"/>
    <w:rsid w:val="3D1F37E4"/>
    <w:rsid w:val="3D211F38"/>
    <w:rsid w:val="3D235CB1"/>
    <w:rsid w:val="3D31113A"/>
    <w:rsid w:val="3D37175C"/>
    <w:rsid w:val="3D695DB9"/>
    <w:rsid w:val="3D762284"/>
    <w:rsid w:val="3D7D3613"/>
    <w:rsid w:val="3D864BBD"/>
    <w:rsid w:val="3DDD67A7"/>
    <w:rsid w:val="3DE23DBE"/>
    <w:rsid w:val="3E09294E"/>
    <w:rsid w:val="3E1A70B4"/>
    <w:rsid w:val="3E330175"/>
    <w:rsid w:val="3E655E3A"/>
    <w:rsid w:val="3E667746"/>
    <w:rsid w:val="3E885B96"/>
    <w:rsid w:val="3E8E35FE"/>
    <w:rsid w:val="3EB43064"/>
    <w:rsid w:val="3EB92D70"/>
    <w:rsid w:val="3EBA7B5C"/>
    <w:rsid w:val="3ECD4126"/>
    <w:rsid w:val="3EF1250A"/>
    <w:rsid w:val="3F0C66A8"/>
    <w:rsid w:val="3F163D1F"/>
    <w:rsid w:val="3F281CA4"/>
    <w:rsid w:val="3F2B709E"/>
    <w:rsid w:val="3F4500E9"/>
    <w:rsid w:val="3F450160"/>
    <w:rsid w:val="3F4C14EF"/>
    <w:rsid w:val="3F692622"/>
    <w:rsid w:val="3F6D2250"/>
    <w:rsid w:val="3F7153F9"/>
    <w:rsid w:val="3F720A50"/>
    <w:rsid w:val="3F917849"/>
    <w:rsid w:val="3F9B0612"/>
    <w:rsid w:val="3F9D1D4A"/>
    <w:rsid w:val="3FA241A2"/>
    <w:rsid w:val="3FAA4467"/>
    <w:rsid w:val="3FAC01DF"/>
    <w:rsid w:val="3FB4343D"/>
    <w:rsid w:val="3FD85478"/>
    <w:rsid w:val="3FE8461C"/>
    <w:rsid w:val="40155D85"/>
    <w:rsid w:val="403A57EB"/>
    <w:rsid w:val="404B3E9C"/>
    <w:rsid w:val="4061546E"/>
    <w:rsid w:val="4079067E"/>
    <w:rsid w:val="4093139F"/>
    <w:rsid w:val="409343AF"/>
    <w:rsid w:val="409A0980"/>
    <w:rsid w:val="40AC655D"/>
    <w:rsid w:val="40BE01CA"/>
    <w:rsid w:val="40D75730"/>
    <w:rsid w:val="40E63BC5"/>
    <w:rsid w:val="40FA4F7A"/>
    <w:rsid w:val="41362456"/>
    <w:rsid w:val="413C37E5"/>
    <w:rsid w:val="41487F61"/>
    <w:rsid w:val="414A5F02"/>
    <w:rsid w:val="415648A7"/>
    <w:rsid w:val="415A71E1"/>
    <w:rsid w:val="41630D72"/>
    <w:rsid w:val="416D399E"/>
    <w:rsid w:val="419B675D"/>
    <w:rsid w:val="419F484B"/>
    <w:rsid w:val="41AA69A0"/>
    <w:rsid w:val="41B15F81"/>
    <w:rsid w:val="41C31810"/>
    <w:rsid w:val="41E225DE"/>
    <w:rsid w:val="41F8595E"/>
    <w:rsid w:val="420C600C"/>
    <w:rsid w:val="42100EF9"/>
    <w:rsid w:val="4214206C"/>
    <w:rsid w:val="421A3B26"/>
    <w:rsid w:val="421B164C"/>
    <w:rsid w:val="422246E7"/>
    <w:rsid w:val="422B5D33"/>
    <w:rsid w:val="42312D26"/>
    <w:rsid w:val="42454372"/>
    <w:rsid w:val="42573796"/>
    <w:rsid w:val="426E5C20"/>
    <w:rsid w:val="42786A9F"/>
    <w:rsid w:val="428561C6"/>
    <w:rsid w:val="428B67D2"/>
    <w:rsid w:val="428E0070"/>
    <w:rsid w:val="42943344"/>
    <w:rsid w:val="42975177"/>
    <w:rsid w:val="42C615B8"/>
    <w:rsid w:val="42D77C69"/>
    <w:rsid w:val="42FC322C"/>
    <w:rsid w:val="43046BE3"/>
    <w:rsid w:val="43171E14"/>
    <w:rsid w:val="4329542D"/>
    <w:rsid w:val="43484F88"/>
    <w:rsid w:val="435C1F1C"/>
    <w:rsid w:val="437216C9"/>
    <w:rsid w:val="4385588B"/>
    <w:rsid w:val="4387343D"/>
    <w:rsid w:val="43882D11"/>
    <w:rsid w:val="43884ABF"/>
    <w:rsid w:val="43911BC6"/>
    <w:rsid w:val="43972F54"/>
    <w:rsid w:val="439E42E3"/>
    <w:rsid w:val="43A124B3"/>
    <w:rsid w:val="43A538C3"/>
    <w:rsid w:val="43BB4E95"/>
    <w:rsid w:val="43C55D14"/>
    <w:rsid w:val="43D85A47"/>
    <w:rsid w:val="43DE0B83"/>
    <w:rsid w:val="43E97C54"/>
    <w:rsid w:val="43F839F3"/>
    <w:rsid w:val="44022AC4"/>
    <w:rsid w:val="44044A8E"/>
    <w:rsid w:val="44236B1E"/>
    <w:rsid w:val="44244662"/>
    <w:rsid w:val="442B201A"/>
    <w:rsid w:val="444158E6"/>
    <w:rsid w:val="44564BBE"/>
    <w:rsid w:val="44641089"/>
    <w:rsid w:val="446948F1"/>
    <w:rsid w:val="44C11AA6"/>
    <w:rsid w:val="44D04970"/>
    <w:rsid w:val="44D426B2"/>
    <w:rsid w:val="44E346A3"/>
    <w:rsid w:val="44E67CEF"/>
    <w:rsid w:val="44EE4DF6"/>
    <w:rsid w:val="44F3240C"/>
    <w:rsid w:val="45110AAC"/>
    <w:rsid w:val="45123CB8"/>
    <w:rsid w:val="451A208F"/>
    <w:rsid w:val="45350C77"/>
    <w:rsid w:val="45415D40"/>
    <w:rsid w:val="45435142"/>
    <w:rsid w:val="45451DF1"/>
    <w:rsid w:val="45490111"/>
    <w:rsid w:val="455530C7"/>
    <w:rsid w:val="45570447"/>
    <w:rsid w:val="4565330A"/>
    <w:rsid w:val="45682DFA"/>
    <w:rsid w:val="45723C79"/>
    <w:rsid w:val="457378F7"/>
    <w:rsid w:val="45DB537A"/>
    <w:rsid w:val="45DE130F"/>
    <w:rsid w:val="45E00BE3"/>
    <w:rsid w:val="45EF3280"/>
    <w:rsid w:val="45F43872"/>
    <w:rsid w:val="460D5750"/>
    <w:rsid w:val="46113492"/>
    <w:rsid w:val="461B3AA5"/>
    <w:rsid w:val="462C5BD6"/>
    <w:rsid w:val="462E5DF2"/>
    <w:rsid w:val="46362EF9"/>
    <w:rsid w:val="464C0026"/>
    <w:rsid w:val="46590D6C"/>
    <w:rsid w:val="465E4A23"/>
    <w:rsid w:val="4672304E"/>
    <w:rsid w:val="46843C64"/>
    <w:rsid w:val="469F45FA"/>
    <w:rsid w:val="46A460B4"/>
    <w:rsid w:val="46AF05B5"/>
    <w:rsid w:val="46D30747"/>
    <w:rsid w:val="46E14C12"/>
    <w:rsid w:val="470D3C59"/>
    <w:rsid w:val="472B1462"/>
    <w:rsid w:val="473B0E1B"/>
    <w:rsid w:val="473F27FF"/>
    <w:rsid w:val="476017C6"/>
    <w:rsid w:val="476B0980"/>
    <w:rsid w:val="47745A86"/>
    <w:rsid w:val="477A0BC3"/>
    <w:rsid w:val="47811F51"/>
    <w:rsid w:val="47833F1C"/>
    <w:rsid w:val="478E2D76"/>
    <w:rsid w:val="47A65E5C"/>
    <w:rsid w:val="47AB6FCE"/>
    <w:rsid w:val="47B71E17"/>
    <w:rsid w:val="47E67FE2"/>
    <w:rsid w:val="47F0014A"/>
    <w:rsid w:val="481903DC"/>
    <w:rsid w:val="486C0E54"/>
    <w:rsid w:val="48740AF8"/>
    <w:rsid w:val="487B247F"/>
    <w:rsid w:val="48907EB9"/>
    <w:rsid w:val="48B56357"/>
    <w:rsid w:val="48B955C2"/>
    <w:rsid w:val="48B9571B"/>
    <w:rsid w:val="48BA396D"/>
    <w:rsid w:val="48F30C2D"/>
    <w:rsid w:val="48F86243"/>
    <w:rsid w:val="490177EE"/>
    <w:rsid w:val="49025314"/>
    <w:rsid w:val="490270C2"/>
    <w:rsid w:val="490D6193"/>
    <w:rsid w:val="490E1F0B"/>
    <w:rsid w:val="492B090F"/>
    <w:rsid w:val="4932003B"/>
    <w:rsid w:val="49382AE4"/>
    <w:rsid w:val="49417BEA"/>
    <w:rsid w:val="4968786D"/>
    <w:rsid w:val="496E4757"/>
    <w:rsid w:val="496F0BFB"/>
    <w:rsid w:val="49734B65"/>
    <w:rsid w:val="49843F7B"/>
    <w:rsid w:val="498E0956"/>
    <w:rsid w:val="49911DC2"/>
    <w:rsid w:val="499A718B"/>
    <w:rsid w:val="49B52386"/>
    <w:rsid w:val="49DF11B1"/>
    <w:rsid w:val="49EC3FFA"/>
    <w:rsid w:val="49F72751"/>
    <w:rsid w:val="4A1B668D"/>
    <w:rsid w:val="4A1E3C56"/>
    <w:rsid w:val="4A1E617D"/>
    <w:rsid w:val="4A280647"/>
    <w:rsid w:val="4A3730DC"/>
    <w:rsid w:val="4A3B69AF"/>
    <w:rsid w:val="4A421E6C"/>
    <w:rsid w:val="4A730023"/>
    <w:rsid w:val="4A8833F8"/>
    <w:rsid w:val="4A8A619F"/>
    <w:rsid w:val="4AA2290B"/>
    <w:rsid w:val="4AC54EC0"/>
    <w:rsid w:val="4AD46AF0"/>
    <w:rsid w:val="4ADF76BB"/>
    <w:rsid w:val="4AE1272C"/>
    <w:rsid w:val="4AF64A04"/>
    <w:rsid w:val="4B125FF6"/>
    <w:rsid w:val="4B29302C"/>
    <w:rsid w:val="4B2B2900"/>
    <w:rsid w:val="4B3F45FD"/>
    <w:rsid w:val="4B4614E8"/>
    <w:rsid w:val="4B6C4CC7"/>
    <w:rsid w:val="4B7D0C82"/>
    <w:rsid w:val="4B8057E5"/>
    <w:rsid w:val="4B893ACB"/>
    <w:rsid w:val="4B8B339F"/>
    <w:rsid w:val="4B92472D"/>
    <w:rsid w:val="4BA97CC9"/>
    <w:rsid w:val="4BD016F9"/>
    <w:rsid w:val="4BF47196"/>
    <w:rsid w:val="4C0575F5"/>
    <w:rsid w:val="4C0D46FC"/>
    <w:rsid w:val="4C231829"/>
    <w:rsid w:val="4C2B503E"/>
    <w:rsid w:val="4C312198"/>
    <w:rsid w:val="4C3253A4"/>
    <w:rsid w:val="4C481290"/>
    <w:rsid w:val="4C5C4D3B"/>
    <w:rsid w:val="4C63273B"/>
    <w:rsid w:val="4C787DC7"/>
    <w:rsid w:val="4C8449BE"/>
    <w:rsid w:val="4C987D10"/>
    <w:rsid w:val="4CA94424"/>
    <w:rsid w:val="4CAA3CF8"/>
    <w:rsid w:val="4CBE77A4"/>
    <w:rsid w:val="4CC56D84"/>
    <w:rsid w:val="4CD62D3F"/>
    <w:rsid w:val="4CE0771A"/>
    <w:rsid w:val="4CF051AC"/>
    <w:rsid w:val="4D057181"/>
    <w:rsid w:val="4D0C050F"/>
    <w:rsid w:val="4D275349"/>
    <w:rsid w:val="4D331F40"/>
    <w:rsid w:val="4D3B0DF4"/>
    <w:rsid w:val="4D7F6F33"/>
    <w:rsid w:val="4D8409ED"/>
    <w:rsid w:val="4D9549A9"/>
    <w:rsid w:val="4D9D16E6"/>
    <w:rsid w:val="4DB017E2"/>
    <w:rsid w:val="4DB82445"/>
    <w:rsid w:val="4DC25072"/>
    <w:rsid w:val="4DC96400"/>
    <w:rsid w:val="4DE106CB"/>
    <w:rsid w:val="4DEB281B"/>
    <w:rsid w:val="4E10402F"/>
    <w:rsid w:val="4E121B55"/>
    <w:rsid w:val="4E2B2C17"/>
    <w:rsid w:val="4E505C68"/>
    <w:rsid w:val="4E573A0C"/>
    <w:rsid w:val="4E5C1022"/>
    <w:rsid w:val="4E760336"/>
    <w:rsid w:val="4E7C16C5"/>
    <w:rsid w:val="4EAC6FD6"/>
    <w:rsid w:val="4EB250E6"/>
    <w:rsid w:val="4EBE1CDD"/>
    <w:rsid w:val="4EC05A55"/>
    <w:rsid w:val="4ECA0682"/>
    <w:rsid w:val="4ECD0674"/>
    <w:rsid w:val="4EE47996"/>
    <w:rsid w:val="4EE74D90"/>
    <w:rsid w:val="4EEF633A"/>
    <w:rsid w:val="4EFB083B"/>
    <w:rsid w:val="4F082F58"/>
    <w:rsid w:val="4F1D6A04"/>
    <w:rsid w:val="4F2935FA"/>
    <w:rsid w:val="4F495A4B"/>
    <w:rsid w:val="4F587A3C"/>
    <w:rsid w:val="4F6C6BDA"/>
    <w:rsid w:val="4F7E394E"/>
    <w:rsid w:val="4F7F2029"/>
    <w:rsid w:val="4F870321"/>
    <w:rsid w:val="4F9071D6"/>
    <w:rsid w:val="4F9547EC"/>
    <w:rsid w:val="4FE6773D"/>
    <w:rsid w:val="4FF43AC5"/>
    <w:rsid w:val="4FF77255"/>
    <w:rsid w:val="4FFE4A87"/>
    <w:rsid w:val="50000824"/>
    <w:rsid w:val="50106568"/>
    <w:rsid w:val="501222E0"/>
    <w:rsid w:val="501F0559"/>
    <w:rsid w:val="5023629C"/>
    <w:rsid w:val="503A5393"/>
    <w:rsid w:val="503F29AA"/>
    <w:rsid w:val="5043249A"/>
    <w:rsid w:val="505521CD"/>
    <w:rsid w:val="50827466"/>
    <w:rsid w:val="50A078EC"/>
    <w:rsid w:val="50B679A2"/>
    <w:rsid w:val="50D21A70"/>
    <w:rsid w:val="50D457E8"/>
    <w:rsid w:val="50D75B0C"/>
    <w:rsid w:val="50FB4B23"/>
    <w:rsid w:val="51163F32"/>
    <w:rsid w:val="51183927"/>
    <w:rsid w:val="51226553"/>
    <w:rsid w:val="514E7348"/>
    <w:rsid w:val="51516E38"/>
    <w:rsid w:val="5180327A"/>
    <w:rsid w:val="519A433C"/>
    <w:rsid w:val="51AE366B"/>
    <w:rsid w:val="51D823BF"/>
    <w:rsid w:val="51DF0427"/>
    <w:rsid w:val="51E67581"/>
    <w:rsid w:val="51F83758"/>
    <w:rsid w:val="520B3E30"/>
    <w:rsid w:val="521A547C"/>
    <w:rsid w:val="521F6F37"/>
    <w:rsid w:val="5246001F"/>
    <w:rsid w:val="52972F71"/>
    <w:rsid w:val="529F5E1B"/>
    <w:rsid w:val="52B0193D"/>
    <w:rsid w:val="52B633F7"/>
    <w:rsid w:val="52BC29D7"/>
    <w:rsid w:val="52C8312A"/>
    <w:rsid w:val="52DB5A27"/>
    <w:rsid w:val="52DD4E28"/>
    <w:rsid w:val="52DE4AD3"/>
    <w:rsid w:val="52E70521"/>
    <w:rsid w:val="52FB52AE"/>
    <w:rsid w:val="52FE08FA"/>
    <w:rsid w:val="531F04EC"/>
    <w:rsid w:val="532145E9"/>
    <w:rsid w:val="53220A8C"/>
    <w:rsid w:val="532E2213"/>
    <w:rsid w:val="533026AA"/>
    <w:rsid w:val="53487DC7"/>
    <w:rsid w:val="534C78B7"/>
    <w:rsid w:val="534D3630"/>
    <w:rsid w:val="53807561"/>
    <w:rsid w:val="5382152B"/>
    <w:rsid w:val="538708F0"/>
    <w:rsid w:val="538E7D0E"/>
    <w:rsid w:val="53A56FC8"/>
    <w:rsid w:val="53B4545D"/>
    <w:rsid w:val="53B8319F"/>
    <w:rsid w:val="53DF24DA"/>
    <w:rsid w:val="53F65A75"/>
    <w:rsid w:val="53FB308C"/>
    <w:rsid w:val="5416466D"/>
    <w:rsid w:val="541A1764"/>
    <w:rsid w:val="542F214A"/>
    <w:rsid w:val="54302D35"/>
    <w:rsid w:val="54316AAD"/>
    <w:rsid w:val="543640C4"/>
    <w:rsid w:val="543A3BB4"/>
    <w:rsid w:val="54640C31"/>
    <w:rsid w:val="54661645"/>
    <w:rsid w:val="547F3CBD"/>
    <w:rsid w:val="54AA0D3A"/>
    <w:rsid w:val="54AB6860"/>
    <w:rsid w:val="54BB2F47"/>
    <w:rsid w:val="54BE216E"/>
    <w:rsid w:val="54BF40B9"/>
    <w:rsid w:val="54D73AF9"/>
    <w:rsid w:val="54D933CD"/>
    <w:rsid w:val="54DF37FA"/>
    <w:rsid w:val="550D2661"/>
    <w:rsid w:val="550F3292"/>
    <w:rsid w:val="552A3C28"/>
    <w:rsid w:val="55563AD1"/>
    <w:rsid w:val="555D2250"/>
    <w:rsid w:val="558722C8"/>
    <w:rsid w:val="55AC6D33"/>
    <w:rsid w:val="55AD03B6"/>
    <w:rsid w:val="55BD221A"/>
    <w:rsid w:val="55C027DF"/>
    <w:rsid w:val="55CE2806"/>
    <w:rsid w:val="55D63DB0"/>
    <w:rsid w:val="55DB3175"/>
    <w:rsid w:val="55EE4C56"/>
    <w:rsid w:val="55F61D5C"/>
    <w:rsid w:val="56051FA0"/>
    <w:rsid w:val="56222B52"/>
    <w:rsid w:val="562A1B91"/>
    <w:rsid w:val="562B40FC"/>
    <w:rsid w:val="562B5B9A"/>
    <w:rsid w:val="56331D5B"/>
    <w:rsid w:val="5637484F"/>
    <w:rsid w:val="5640122A"/>
    <w:rsid w:val="56570A4D"/>
    <w:rsid w:val="565E627F"/>
    <w:rsid w:val="56867F50"/>
    <w:rsid w:val="568A7075"/>
    <w:rsid w:val="56AB7BA5"/>
    <w:rsid w:val="56AF3861"/>
    <w:rsid w:val="56B85264"/>
    <w:rsid w:val="56CA56C3"/>
    <w:rsid w:val="56CF0F2B"/>
    <w:rsid w:val="56DC53F6"/>
    <w:rsid w:val="56F55B47"/>
    <w:rsid w:val="571406EC"/>
    <w:rsid w:val="5714693E"/>
    <w:rsid w:val="573A37A0"/>
    <w:rsid w:val="573F67D1"/>
    <w:rsid w:val="575C2093"/>
    <w:rsid w:val="576D604E"/>
    <w:rsid w:val="57706229"/>
    <w:rsid w:val="578C2978"/>
    <w:rsid w:val="57BE4AFC"/>
    <w:rsid w:val="57C2639A"/>
    <w:rsid w:val="57CE11E3"/>
    <w:rsid w:val="57CF2865"/>
    <w:rsid w:val="57E07028"/>
    <w:rsid w:val="57E207EA"/>
    <w:rsid w:val="57EC78BB"/>
    <w:rsid w:val="57F549C2"/>
    <w:rsid w:val="580764A3"/>
    <w:rsid w:val="58260F8E"/>
    <w:rsid w:val="582C5F09"/>
    <w:rsid w:val="586C6306"/>
    <w:rsid w:val="58737694"/>
    <w:rsid w:val="587F072F"/>
    <w:rsid w:val="58BA1767"/>
    <w:rsid w:val="59215342"/>
    <w:rsid w:val="5928001D"/>
    <w:rsid w:val="592941F7"/>
    <w:rsid w:val="592A3C50"/>
    <w:rsid w:val="594026BD"/>
    <w:rsid w:val="59460076"/>
    <w:rsid w:val="59515D8A"/>
    <w:rsid w:val="595C637A"/>
    <w:rsid w:val="5960477C"/>
    <w:rsid w:val="596B66F6"/>
    <w:rsid w:val="596C2A61"/>
    <w:rsid w:val="596F6178"/>
    <w:rsid w:val="597E2795"/>
    <w:rsid w:val="59A5674B"/>
    <w:rsid w:val="59AD4E28"/>
    <w:rsid w:val="59BD150F"/>
    <w:rsid w:val="59BE0DE3"/>
    <w:rsid w:val="59C53F20"/>
    <w:rsid w:val="59D535F0"/>
    <w:rsid w:val="5A0228E9"/>
    <w:rsid w:val="5A146C55"/>
    <w:rsid w:val="5A151F73"/>
    <w:rsid w:val="5A582FE6"/>
    <w:rsid w:val="5AA77AC9"/>
    <w:rsid w:val="5AA91A93"/>
    <w:rsid w:val="5ABE4B07"/>
    <w:rsid w:val="5AC266B1"/>
    <w:rsid w:val="5AEE74A6"/>
    <w:rsid w:val="5AFA409D"/>
    <w:rsid w:val="5AFA5E4B"/>
    <w:rsid w:val="5B307ABF"/>
    <w:rsid w:val="5B321A89"/>
    <w:rsid w:val="5B32273E"/>
    <w:rsid w:val="5B353327"/>
    <w:rsid w:val="5B386973"/>
    <w:rsid w:val="5B4602DF"/>
    <w:rsid w:val="5B4A6DD2"/>
    <w:rsid w:val="5B55545B"/>
    <w:rsid w:val="5B57329D"/>
    <w:rsid w:val="5B6F6839"/>
    <w:rsid w:val="5B751975"/>
    <w:rsid w:val="5B765E19"/>
    <w:rsid w:val="5B8147BE"/>
    <w:rsid w:val="5B881A2D"/>
    <w:rsid w:val="5B920779"/>
    <w:rsid w:val="5B977B3E"/>
    <w:rsid w:val="5BAB5397"/>
    <w:rsid w:val="5BB74B2C"/>
    <w:rsid w:val="5BBB382C"/>
    <w:rsid w:val="5BCC1E57"/>
    <w:rsid w:val="5BD41E6E"/>
    <w:rsid w:val="5BEA2363"/>
    <w:rsid w:val="5BEA5EBF"/>
    <w:rsid w:val="5BF64864"/>
    <w:rsid w:val="5C2C64D8"/>
    <w:rsid w:val="5C3A6E47"/>
    <w:rsid w:val="5C3B1922"/>
    <w:rsid w:val="5C537F09"/>
    <w:rsid w:val="5C5477DD"/>
    <w:rsid w:val="5C5E2B95"/>
    <w:rsid w:val="5C9A5B38"/>
    <w:rsid w:val="5C9C18B0"/>
    <w:rsid w:val="5CA17B70"/>
    <w:rsid w:val="5CA40764"/>
    <w:rsid w:val="5CAB5170"/>
    <w:rsid w:val="5CBD5382"/>
    <w:rsid w:val="5CD32DF8"/>
    <w:rsid w:val="5CE62B2B"/>
    <w:rsid w:val="5D0C07A2"/>
    <w:rsid w:val="5D290C69"/>
    <w:rsid w:val="5DA0717E"/>
    <w:rsid w:val="5DB42C29"/>
    <w:rsid w:val="5DBD1FCA"/>
    <w:rsid w:val="5DD15589"/>
    <w:rsid w:val="5DEF65CC"/>
    <w:rsid w:val="5E192A8C"/>
    <w:rsid w:val="5E1C432A"/>
    <w:rsid w:val="5E257683"/>
    <w:rsid w:val="5E282CCF"/>
    <w:rsid w:val="5E4D0988"/>
    <w:rsid w:val="5E510478"/>
    <w:rsid w:val="5E714676"/>
    <w:rsid w:val="5E8425FB"/>
    <w:rsid w:val="5E8C6F99"/>
    <w:rsid w:val="5E8E347A"/>
    <w:rsid w:val="5ECF75EF"/>
    <w:rsid w:val="5ED54C05"/>
    <w:rsid w:val="5EF2352E"/>
    <w:rsid w:val="5EF57055"/>
    <w:rsid w:val="5EF763C6"/>
    <w:rsid w:val="5F08322C"/>
    <w:rsid w:val="5F261904"/>
    <w:rsid w:val="5F4E6765"/>
    <w:rsid w:val="5F5D7160"/>
    <w:rsid w:val="5F7206A6"/>
    <w:rsid w:val="5F7408C2"/>
    <w:rsid w:val="5F887EC9"/>
    <w:rsid w:val="5F893C41"/>
    <w:rsid w:val="5F8B79B9"/>
    <w:rsid w:val="5FB23198"/>
    <w:rsid w:val="5FD70E51"/>
    <w:rsid w:val="5FEF7F48"/>
    <w:rsid w:val="5FF217E7"/>
    <w:rsid w:val="5FF27A39"/>
    <w:rsid w:val="5FF76DFD"/>
    <w:rsid w:val="5FFE1F39"/>
    <w:rsid w:val="60060FEE"/>
    <w:rsid w:val="602A0F80"/>
    <w:rsid w:val="60462E90"/>
    <w:rsid w:val="60536729"/>
    <w:rsid w:val="608368E3"/>
    <w:rsid w:val="608F7035"/>
    <w:rsid w:val="60A30D33"/>
    <w:rsid w:val="60A96349"/>
    <w:rsid w:val="60C2740B"/>
    <w:rsid w:val="60D64C64"/>
    <w:rsid w:val="60D94755"/>
    <w:rsid w:val="60F021CA"/>
    <w:rsid w:val="611834CF"/>
    <w:rsid w:val="61530A39"/>
    <w:rsid w:val="61637D56"/>
    <w:rsid w:val="6183303E"/>
    <w:rsid w:val="61923281"/>
    <w:rsid w:val="61AC3CD1"/>
    <w:rsid w:val="61B054B5"/>
    <w:rsid w:val="61FA4982"/>
    <w:rsid w:val="61FE695C"/>
    <w:rsid w:val="621912AD"/>
    <w:rsid w:val="621C6FEF"/>
    <w:rsid w:val="623076A4"/>
    <w:rsid w:val="62326812"/>
    <w:rsid w:val="62392C11"/>
    <w:rsid w:val="62571DD5"/>
    <w:rsid w:val="625A50F1"/>
    <w:rsid w:val="625B7377"/>
    <w:rsid w:val="6278019C"/>
    <w:rsid w:val="627F2A08"/>
    <w:rsid w:val="6285420B"/>
    <w:rsid w:val="628C1A7E"/>
    <w:rsid w:val="629B7F14"/>
    <w:rsid w:val="62A96AD4"/>
    <w:rsid w:val="62B2525D"/>
    <w:rsid w:val="62B66AFB"/>
    <w:rsid w:val="62C0797A"/>
    <w:rsid w:val="62FB09B2"/>
    <w:rsid w:val="62FB4E56"/>
    <w:rsid w:val="62FE04A2"/>
    <w:rsid w:val="631D29EB"/>
    <w:rsid w:val="633C6169"/>
    <w:rsid w:val="63500CFE"/>
    <w:rsid w:val="637A3FCD"/>
    <w:rsid w:val="63822EAD"/>
    <w:rsid w:val="63B70D7D"/>
    <w:rsid w:val="63D23E09"/>
    <w:rsid w:val="63E234B7"/>
    <w:rsid w:val="63F773CC"/>
    <w:rsid w:val="64047D3A"/>
    <w:rsid w:val="64300F47"/>
    <w:rsid w:val="64483336"/>
    <w:rsid w:val="644F0FB6"/>
    <w:rsid w:val="645E38EF"/>
    <w:rsid w:val="646C600B"/>
    <w:rsid w:val="64942E6C"/>
    <w:rsid w:val="64AC6408"/>
    <w:rsid w:val="64AE53F9"/>
    <w:rsid w:val="64D63485"/>
    <w:rsid w:val="6500647B"/>
    <w:rsid w:val="65085608"/>
    <w:rsid w:val="65091AAC"/>
    <w:rsid w:val="65110961"/>
    <w:rsid w:val="6518767F"/>
    <w:rsid w:val="65237AC1"/>
    <w:rsid w:val="653603C7"/>
    <w:rsid w:val="65362175"/>
    <w:rsid w:val="656767D3"/>
    <w:rsid w:val="65801643"/>
    <w:rsid w:val="6598698C"/>
    <w:rsid w:val="65A13CC9"/>
    <w:rsid w:val="65A25A5D"/>
    <w:rsid w:val="65E120E1"/>
    <w:rsid w:val="660D737A"/>
    <w:rsid w:val="661A38C3"/>
    <w:rsid w:val="661E2CB4"/>
    <w:rsid w:val="6632293D"/>
    <w:rsid w:val="664E603D"/>
    <w:rsid w:val="665135D2"/>
    <w:rsid w:val="666F1DE3"/>
    <w:rsid w:val="66A870A3"/>
    <w:rsid w:val="66AC748B"/>
    <w:rsid w:val="66AD46B9"/>
    <w:rsid w:val="66C1550E"/>
    <w:rsid w:val="66C739CD"/>
    <w:rsid w:val="66CD4D5B"/>
    <w:rsid w:val="66DD6797"/>
    <w:rsid w:val="66F66060"/>
    <w:rsid w:val="66F67E0E"/>
    <w:rsid w:val="670818F0"/>
    <w:rsid w:val="671D183F"/>
    <w:rsid w:val="67293782"/>
    <w:rsid w:val="673646AF"/>
    <w:rsid w:val="675114E9"/>
    <w:rsid w:val="675863D3"/>
    <w:rsid w:val="679703E1"/>
    <w:rsid w:val="67A17496"/>
    <w:rsid w:val="67A965FC"/>
    <w:rsid w:val="67D839B8"/>
    <w:rsid w:val="68182006"/>
    <w:rsid w:val="681C1AF7"/>
    <w:rsid w:val="683926A8"/>
    <w:rsid w:val="685272C6"/>
    <w:rsid w:val="68537CAF"/>
    <w:rsid w:val="685F3791"/>
    <w:rsid w:val="68725BBA"/>
    <w:rsid w:val="68757459"/>
    <w:rsid w:val="687A4A6F"/>
    <w:rsid w:val="688C5099"/>
    <w:rsid w:val="68953657"/>
    <w:rsid w:val="68B735CD"/>
    <w:rsid w:val="68C1444C"/>
    <w:rsid w:val="68E51EE8"/>
    <w:rsid w:val="68EA5751"/>
    <w:rsid w:val="68F570FB"/>
    <w:rsid w:val="691C2678"/>
    <w:rsid w:val="69227DA0"/>
    <w:rsid w:val="69456E2B"/>
    <w:rsid w:val="69531548"/>
    <w:rsid w:val="696F3EA8"/>
    <w:rsid w:val="69731BEA"/>
    <w:rsid w:val="69765236"/>
    <w:rsid w:val="69790883"/>
    <w:rsid w:val="697A2F79"/>
    <w:rsid w:val="69935DE8"/>
    <w:rsid w:val="69A47FF6"/>
    <w:rsid w:val="69A87C65"/>
    <w:rsid w:val="69EE301F"/>
    <w:rsid w:val="69FA19C4"/>
    <w:rsid w:val="69FB1963"/>
    <w:rsid w:val="6A5D1F52"/>
    <w:rsid w:val="6A7C062B"/>
    <w:rsid w:val="6AA25BA0"/>
    <w:rsid w:val="6AA3205B"/>
    <w:rsid w:val="6AAB0F10"/>
    <w:rsid w:val="6AAD2EDA"/>
    <w:rsid w:val="6AB8548E"/>
    <w:rsid w:val="6ABC577D"/>
    <w:rsid w:val="6ACD70D8"/>
    <w:rsid w:val="6AE12B83"/>
    <w:rsid w:val="6AE42367"/>
    <w:rsid w:val="6AFE7291"/>
    <w:rsid w:val="6B054AC4"/>
    <w:rsid w:val="6B106FC5"/>
    <w:rsid w:val="6B225676"/>
    <w:rsid w:val="6B3A462E"/>
    <w:rsid w:val="6B422808"/>
    <w:rsid w:val="6B474C31"/>
    <w:rsid w:val="6B476E8A"/>
    <w:rsid w:val="6B4B5217"/>
    <w:rsid w:val="6B680BAF"/>
    <w:rsid w:val="6B8A1717"/>
    <w:rsid w:val="6B8C6F93"/>
    <w:rsid w:val="6BC56001"/>
    <w:rsid w:val="6BCC7390"/>
    <w:rsid w:val="6BD36970"/>
    <w:rsid w:val="6BD526E8"/>
    <w:rsid w:val="6C092392"/>
    <w:rsid w:val="6C17069E"/>
    <w:rsid w:val="6C2225DD"/>
    <w:rsid w:val="6C2830FF"/>
    <w:rsid w:val="6C5850C7"/>
    <w:rsid w:val="6C6B0957"/>
    <w:rsid w:val="6C832144"/>
    <w:rsid w:val="6C89702F"/>
    <w:rsid w:val="6C9C18EB"/>
    <w:rsid w:val="6CCD7863"/>
    <w:rsid w:val="6CD504C6"/>
    <w:rsid w:val="6CD52274"/>
    <w:rsid w:val="6CDD364E"/>
    <w:rsid w:val="6CF46B9E"/>
    <w:rsid w:val="6CF92406"/>
    <w:rsid w:val="6CFC3CA5"/>
    <w:rsid w:val="6D147240"/>
    <w:rsid w:val="6D196605"/>
    <w:rsid w:val="6D21370B"/>
    <w:rsid w:val="6D3B18E0"/>
    <w:rsid w:val="6D3B18E9"/>
    <w:rsid w:val="6D57537F"/>
    <w:rsid w:val="6D6C42DF"/>
    <w:rsid w:val="6D77332B"/>
    <w:rsid w:val="6D800432"/>
    <w:rsid w:val="6D940381"/>
    <w:rsid w:val="6D9C3AFC"/>
    <w:rsid w:val="6DAC1227"/>
    <w:rsid w:val="6DBB76BC"/>
    <w:rsid w:val="6DD469CF"/>
    <w:rsid w:val="6E22773B"/>
    <w:rsid w:val="6E25722B"/>
    <w:rsid w:val="6E2A4841"/>
    <w:rsid w:val="6E443B55"/>
    <w:rsid w:val="6E4E0530"/>
    <w:rsid w:val="6E5B2C4D"/>
    <w:rsid w:val="6E5F44EB"/>
    <w:rsid w:val="6E6164B5"/>
    <w:rsid w:val="6E6236E7"/>
    <w:rsid w:val="6E6935BC"/>
    <w:rsid w:val="6E91041D"/>
    <w:rsid w:val="6E9F4B86"/>
    <w:rsid w:val="6EB02F99"/>
    <w:rsid w:val="6EB8556A"/>
    <w:rsid w:val="6EBC36EB"/>
    <w:rsid w:val="6EDC5B3C"/>
    <w:rsid w:val="6EDE1649"/>
    <w:rsid w:val="6EEE586F"/>
    <w:rsid w:val="6F064E06"/>
    <w:rsid w:val="6F094457"/>
    <w:rsid w:val="6F155FCF"/>
    <w:rsid w:val="6F176B74"/>
    <w:rsid w:val="6F360C58"/>
    <w:rsid w:val="6F636421"/>
    <w:rsid w:val="6F6B5112"/>
    <w:rsid w:val="6F6E6EC3"/>
    <w:rsid w:val="6F7264A0"/>
    <w:rsid w:val="6F765F90"/>
    <w:rsid w:val="6F9401C4"/>
    <w:rsid w:val="6FA2795A"/>
    <w:rsid w:val="6FB915A7"/>
    <w:rsid w:val="6FBD3BBF"/>
    <w:rsid w:val="6FC14D32"/>
    <w:rsid w:val="6FCD1928"/>
    <w:rsid w:val="6FD902CD"/>
    <w:rsid w:val="6FDE58E3"/>
    <w:rsid w:val="6FE61F3E"/>
    <w:rsid w:val="6FF9428D"/>
    <w:rsid w:val="70161521"/>
    <w:rsid w:val="702F613F"/>
    <w:rsid w:val="703244E4"/>
    <w:rsid w:val="705636CC"/>
    <w:rsid w:val="70D31B19"/>
    <w:rsid w:val="70FD0CB3"/>
    <w:rsid w:val="711E0B5E"/>
    <w:rsid w:val="712A5284"/>
    <w:rsid w:val="7130216F"/>
    <w:rsid w:val="713C4FB8"/>
    <w:rsid w:val="71687AE4"/>
    <w:rsid w:val="718F158B"/>
    <w:rsid w:val="71A004FF"/>
    <w:rsid w:val="71C50B09"/>
    <w:rsid w:val="71C8684B"/>
    <w:rsid w:val="71DC40A5"/>
    <w:rsid w:val="71E03B95"/>
    <w:rsid w:val="71E116BB"/>
    <w:rsid w:val="71F615DC"/>
    <w:rsid w:val="71FE04BF"/>
    <w:rsid w:val="720F7FD6"/>
    <w:rsid w:val="72121874"/>
    <w:rsid w:val="7229553C"/>
    <w:rsid w:val="72323CC5"/>
    <w:rsid w:val="724B2077"/>
    <w:rsid w:val="72691DDC"/>
    <w:rsid w:val="726F4F19"/>
    <w:rsid w:val="726F7FB0"/>
    <w:rsid w:val="72A46970"/>
    <w:rsid w:val="72B50B7E"/>
    <w:rsid w:val="72B666A4"/>
    <w:rsid w:val="72BB015E"/>
    <w:rsid w:val="72C139C6"/>
    <w:rsid w:val="72C62D8B"/>
    <w:rsid w:val="72D57833"/>
    <w:rsid w:val="72DC25AE"/>
    <w:rsid w:val="72FC49FE"/>
    <w:rsid w:val="73214E38"/>
    <w:rsid w:val="732E0930"/>
    <w:rsid w:val="73335F46"/>
    <w:rsid w:val="73373C88"/>
    <w:rsid w:val="733E4E7F"/>
    <w:rsid w:val="7358775B"/>
    <w:rsid w:val="735C7C30"/>
    <w:rsid w:val="73634FBB"/>
    <w:rsid w:val="73661E78"/>
    <w:rsid w:val="73697BBA"/>
    <w:rsid w:val="73775E2C"/>
    <w:rsid w:val="738A025C"/>
    <w:rsid w:val="73B61051"/>
    <w:rsid w:val="73BB6668"/>
    <w:rsid w:val="73C365CB"/>
    <w:rsid w:val="73E95EE8"/>
    <w:rsid w:val="73EA4857"/>
    <w:rsid w:val="73F6144E"/>
    <w:rsid w:val="73F97190"/>
    <w:rsid w:val="74085625"/>
    <w:rsid w:val="74185868"/>
    <w:rsid w:val="742023C5"/>
    <w:rsid w:val="744C3764"/>
    <w:rsid w:val="744E13C7"/>
    <w:rsid w:val="74534AF2"/>
    <w:rsid w:val="74766D79"/>
    <w:rsid w:val="747E57F8"/>
    <w:rsid w:val="748D1686"/>
    <w:rsid w:val="74F040EF"/>
    <w:rsid w:val="751122B7"/>
    <w:rsid w:val="75157FF9"/>
    <w:rsid w:val="75360DBC"/>
    <w:rsid w:val="75387844"/>
    <w:rsid w:val="756920F3"/>
    <w:rsid w:val="756B5E6B"/>
    <w:rsid w:val="756D0E75"/>
    <w:rsid w:val="756D573F"/>
    <w:rsid w:val="75866801"/>
    <w:rsid w:val="758807CB"/>
    <w:rsid w:val="759F78C3"/>
    <w:rsid w:val="75BA64AB"/>
    <w:rsid w:val="75E35A02"/>
    <w:rsid w:val="75EA3234"/>
    <w:rsid w:val="762027B2"/>
    <w:rsid w:val="7630676D"/>
    <w:rsid w:val="76312C11"/>
    <w:rsid w:val="763224E5"/>
    <w:rsid w:val="76361FD5"/>
    <w:rsid w:val="76505878"/>
    <w:rsid w:val="767945B8"/>
    <w:rsid w:val="76794AF8"/>
    <w:rsid w:val="76850C08"/>
    <w:rsid w:val="76AE1106"/>
    <w:rsid w:val="76BB24DB"/>
    <w:rsid w:val="76C84BF7"/>
    <w:rsid w:val="76D11CFE"/>
    <w:rsid w:val="76D67314"/>
    <w:rsid w:val="76FC6DDC"/>
    <w:rsid w:val="772E2227"/>
    <w:rsid w:val="77302EC9"/>
    <w:rsid w:val="7731279D"/>
    <w:rsid w:val="77533CC6"/>
    <w:rsid w:val="775748F9"/>
    <w:rsid w:val="7760252B"/>
    <w:rsid w:val="776058DA"/>
    <w:rsid w:val="77626DFA"/>
    <w:rsid w:val="777032C5"/>
    <w:rsid w:val="777803CC"/>
    <w:rsid w:val="777D1E86"/>
    <w:rsid w:val="779276DF"/>
    <w:rsid w:val="77B70517"/>
    <w:rsid w:val="77E043E3"/>
    <w:rsid w:val="77F40160"/>
    <w:rsid w:val="78342545"/>
    <w:rsid w:val="78412EB3"/>
    <w:rsid w:val="785030F6"/>
    <w:rsid w:val="78550E5C"/>
    <w:rsid w:val="78632E2A"/>
    <w:rsid w:val="78654DF4"/>
    <w:rsid w:val="787B0173"/>
    <w:rsid w:val="787D0429"/>
    <w:rsid w:val="78B24F5D"/>
    <w:rsid w:val="78EF46BD"/>
    <w:rsid w:val="790740FD"/>
    <w:rsid w:val="791660EE"/>
    <w:rsid w:val="791D122B"/>
    <w:rsid w:val="791F31F5"/>
    <w:rsid w:val="79265756"/>
    <w:rsid w:val="793F5645"/>
    <w:rsid w:val="794511BD"/>
    <w:rsid w:val="794A5D98"/>
    <w:rsid w:val="794C38BE"/>
    <w:rsid w:val="794E7636"/>
    <w:rsid w:val="79892D64"/>
    <w:rsid w:val="798E037A"/>
    <w:rsid w:val="79960FDD"/>
    <w:rsid w:val="79997202"/>
    <w:rsid w:val="799E680F"/>
    <w:rsid w:val="79AE52BD"/>
    <w:rsid w:val="79FF5F21"/>
    <w:rsid w:val="7A1B3962"/>
    <w:rsid w:val="7A2111EE"/>
    <w:rsid w:val="7A2F56B9"/>
    <w:rsid w:val="7A6D48C0"/>
    <w:rsid w:val="7A7268AA"/>
    <w:rsid w:val="7A765096"/>
    <w:rsid w:val="7A924929"/>
    <w:rsid w:val="7A974046"/>
    <w:rsid w:val="7AAD65DE"/>
    <w:rsid w:val="7AC53928"/>
    <w:rsid w:val="7AC878BC"/>
    <w:rsid w:val="7ACA7190"/>
    <w:rsid w:val="7AEF309B"/>
    <w:rsid w:val="7AFD2AA0"/>
    <w:rsid w:val="7AFD57B8"/>
    <w:rsid w:val="7AFF1FD8"/>
    <w:rsid w:val="7B007056"/>
    <w:rsid w:val="7B02692A"/>
    <w:rsid w:val="7B2368A0"/>
    <w:rsid w:val="7B705F89"/>
    <w:rsid w:val="7B735A7A"/>
    <w:rsid w:val="7B887EC5"/>
    <w:rsid w:val="7B914152"/>
    <w:rsid w:val="7BAE0860"/>
    <w:rsid w:val="7BB17EFC"/>
    <w:rsid w:val="7BC60184"/>
    <w:rsid w:val="7BD5403F"/>
    <w:rsid w:val="7BE349AD"/>
    <w:rsid w:val="7BE73A8B"/>
    <w:rsid w:val="7BEC3136"/>
    <w:rsid w:val="7BF471EA"/>
    <w:rsid w:val="7C011556"/>
    <w:rsid w:val="7C18217D"/>
    <w:rsid w:val="7C2D79D7"/>
    <w:rsid w:val="7C3C40BE"/>
    <w:rsid w:val="7C507B69"/>
    <w:rsid w:val="7C596A1E"/>
    <w:rsid w:val="7C5E2286"/>
    <w:rsid w:val="7C701FB9"/>
    <w:rsid w:val="7C817D22"/>
    <w:rsid w:val="7CD24A22"/>
    <w:rsid w:val="7CEA1D6C"/>
    <w:rsid w:val="7CF95D03"/>
    <w:rsid w:val="7D0C3A90"/>
    <w:rsid w:val="7D0E5A5A"/>
    <w:rsid w:val="7D360B0D"/>
    <w:rsid w:val="7D406A1E"/>
    <w:rsid w:val="7D494CE4"/>
    <w:rsid w:val="7D637428"/>
    <w:rsid w:val="7D717D97"/>
    <w:rsid w:val="7D7653AD"/>
    <w:rsid w:val="7D823D52"/>
    <w:rsid w:val="7D851A94"/>
    <w:rsid w:val="7D8E1E41"/>
    <w:rsid w:val="7D9121E7"/>
    <w:rsid w:val="7D965A4F"/>
    <w:rsid w:val="7DC73E5B"/>
    <w:rsid w:val="7DCB56F9"/>
    <w:rsid w:val="7DF34C50"/>
    <w:rsid w:val="7E0D00F2"/>
    <w:rsid w:val="7E105802"/>
    <w:rsid w:val="7E1A21DD"/>
    <w:rsid w:val="7E4234E1"/>
    <w:rsid w:val="7E486D4A"/>
    <w:rsid w:val="7E5F22E5"/>
    <w:rsid w:val="7E7C7B82"/>
    <w:rsid w:val="7E937055"/>
    <w:rsid w:val="7E960CC1"/>
    <w:rsid w:val="7EA36676"/>
    <w:rsid w:val="7EAD12A3"/>
    <w:rsid w:val="7EB702F4"/>
    <w:rsid w:val="7ED625A7"/>
    <w:rsid w:val="7EDA196C"/>
    <w:rsid w:val="7EE56707"/>
    <w:rsid w:val="7EED715E"/>
    <w:rsid w:val="7EF42A2E"/>
    <w:rsid w:val="7EF46ED2"/>
    <w:rsid w:val="7EFD7F37"/>
    <w:rsid w:val="7F2271E4"/>
    <w:rsid w:val="7F2D7CEE"/>
    <w:rsid w:val="7F313C82"/>
    <w:rsid w:val="7F4A61E1"/>
    <w:rsid w:val="7F596D35"/>
    <w:rsid w:val="7F967F89"/>
    <w:rsid w:val="7F9935D5"/>
    <w:rsid w:val="7FA51F7A"/>
    <w:rsid w:val="7FB073FA"/>
    <w:rsid w:val="7FB328E9"/>
    <w:rsid w:val="7FD30895"/>
    <w:rsid w:val="7FDD1714"/>
    <w:rsid w:val="7FE231CE"/>
    <w:rsid w:val="7FFA22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nhideWhenUsed="0" w:uiPriority="1"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iPriority="0" w:semiHidden="0" w:name="Normal Indent"/>
    <w:lsdException w:qFormat="1"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qFormat="1" w:uiPriority="99" w:semiHidden="0"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qFormat="1"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qFormat="1"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360" w:lineRule="auto"/>
    </w:pPr>
    <w:rPr>
      <w:rFonts w:ascii="宋体" w:hAnsi="宋体" w:eastAsia="宋体" w:cstheme="minorBidi"/>
      <w:kern w:val="2"/>
      <w:sz w:val="24"/>
      <w:szCs w:val="22"/>
      <w:lang w:val="en-US" w:eastAsia="zh-CN" w:bidi="ar-SA"/>
    </w:rPr>
  </w:style>
  <w:style w:type="paragraph" w:styleId="2">
    <w:name w:val="heading 1"/>
    <w:basedOn w:val="1"/>
    <w:next w:val="1"/>
    <w:link w:val="38"/>
    <w:autoRedefine/>
    <w:qFormat/>
    <w:uiPriority w:val="9"/>
    <w:pPr>
      <w:keepNext/>
      <w:keepLines/>
      <w:spacing w:before="340" w:after="330" w:line="578" w:lineRule="auto"/>
      <w:jc w:val="center"/>
      <w:outlineLvl w:val="0"/>
    </w:pPr>
    <w:rPr>
      <w:rFonts w:eastAsia="黑体"/>
      <w:b/>
      <w:bCs/>
      <w:kern w:val="44"/>
      <w:sz w:val="44"/>
      <w:szCs w:val="44"/>
    </w:rPr>
  </w:style>
  <w:style w:type="paragraph" w:styleId="3">
    <w:name w:val="heading 2"/>
    <w:basedOn w:val="1"/>
    <w:next w:val="1"/>
    <w:link w:val="42"/>
    <w:unhideWhenUsed/>
    <w:qFormat/>
    <w:uiPriority w:val="9"/>
    <w:pPr>
      <w:keepNext/>
      <w:keepLines/>
      <w:spacing w:before="260" w:after="260" w:line="416" w:lineRule="auto"/>
      <w:outlineLvl w:val="1"/>
    </w:pPr>
    <w:rPr>
      <w:rFonts w:asciiTheme="majorHAnsi" w:hAnsiTheme="majorHAnsi" w:cstheme="majorBidi"/>
      <w:b/>
      <w:bCs/>
      <w:sz w:val="32"/>
      <w:szCs w:val="32"/>
    </w:rPr>
  </w:style>
  <w:style w:type="paragraph" w:styleId="4">
    <w:name w:val="heading 3"/>
    <w:basedOn w:val="1"/>
    <w:next w:val="1"/>
    <w:link w:val="45"/>
    <w:autoRedefine/>
    <w:unhideWhenUsed/>
    <w:qFormat/>
    <w:uiPriority w:val="9"/>
    <w:pPr>
      <w:keepNext/>
      <w:keepLines/>
      <w:spacing w:before="260" w:after="260" w:line="416" w:lineRule="auto"/>
      <w:outlineLvl w:val="2"/>
    </w:pPr>
    <w:rPr>
      <w:b/>
      <w:bCs/>
      <w:sz w:val="30"/>
      <w:szCs w:val="32"/>
    </w:rPr>
  </w:style>
  <w:style w:type="paragraph" w:styleId="5">
    <w:name w:val="heading 4"/>
    <w:basedOn w:val="1"/>
    <w:next w:val="1"/>
    <w:link w:val="46"/>
    <w:autoRedefine/>
    <w:unhideWhenUsed/>
    <w:qFormat/>
    <w:uiPriority w:val="9"/>
    <w:pPr>
      <w:keepNext/>
      <w:keepLines/>
      <w:spacing w:before="280" w:after="290" w:line="376" w:lineRule="auto"/>
      <w:outlineLvl w:val="3"/>
    </w:pPr>
    <w:rPr>
      <w:rFonts w:asciiTheme="majorHAnsi" w:hAnsiTheme="majorHAnsi" w:cstheme="majorBidi"/>
      <w:b/>
      <w:bCs/>
      <w:sz w:val="28"/>
      <w:szCs w:val="28"/>
    </w:rPr>
  </w:style>
  <w:style w:type="paragraph" w:styleId="6">
    <w:name w:val="heading 5"/>
    <w:basedOn w:val="7"/>
    <w:next w:val="8"/>
    <w:autoRedefine/>
    <w:qFormat/>
    <w:uiPriority w:val="1"/>
    <w:pPr>
      <w:tabs>
        <w:tab w:val="left" w:pos="780"/>
      </w:tabs>
      <w:ind w:left="638" w:firstLine="561"/>
      <w:outlineLvl w:val="4"/>
    </w:pPr>
    <w:rPr>
      <w:rFonts w:ascii="仿宋" w:hAnsi="仿宋" w:eastAsia="仿宋" w:cs="仿宋"/>
      <w:b/>
      <w:bCs/>
      <w:kern w:val="0"/>
      <w:sz w:val="28"/>
      <w:szCs w:val="28"/>
      <w:lang w:val="zh-CN" w:bidi="zh-CN"/>
    </w:rPr>
  </w:style>
  <w:style w:type="character" w:default="1" w:styleId="31">
    <w:name w:val="Default Paragraph Font"/>
    <w:autoRedefine/>
    <w:semiHidden/>
    <w:unhideWhenUsed/>
    <w:qFormat/>
    <w:uiPriority w:val="1"/>
  </w:style>
  <w:style w:type="table" w:default="1" w:styleId="29">
    <w:name w:val="Normal Table"/>
    <w:autoRedefine/>
    <w:semiHidden/>
    <w:unhideWhenUsed/>
    <w:qFormat/>
    <w:uiPriority w:val="99"/>
    <w:tblPr>
      <w:tblCellMar>
        <w:top w:w="0" w:type="dxa"/>
        <w:left w:w="108" w:type="dxa"/>
        <w:bottom w:w="0" w:type="dxa"/>
        <w:right w:w="108" w:type="dxa"/>
      </w:tblCellMar>
    </w:tblPr>
  </w:style>
  <w:style w:type="paragraph" w:styleId="7">
    <w:name w:val="List Number 2"/>
    <w:basedOn w:val="1"/>
    <w:autoRedefine/>
    <w:semiHidden/>
    <w:unhideWhenUsed/>
    <w:qFormat/>
    <w:uiPriority w:val="99"/>
    <w:pPr>
      <w:numPr>
        <w:ilvl w:val="0"/>
        <w:numId w:val="1"/>
      </w:numPr>
    </w:pPr>
  </w:style>
  <w:style w:type="paragraph" w:styleId="8">
    <w:name w:val="Normal (Web)"/>
    <w:basedOn w:val="1"/>
    <w:autoRedefine/>
    <w:qFormat/>
    <w:uiPriority w:val="99"/>
    <w:pPr>
      <w:widowControl/>
      <w:spacing w:before="100" w:beforeAutospacing="1" w:after="100" w:afterAutospacing="1"/>
    </w:pPr>
    <w:rPr>
      <w:rFonts w:cs="宋体"/>
      <w:color w:val="000000"/>
      <w:kern w:val="0"/>
      <w:szCs w:val="24"/>
    </w:rPr>
  </w:style>
  <w:style w:type="paragraph" w:styleId="9">
    <w:name w:val="toc 7"/>
    <w:basedOn w:val="1"/>
    <w:next w:val="1"/>
    <w:autoRedefine/>
    <w:unhideWhenUsed/>
    <w:qFormat/>
    <w:uiPriority w:val="39"/>
    <w:pPr>
      <w:ind w:left="1440"/>
    </w:pPr>
    <w:rPr>
      <w:rFonts w:asciiTheme="minorHAnsi" w:eastAsiaTheme="minorHAnsi"/>
      <w:sz w:val="18"/>
      <w:szCs w:val="18"/>
    </w:rPr>
  </w:style>
  <w:style w:type="paragraph" w:styleId="10">
    <w:name w:val="Normal Indent"/>
    <w:basedOn w:val="1"/>
    <w:next w:val="1"/>
    <w:autoRedefine/>
    <w:unhideWhenUsed/>
    <w:qFormat/>
    <w:uiPriority w:val="0"/>
    <w:pPr>
      <w:ind w:firstLine="420" w:firstLineChars="200"/>
    </w:pPr>
    <w:rPr>
      <w:rFonts w:ascii="Calibri" w:hAnsi="Calibri"/>
      <w:szCs w:val="22"/>
    </w:rPr>
  </w:style>
  <w:style w:type="paragraph" w:styleId="11">
    <w:name w:val="List Bullet"/>
    <w:basedOn w:val="1"/>
    <w:autoRedefine/>
    <w:unhideWhenUsed/>
    <w:qFormat/>
    <w:uiPriority w:val="99"/>
    <w:pPr>
      <w:tabs>
        <w:tab w:val="left" w:pos="360"/>
        <w:tab w:val="left" w:pos="1134"/>
      </w:tabs>
      <w:spacing w:line="240" w:lineRule="auto"/>
      <w:ind w:left="1134" w:hanging="1134"/>
      <w:contextualSpacing/>
      <w:jc w:val="both"/>
    </w:pPr>
    <w:rPr>
      <w:rFonts w:ascii="Times New Roman" w:hAnsi="Times New Roman" w:cs="Times New Roman"/>
      <w:kern w:val="0"/>
      <w:sz w:val="20"/>
      <w:szCs w:val="20"/>
    </w:rPr>
  </w:style>
  <w:style w:type="paragraph" w:styleId="12">
    <w:name w:val="annotation text"/>
    <w:basedOn w:val="1"/>
    <w:link w:val="43"/>
    <w:autoRedefine/>
    <w:qFormat/>
    <w:uiPriority w:val="0"/>
    <w:pPr>
      <w:spacing w:line="240" w:lineRule="auto"/>
    </w:pPr>
    <w:rPr>
      <w:rFonts w:eastAsiaTheme="minorEastAsia"/>
      <w:sz w:val="21"/>
      <w:szCs w:val="24"/>
    </w:rPr>
  </w:style>
  <w:style w:type="paragraph" w:styleId="13">
    <w:name w:val="Body Text"/>
    <w:basedOn w:val="1"/>
    <w:link w:val="47"/>
    <w:autoRedefine/>
    <w:qFormat/>
    <w:uiPriority w:val="99"/>
    <w:pPr>
      <w:spacing w:after="120" w:line="240" w:lineRule="auto"/>
      <w:jc w:val="both"/>
    </w:pPr>
    <w:rPr>
      <w:rFonts w:eastAsiaTheme="minorEastAsia"/>
      <w:sz w:val="21"/>
      <w:szCs w:val="24"/>
    </w:rPr>
  </w:style>
  <w:style w:type="paragraph" w:styleId="14">
    <w:name w:val="Body Text Indent"/>
    <w:basedOn w:val="1"/>
    <w:next w:val="5"/>
    <w:autoRedefine/>
    <w:unhideWhenUsed/>
    <w:qFormat/>
    <w:uiPriority w:val="0"/>
    <w:pPr>
      <w:ind w:firstLine="630"/>
    </w:pPr>
    <w:rPr>
      <w:rFonts w:eastAsia="仿宋_GB2312"/>
      <w:kern w:val="0"/>
      <w:sz w:val="32"/>
      <w:szCs w:val="20"/>
    </w:rPr>
  </w:style>
  <w:style w:type="paragraph" w:styleId="15">
    <w:name w:val="toc 5"/>
    <w:basedOn w:val="1"/>
    <w:next w:val="1"/>
    <w:autoRedefine/>
    <w:unhideWhenUsed/>
    <w:qFormat/>
    <w:uiPriority w:val="39"/>
    <w:pPr>
      <w:ind w:left="960"/>
    </w:pPr>
    <w:rPr>
      <w:rFonts w:asciiTheme="minorHAnsi" w:eastAsiaTheme="minorHAnsi"/>
      <w:sz w:val="18"/>
      <w:szCs w:val="18"/>
    </w:rPr>
  </w:style>
  <w:style w:type="paragraph" w:styleId="16">
    <w:name w:val="toc 3"/>
    <w:basedOn w:val="1"/>
    <w:next w:val="1"/>
    <w:autoRedefine/>
    <w:unhideWhenUsed/>
    <w:qFormat/>
    <w:uiPriority w:val="39"/>
    <w:pPr>
      <w:ind w:left="480"/>
    </w:pPr>
    <w:rPr>
      <w:rFonts w:asciiTheme="minorHAnsi" w:eastAsiaTheme="minorHAnsi"/>
      <w:i/>
      <w:iCs/>
      <w:sz w:val="20"/>
      <w:szCs w:val="20"/>
    </w:rPr>
  </w:style>
  <w:style w:type="paragraph" w:styleId="17">
    <w:name w:val="Plain Text"/>
    <w:basedOn w:val="1"/>
    <w:autoRedefine/>
    <w:unhideWhenUsed/>
    <w:qFormat/>
    <w:uiPriority w:val="0"/>
    <w:rPr>
      <w:rFonts w:ascii="宋体" w:hAnsi="Courier New"/>
      <w:kern w:val="0"/>
      <w:sz w:val="20"/>
      <w:szCs w:val="20"/>
    </w:rPr>
  </w:style>
  <w:style w:type="paragraph" w:styleId="18">
    <w:name w:val="toc 8"/>
    <w:basedOn w:val="1"/>
    <w:next w:val="1"/>
    <w:autoRedefine/>
    <w:unhideWhenUsed/>
    <w:qFormat/>
    <w:uiPriority w:val="39"/>
    <w:pPr>
      <w:ind w:left="1680"/>
    </w:pPr>
    <w:rPr>
      <w:rFonts w:asciiTheme="minorHAnsi" w:eastAsiaTheme="minorHAnsi"/>
      <w:sz w:val="18"/>
      <w:szCs w:val="18"/>
    </w:rPr>
  </w:style>
  <w:style w:type="paragraph" w:styleId="19">
    <w:name w:val="footer"/>
    <w:basedOn w:val="1"/>
    <w:link w:val="41"/>
    <w:autoRedefine/>
    <w:unhideWhenUsed/>
    <w:qFormat/>
    <w:uiPriority w:val="99"/>
    <w:pPr>
      <w:tabs>
        <w:tab w:val="center" w:pos="4153"/>
        <w:tab w:val="right" w:pos="8306"/>
      </w:tabs>
      <w:snapToGrid w:val="0"/>
      <w:spacing w:line="240" w:lineRule="auto"/>
    </w:pPr>
    <w:rPr>
      <w:sz w:val="18"/>
      <w:szCs w:val="18"/>
    </w:rPr>
  </w:style>
  <w:style w:type="paragraph" w:styleId="20">
    <w:name w:val="header"/>
    <w:basedOn w:val="1"/>
    <w:link w:val="40"/>
    <w:autoRedefine/>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21">
    <w:name w:val="toc 1"/>
    <w:basedOn w:val="1"/>
    <w:next w:val="1"/>
    <w:autoRedefine/>
    <w:unhideWhenUsed/>
    <w:qFormat/>
    <w:uiPriority w:val="39"/>
    <w:pPr>
      <w:spacing w:before="120" w:after="120"/>
    </w:pPr>
    <w:rPr>
      <w:rFonts w:asciiTheme="minorHAnsi" w:eastAsiaTheme="minorHAnsi"/>
      <w:b/>
      <w:bCs/>
      <w:caps/>
      <w:sz w:val="20"/>
      <w:szCs w:val="20"/>
    </w:rPr>
  </w:style>
  <w:style w:type="paragraph" w:styleId="22">
    <w:name w:val="toc 4"/>
    <w:basedOn w:val="1"/>
    <w:next w:val="1"/>
    <w:autoRedefine/>
    <w:unhideWhenUsed/>
    <w:qFormat/>
    <w:uiPriority w:val="39"/>
    <w:pPr>
      <w:ind w:left="720"/>
    </w:pPr>
    <w:rPr>
      <w:rFonts w:asciiTheme="minorHAnsi" w:eastAsiaTheme="minorHAnsi"/>
      <w:sz w:val="18"/>
      <w:szCs w:val="18"/>
    </w:rPr>
  </w:style>
  <w:style w:type="paragraph" w:styleId="23">
    <w:name w:val="footnote text"/>
    <w:basedOn w:val="1"/>
    <w:qFormat/>
    <w:uiPriority w:val="0"/>
    <w:pPr>
      <w:widowControl/>
      <w:jc w:val="left"/>
    </w:pPr>
    <w:rPr>
      <w:kern w:val="0"/>
      <w:sz w:val="20"/>
      <w:szCs w:val="20"/>
      <w:lang w:val="de-DE"/>
    </w:rPr>
  </w:style>
  <w:style w:type="paragraph" w:styleId="24">
    <w:name w:val="toc 6"/>
    <w:basedOn w:val="1"/>
    <w:next w:val="1"/>
    <w:autoRedefine/>
    <w:unhideWhenUsed/>
    <w:qFormat/>
    <w:uiPriority w:val="39"/>
    <w:pPr>
      <w:ind w:left="1200"/>
    </w:pPr>
    <w:rPr>
      <w:rFonts w:asciiTheme="minorHAnsi" w:eastAsiaTheme="minorHAnsi"/>
      <w:sz w:val="18"/>
      <w:szCs w:val="18"/>
    </w:rPr>
  </w:style>
  <w:style w:type="paragraph" w:styleId="25">
    <w:name w:val="toc 2"/>
    <w:basedOn w:val="1"/>
    <w:next w:val="1"/>
    <w:autoRedefine/>
    <w:unhideWhenUsed/>
    <w:qFormat/>
    <w:uiPriority w:val="39"/>
    <w:pPr>
      <w:ind w:left="240"/>
    </w:pPr>
    <w:rPr>
      <w:rFonts w:asciiTheme="minorHAnsi" w:eastAsiaTheme="minorHAnsi"/>
      <w:smallCaps/>
      <w:sz w:val="20"/>
      <w:szCs w:val="20"/>
    </w:rPr>
  </w:style>
  <w:style w:type="paragraph" w:styleId="26">
    <w:name w:val="toc 9"/>
    <w:basedOn w:val="1"/>
    <w:next w:val="1"/>
    <w:autoRedefine/>
    <w:unhideWhenUsed/>
    <w:qFormat/>
    <w:uiPriority w:val="39"/>
    <w:pPr>
      <w:ind w:left="1920"/>
    </w:pPr>
    <w:rPr>
      <w:rFonts w:asciiTheme="minorHAnsi" w:eastAsiaTheme="minorHAnsi"/>
      <w:sz w:val="18"/>
      <w:szCs w:val="18"/>
    </w:rPr>
  </w:style>
  <w:style w:type="paragraph" w:styleId="27">
    <w:name w:val="annotation subject"/>
    <w:basedOn w:val="12"/>
    <w:next w:val="12"/>
    <w:link w:val="51"/>
    <w:autoRedefine/>
    <w:semiHidden/>
    <w:unhideWhenUsed/>
    <w:qFormat/>
    <w:uiPriority w:val="99"/>
    <w:pPr>
      <w:spacing w:line="360" w:lineRule="auto"/>
    </w:pPr>
    <w:rPr>
      <w:rFonts w:eastAsia="宋体"/>
      <w:b/>
      <w:bCs/>
      <w:sz w:val="24"/>
      <w:szCs w:val="22"/>
    </w:rPr>
  </w:style>
  <w:style w:type="paragraph" w:styleId="28">
    <w:name w:val="Body Text First Indent 2"/>
    <w:basedOn w:val="14"/>
    <w:autoRedefine/>
    <w:qFormat/>
    <w:uiPriority w:val="0"/>
    <w:pPr>
      <w:snapToGrid/>
      <w:spacing w:after="120" w:line="240" w:lineRule="auto"/>
      <w:ind w:left="420" w:leftChars="200" w:right="0" w:firstLine="420" w:firstLineChars="200"/>
    </w:pPr>
    <w:rPr>
      <w:rFonts w:ascii="Times New Roman" w:eastAsia="宋体"/>
      <w:spacing w:val="0"/>
      <w:sz w:val="21"/>
      <w:szCs w:val="24"/>
    </w:rPr>
  </w:style>
  <w:style w:type="table" w:styleId="30">
    <w:name w:val="Table Grid"/>
    <w:basedOn w:val="29"/>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2">
    <w:name w:val="Strong"/>
    <w:autoRedefine/>
    <w:qFormat/>
    <w:uiPriority w:val="0"/>
    <w:rPr>
      <w:b/>
      <w:bCs/>
    </w:rPr>
  </w:style>
  <w:style w:type="character" w:styleId="33">
    <w:name w:val="Hyperlink"/>
    <w:basedOn w:val="31"/>
    <w:autoRedefine/>
    <w:unhideWhenUsed/>
    <w:qFormat/>
    <w:uiPriority w:val="99"/>
    <w:rPr>
      <w:color w:val="0563C1" w:themeColor="hyperlink"/>
      <w:u w:val="single"/>
      <w14:textFill>
        <w14:solidFill>
          <w14:schemeClr w14:val="hlink"/>
        </w14:solidFill>
      </w14:textFill>
    </w:rPr>
  </w:style>
  <w:style w:type="character" w:styleId="34">
    <w:name w:val="annotation reference"/>
    <w:basedOn w:val="31"/>
    <w:autoRedefine/>
    <w:qFormat/>
    <w:uiPriority w:val="0"/>
    <w:rPr>
      <w:sz w:val="21"/>
      <w:szCs w:val="21"/>
    </w:rPr>
  </w:style>
  <w:style w:type="character" w:styleId="35">
    <w:name w:val="HTML Sample"/>
    <w:basedOn w:val="31"/>
    <w:semiHidden/>
    <w:unhideWhenUsed/>
    <w:qFormat/>
    <w:uiPriority w:val="99"/>
    <w:rPr>
      <w:rFonts w:ascii="Courier New" w:hAnsi="Courier New"/>
    </w:rPr>
  </w:style>
  <w:style w:type="paragraph" w:customStyle="1" w:styleId="36">
    <w:name w:val="AONormal"/>
    <w:autoRedefine/>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37">
    <w:name w:val="正文缩进2"/>
    <w:basedOn w:val="1"/>
    <w:autoRedefine/>
    <w:qFormat/>
    <w:uiPriority w:val="0"/>
    <w:pPr>
      <w:wordWrap w:val="0"/>
      <w:ind w:firstLine="480"/>
    </w:pPr>
    <w:rPr>
      <w:iCs/>
      <w:shd w:val="clear" w:color="auto" w:fill="FFFFFF" w:themeFill="background1"/>
      <w:lang w:val="zh-CN"/>
    </w:rPr>
  </w:style>
  <w:style w:type="character" w:customStyle="1" w:styleId="38">
    <w:name w:val="标题 1 字符"/>
    <w:basedOn w:val="31"/>
    <w:link w:val="2"/>
    <w:autoRedefine/>
    <w:qFormat/>
    <w:uiPriority w:val="9"/>
    <w:rPr>
      <w:rFonts w:eastAsia="黑体"/>
      <w:b/>
      <w:bCs/>
      <w:kern w:val="44"/>
      <w:sz w:val="44"/>
      <w:szCs w:val="44"/>
    </w:rPr>
  </w:style>
  <w:style w:type="paragraph" w:styleId="39">
    <w:name w:val="List Paragraph"/>
    <w:basedOn w:val="1"/>
    <w:autoRedefine/>
    <w:qFormat/>
    <w:uiPriority w:val="34"/>
    <w:pPr>
      <w:numPr>
        <w:ilvl w:val="0"/>
        <w:numId w:val="2"/>
      </w:numPr>
    </w:pPr>
  </w:style>
  <w:style w:type="character" w:customStyle="1" w:styleId="40">
    <w:name w:val="页眉 字符"/>
    <w:basedOn w:val="31"/>
    <w:link w:val="20"/>
    <w:autoRedefine/>
    <w:qFormat/>
    <w:uiPriority w:val="99"/>
    <w:rPr>
      <w:rFonts w:eastAsia="宋体"/>
      <w:sz w:val="18"/>
      <w:szCs w:val="18"/>
    </w:rPr>
  </w:style>
  <w:style w:type="character" w:customStyle="1" w:styleId="41">
    <w:name w:val="页脚 字符"/>
    <w:basedOn w:val="31"/>
    <w:link w:val="19"/>
    <w:autoRedefine/>
    <w:qFormat/>
    <w:uiPriority w:val="99"/>
    <w:rPr>
      <w:rFonts w:eastAsia="宋体"/>
      <w:sz w:val="18"/>
      <w:szCs w:val="18"/>
    </w:rPr>
  </w:style>
  <w:style w:type="character" w:customStyle="1" w:styleId="42">
    <w:name w:val="标题 2 字符"/>
    <w:basedOn w:val="31"/>
    <w:link w:val="3"/>
    <w:autoRedefine/>
    <w:qFormat/>
    <w:uiPriority w:val="0"/>
    <w:rPr>
      <w:rFonts w:eastAsia="宋体" w:asciiTheme="majorHAnsi" w:hAnsiTheme="majorHAnsi" w:cstheme="majorBidi"/>
      <w:b/>
      <w:bCs/>
      <w:sz w:val="32"/>
      <w:szCs w:val="32"/>
    </w:rPr>
  </w:style>
  <w:style w:type="character" w:customStyle="1" w:styleId="43">
    <w:name w:val="批注文字 字符"/>
    <w:basedOn w:val="31"/>
    <w:link w:val="12"/>
    <w:autoRedefine/>
    <w:qFormat/>
    <w:uiPriority w:val="0"/>
    <w:rPr>
      <w:szCs w:val="24"/>
    </w:rPr>
  </w:style>
  <w:style w:type="paragraph" w:customStyle="1" w:styleId="44">
    <w:name w:val="Char1 Char Char Char"/>
    <w:basedOn w:val="1"/>
    <w:autoRedefine/>
    <w:qFormat/>
    <w:uiPriority w:val="0"/>
    <w:pPr>
      <w:adjustRightInd w:val="0"/>
      <w:jc w:val="both"/>
    </w:pPr>
    <w:rPr>
      <w:rFonts w:ascii="Times New Roman" w:hAnsi="Times New Roman" w:cs="Times New Roman"/>
      <w:kern w:val="0"/>
      <w:szCs w:val="20"/>
    </w:rPr>
  </w:style>
  <w:style w:type="character" w:customStyle="1" w:styleId="45">
    <w:name w:val="标题 3 字符"/>
    <w:basedOn w:val="31"/>
    <w:link w:val="4"/>
    <w:autoRedefine/>
    <w:qFormat/>
    <w:uiPriority w:val="9"/>
    <w:rPr>
      <w:rFonts w:eastAsia="宋体"/>
      <w:b/>
      <w:bCs/>
      <w:sz w:val="30"/>
      <w:szCs w:val="32"/>
    </w:rPr>
  </w:style>
  <w:style w:type="character" w:customStyle="1" w:styleId="46">
    <w:name w:val="标题 4 字符"/>
    <w:basedOn w:val="31"/>
    <w:link w:val="5"/>
    <w:autoRedefine/>
    <w:qFormat/>
    <w:uiPriority w:val="9"/>
    <w:rPr>
      <w:rFonts w:eastAsia="宋体" w:asciiTheme="majorHAnsi" w:hAnsiTheme="majorHAnsi" w:cstheme="majorBidi"/>
      <w:b/>
      <w:bCs/>
      <w:sz w:val="28"/>
      <w:szCs w:val="28"/>
    </w:rPr>
  </w:style>
  <w:style w:type="character" w:customStyle="1" w:styleId="47">
    <w:name w:val="正文文本 字符"/>
    <w:basedOn w:val="31"/>
    <w:link w:val="13"/>
    <w:autoRedefine/>
    <w:qFormat/>
    <w:uiPriority w:val="99"/>
    <w:rPr>
      <w:szCs w:val="24"/>
    </w:rPr>
  </w:style>
  <w:style w:type="paragraph" w:customStyle="1" w:styleId="48">
    <w:name w:val="样式"/>
    <w:basedOn w:val="1"/>
    <w:autoRedefine/>
    <w:qFormat/>
    <w:uiPriority w:val="0"/>
    <w:pPr>
      <w:autoSpaceDE w:val="0"/>
      <w:autoSpaceDN w:val="0"/>
      <w:snapToGrid w:val="0"/>
      <w:spacing w:before="120" w:after="120"/>
      <w:jc w:val="both"/>
    </w:pPr>
    <w:rPr>
      <w:rFonts w:hAnsi="Times New Roman" w:cs="Times New Roman"/>
      <w:kern w:val="0"/>
      <w:szCs w:val="20"/>
    </w:rPr>
  </w:style>
  <w:style w:type="paragraph" w:styleId="49">
    <w:name w:val="No Spacing"/>
    <w:autoRedefine/>
    <w:qFormat/>
    <w:uiPriority w:val="1"/>
    <w:pPr>
      <w:widowControl w:val="0"/>
    </w:pPr>
    <w:rPr>
      <w:rFonts w:ascii="宋体" w:hAnsi="宋体" w:eastAsia="宋体" w:cstheme="minorBidi"/>
      <w:kern w:val="2"/>
      <w:sz w:val="24"/>
      <w:szCs w:val="22"/>
      <w:lang w:val="en-US" w:eastAsia="zh-CN" w:bidi="ar-SA"/>
    </w:rPr>
  </w:style>
  <w:style w:type="character" w:customStyle="1" w:styleId="50">
    <w:name w:val="未处理的提及1"/>
    <w:basedOn w:val="31"/>
    <w:autoRedefine/>
    <w:semiHidden/>
    <w:unhideWhenUsed/>
    <w:qFormat/>
    <w:uiPriority w:val="99"/>
    <w:rPr>
      <w:color w:val="605E5C"/>
      <w:shd w:val="clear" w:color="auto" w:fill="E1DFDD"/>
    </w:rPr>
  </w:style>
  <w:style w:type="character" w:customStyle="1" w:styleId="51">
    <w:name w:val="批注主题 字符"/>
    <w:basedOn w:val="43"/>
    <w:link w:val="27"/>
    <w:autoRedefine/>
    <w:semiHidden/>
    <w:qFormat/>
    <w:uiPriority w:val="99"/>
    <w:rPr>
      <w:rFonts w:ascii="宋体" w:hAnsi="宋体" w:cstheme="minorBidi"/>
      <w:b/>
      <w:bCs/>
      <w:kern w:val="2"/>
      <w:sz w:val="24"/>
      <w:szCs w:val="22"/>
    </w:rPr>
  </w:style>
  <w:style w:type="character" w:customStyle="1" w:styleId="52">
    <w:name w:val="未处理的提及2"/>
    <w:basedOn w:val="31"/>
    <w:autoRedefine/>
    <w:semiHidden/>
    <w:unhideWhenUsed/>
    <w:qFormat/>
    <w:uiPriority w:val="99"/>
    <w:rPr>
      <w:color w:val="605E5C"/>
      <w:shd w:val="clear" w:color="auto" w:fill="E1DFDD"/>
    </w:rPr>
  </w:style>
  <w:style w:type="paragraph" w:customStyle="1" w:styleId="53">
    <w:name w:val="正文_2"/>
    <w:autoRedefine/>
    <w:qFormat/>
    <w:uiPriority w:val="0"/>
    <w:pPr>
      <w:widowControl w:val="0"/>
      <w:jc w:val="both"/>
    </w:pPr>
    <w:rPr>
      <w:rFonts w:ascii="Calibri" w:hAnsi="Calibri" w:eastAsia="宋体" w:cs="Times New Roman"/>
      <w:lang w:val="en-US" w:eastAsia="zh-CN" w:bidi="ar-SA"/>
    </w:rPr>
  </w:style>
  <w:style w:type="paragraph" w:customStyle="1" w:styleId="54">
    <w:name w:val="Normal"/>
    <w:autoRedefine/>
    <w:qFormat/>
    <w:uiPriority w:val="0"/>
    <w:pPr>
      <w:widowControl w:val="0"/>
      <w:jc w:val="both"/>
    </w:pPr>
    <w:rPr>
      <w:rFonts w:ascii="Times New Roman" w:hAnsi="Times New Roman" w:eastAsia="Times New Roman" w:cs="Times New Roman"/>
      <w:lang w:val="en-US" w:eastAsia="zh-CN" w:bidi="ar-SA"/>
    </w:rPr>
  </w:style>
  <w:style w:type="paragraph" w:customStyle="1" w:styleId="55">
    <w:name w:val="正文_1"/>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6">
    <w:name w:val="正文_2_0_0"/>
    <w:autoRedefine/>
    <w:qFormat/>
    <w:uiPriority w:val="99"/>
    <w:pPr>
      <w:widowControl w:val="0"/>
      <w:jc w:val="both"/>
    </w:pPr>
    <w:rPr>
      <w:rFonts w:ascii="Calibri" w:hAnsi="Calibri" w:eastAsia="宋体" w:cs="Times New Roman"/>
      <w:lang w:val="en-US" w:eastAsia="zh-CN" w:bidi="ar-SA"/>
    </w:rPr>
  </w:style>
  <w:style w:type="paragraph" w:customStyle="1" w:styleId="57">
    <w:name w:val="正文_1_1"/>
    <w:autoRedefine/>
    <w:qFormat/>
    <w:uiPriority w:val="99"/>
    <w:pPr>
      <w:widowControl w:val="0"/>
      <w:jc w:val="both"/>
    </w:pPr>
    <w:rPr>
      <w:rFonts w:ascii="Calibri" w:hAnsi="Calibri" w:eastAsia="宋体" w:cs="Times New Roman"/>
      <w:kern w:val="2"/>
      <w:sz w:val="21"/>
      <w:szCs w:val="24"/>
      <w:lang w:val="en-US" w:eastAsia="zh-CN" w:bidi="ar-SA"/>
    </w:rPr>
  </w:style>
  <w:style w:type="paragraph" w:customStyle="1" w:styleId="58">
    <w:name w:val="Normal Indent1"/>
    <w:basedOn w:val="1"/>
    <w:autoRedefine/>
    <w:qFormat/>
    <w:uiPriority w:val="0"/>
    <w:pPr>
      <w:ind w:firstLine="420" w:firstLineChars="200"/>
    </w:pPr>
  </w:style>
  <w:style w:type="paragraph" w:customStyle="1" w:styleId="59">
    <w:name w:val="LO-Normal"/>
    <w:autoRedefine/>
    <w:qFormat/>
    <w:uiPriority w:val="0"/>
    <w:pPr>
      <w:suppressAutoHyphens/>
    </w:pPr>
    <w:rPr>
      <w:rFonts w:ascii="Times New Roman" w:hAnsi="Times New Roman" w:eastAsia="宋体" w:cs="Times New Roman"/>
      <w:sz w:val="24"/>
      <w:szCs w:val="24"/>
      <w:lang w:val="en-US" w:eastAsia="zh-CN" w:bidi="ar-SA"/>
    </w:rPr>
  </w:style>
  <w:style w:type="paragraph" w:customStyle="1" w:styleId="60">
    <w:name w:val="Normal_22"/>
    <w:autoRedefine/>
    <w:qFormat/>
    <w:uiPriority w:val="0"/>
    <w:rPr>
      <w:rFonts w:ascii="Times New Roman" w:hAnsi="Times New Roman" w:eastAsia="Times New Roman" w:cs="Times New Roman"/>
      <w:sz w:val="24"/>
      <w:szCs w:val="24"/>
      <w:lang w:bidi="ar-SA"/>
    </w:rPr>
  </w:style>
  <w:style w:type="paragraph" w:customStyle="1" w:styleId="61">
    <w:name w:val="正文_6_0"/>
    <w:autoRedefine/>
    <w:qFormat/>
    <w:uiPriority w:val="0"/>
    <w:pPr>
      <w:widowControl w:val="0"/>
      <w:jc w:val="both"/>
    </w:pPr>
    <w:rPr>
      <w:rFonts w:ascii="Calibri" w:hAnsi="Calibri" w:eastAsia="宋体" w:cs="Times New Roman"/>
      <w:kern w:val="2"/>
      <w:sz w:val="21"/>
      <w:szCs w:val="22"/>
      <w:lang w:val="en-US" w:eastAsia="zh-CN" w:bidi="ar-SA"/>
    </w:rPr>
  </w:style>
  <w:style w:type="character" w:customStyle="1" w:styleId="62">
    <w:name w:val="正文_0_0_0 Char"/>
    <w:link w:val="63"/>
    <w:autoRedefine/>
    <w:qFormat/>
    <w:locked/>
    <w:uiPriority w:val="0"/>
    <w:rPr>
      <w:rFonts w:ascii="Calibri" w:hAnsi="Calibri" w:cs="Calibri"/>
      <w:kern w:val="2"/>
      <w:sz w:val="28"/>
      <w:szCs w:val="22"/>
      <w:lang w:val="en-US" w:eastAsia="zh-CN" w:bidi="ar-SA"/>
    </w:rPr>
  </w:style>
  <w:style w:type="paragraph" w:customStyle="1" w:styleId="63">
    <w:name w:val="正文_0_0_0_0_0"/>
    <w:link w:val="62"/>
    <w:autoRedefine/>
    <w:qFormat/>
    <w:uiPriority w:val="0"/>
    <w:pPr>
      <w:spacing w:before="120" w:after="120" w:line="360" w:lineRule="auto"/>
      <w:ind w:left="1072" w:hanging="1072"/>
      <w:jc w:val="both"/>
    </w:pPr>
    <w:rPr>
      <w:rFonts w:ascii="Calibri" w:hAnsi="Calibri" w:eastAsia="宋体" w:cs="Calibri"/>
      <w:kern w:val="2"/>
      <w:sz w:val="28"/>
      <w:szCs w:val="22"/>
      <w:lang w:val="en-US" w:eastAsia="zh-CN" w:bidi="ar-SA"/>
    </w:rPr>
  </w:style>
  <w:style w:type="paragraph" w:customStyle="1" w:styleId="64">
    <w:name w:val="正文文本_0_1"/>
    <w:basedOn w:val="65"/>
    <w:autoRedefine/>
    <w:qFormat/>
    <w:uiPriority w:val="99"/>
    <w:pPr>
      <w:spacing w:after="120"/>
    </w:pPr>
    <w:rPr>
      <w:rFonts w:ascii="Calibri" w:hAnsi="Calibri" w:eastAsia="宋体"/>
      <w:kern w:val="0"/>
      <w:sz w:val="24"/>
      <w:szCs w:val="20"/>
    </w:rPr>
  </w:style>
  <w:style w:type="paragraph" w:customStyle="1" w:styleId="65">
    <w:name w:val="正文_6_0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66">
    <w:name w:val="Table Paragraph_1"/>
    <w:basedOn w:val="65"/>
    <w:autoRedefine/>
    <w:qFormat/>
    <w:uiPriority w:val="0"/>
    <w:pPr>
      <w:jc w:val="left"/>
    </w:pPr>
    <w:rPr>
      <w:rFonts w:ascii="Calibri" w:hAnsi="Calibri" w:eastAsia="宋体"/>
      <w:kern w:val="0"/>
      <w:sz w:val="22"/>
      <w:lang w:eastAsia="en-US"/>
    </w:rPr>
  </w:style>
  <w:style w:type="paragraph" w:customStyle="1" w:styleId="67">
    <w:name w:val="正文_6"/>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68">
    <w:name w:val="正文1"/>
    <w:autoRedefine/>
    <w:qFormat/>
    <w:uiPriority w:val="0"/>
    <w:pPr>
      <w:widowControl w:val="0"/>
      <w:jc w:val="both"/>
    </w:pPr>
    <w:rPr>
      <w:rFonts w:ascii="Calibri" w:hAnsi="Calibri" w:eastAsia="宋体" w:cs="Times New Roman"/>
      <w:lang w:val="en-US" w:eastAsia="zh-CN" w:bidi="ar-SA"/>
    </w:rPr>
  </w:style>
  <w:style w:type="paragraph" w:customStyle="1" w:styleId="69">
    <w:name w:val="列出段落1"/>
    <w:basedOn w:val="1"/>
    <w:autoRedefine/>
    <w:qFormat/>
    <w:uiPriority w:val="0"/>
    <w:pPr>
      <w:ind w:firstLine="420" w:firstLineChars="200"/>
    </w:pPr>
    <w:rPr>
      <w:szCs w:val="21"/>
    </w:rPr>
  </w:style>
  <w:style w:type="paragraph" w:customStyle="1" w:styleId="70">
    <w:name w:val="xl31"/>
    <w:basedOn w:val="1"/>
    <w:autoRedefine/>
    <w:qFormat/>
    <w:uiPriority w:val="0"/>
    <w:pPr>
      <w:widowControl/>
      <w:spacing w:before="100" w:beforeAutospacing="1" w:after="100" w:afterAutospacing="1"/>
      <w:jc w:val="center"/>
    </w:pPr>
    <w:rPr>
      <w:b/>
      <w:bCs/>
      <w:kern w:val="0"/>
      <w:sz w:val="28"/>
      <w:szCs w:val="28"/>
    </w:rPr>
  </w:style>
  <w:style w:type="paragraph" w:customStyle="1" w:styleId="71">
    <w:name w:val="正文2"/>
    <w:basedOn w:val="1"/>
    <w:qFormat/>
    <w:uiPriority w:val="0"/>
    <w:pPr>
      <w:spacing w:before="156" w:line="360" w:lineRule="auto"/>
      <w:ind w:firstLine="510" w:firstLineChars="200"/>
    </w:pPr>
    <w:rPr>
      <w:sz w:val="24"/>
      <w:szCs w:val="20"/>
    </w:rPr>
  </w:style>
  <w:style w:type="paragraph" w:customStyle="1" w:styleId="72">
    <w:name w:val="Char Char Char Char Char Char Char1 Char"/>
    <w:basedOn w:val="1"/>
    <w:autoRedefine/>
    <w:qFormat/>
    <w:uiPriority w:val="0"/>
    <w:rPr>
      <w:rFonts w:ascii="Arial" w:hAnsi="Arial" w:eastAsia="宋体" w:cs="Arial"/>
      <w:sz w:val="24"/>
    </w:rPr>
  </w:style>
  <w:style w:type="paragraph" w:customStyle="1" w:styleId="73">
    <w:name w:val="正文缩进2格"/>
    <w:basedOn w:val="1"/>
    <w:qFormat/>
    <w:uiPriority w:val="0"/>
    <w:pPr>
      <w:spacing w:line="600" w:lineRule="exact"/>
      <w:ind w:firstLine="639" w:firstLineChars="206"/>
    </w:pPr>
    <w:rPr>
      <w:rFonts w:ascii="仿宋_GB2312" w:hAnsi="宋体" w:eastAsia="仿宋_GB2312"/>
      <w:kern w:val="0"/>
      <w:sz w:val="31"/>
      <w:szCs w:val="20"/>
    </w:rPr>
  </w:style>
  <w:style w:type="paragraph" w:customStyle="1" w:styleId="74">
    <w:name w:val="Table Text"/>
    <w:basedOn w:val="1"/>
    <w:semiHidden/>
    <w:qFormat/>
    <w:uiPriority w:val="0"/>
    <w:rPr>
      <w:rFonts w:ascii="宋体" w:hAnsi="宋体" w:eastAsia="宋体" w:cs="宋体"/>
      <w:sz w:val="24"/>
      <w:szCs w:val="24"/>
      <w:lang w:val="en-US" w:eastAsia="en-US" w:bidi="ar-SA"/>
    </w:rPr>
  </w:style>
  <w:style w:type="table" w:customStyle="1" w:styleId="75">
    <w:name w:val="Table Normal"/>
    <w:semiHidden/>
    <w:unhideWhenUsed/>
    <w:qFormat/>
    <w:uiPriority w:val="0"/>
    <w:tblPr>
      <w:tblCellMar>
        <w:top w:w="0" w:type="dxa"/>
        <w:left w:w="0" w:type="dxa"/>
        <w:bottom w:w="0" w:type="dxa"/>
        <w:right w:w="0" w:type="dxa"/>
      </w:tblCellMar>
    </w:tblPr>
  </w:style>
  <w:style w:type="character" w:customStyle="1" w:styleId="76">
    <w:name w:val="font01"/>
    <w:basedOn w:val="31"/>
    <w:qFormat/>
    <w:uiPriority w:val="0"/>
    <w:rPr>
      <w:rFonts w:hint="default" w:ascii="方正仿宋_GB2312" w:hAnsi="方正仿宋_GB2312" w:eastAsia="方正仿宋_GB2312" w:cs="方正仿宋_GB2312"/>
      <w:b/>
      <w:bCs/>
      <w:color w:val="000000"/>
      <w:sz w:val="22"/>
      <w:szCs w:val="22"/>
      <w:u w:val="single"/>
    </w:rPr>
  </w:style>
  <w:style w:type="paragraph" w:customStyle="1" w:styleId="77">
    <w:name w:val="缺省文本"/>
    <w:qFormat/>
    <w:uiPriority w:val="0"/>
    <w:pPr>
      <w:widowControl w:val="0"/>
      <w:autoSpaceDE w:val="0"/>
      <w:autoSpaceDN w:val="0"/>
      <w:adjustRightInd w:val="0"/>
    </w:pPr>
    <w:rPr>
      <w:rFonts w:ascii="Times New Roman" w:hAnsi="Times New Roman" w:eastAsia="宋体" w:cs="Times New Roman"/>
      <w:color w:val="000000"/>
      <w:szCs w:val="24"/>
      <w:lang w:val="en-US" w:eastAsia="zh-CN" w:bidi="ar-SA"/>
    </w:rPr>
  </w:style>
  <w:style w:type="paragraph" w:customStyle="1" w:styleId="78">
    <w:name w:val="段"/>
    <w:next w:val="1"/>
    <w:qFormat/>
    <w:uiPriority w:val="0"/>
    <w:pPr>
      <w:autoSpaceDE w:val="0"/>
      <w:autoSpaceDN w:val="0"/>
      <w:ind w:firstLine="200" w:firstLineChars="200"/>
      <w:jc w:val="both"/>
    </w:pPr>
    <w:rPr>
      <w:rFonts w:ascii="宋体" w:hAnsi="Times New Roman" w:eastAsia="宋体" w:cs="Times New Roman"/>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2.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109</Pages>
  <Words>31347</Words>
  <Characters>33266</Characters>
  <Lines>328</Lines>
  <Paragraphs>92</Paragraphs>
  <TotalTime>14</TotalTime>
  <ScaleCrop>false</ScaleCrop>
  <LinksUpToDate>false</LinksUpToDate>
  <CharactersWithSpaces>34162</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2024-01-02T05:57:00Z</dcterms:created>
  <dc:creator>admin</dc:creator>
  <cp:lastModifiedBy>小米粥</cp:lastModifiedBy>
  <cp:lastPrinted>2026-03-19T10:55:00Z</cp:lastPrinted>
  <dcterms:modified xsi:type="dcterms:W3CDTF">2026-04-27T10:29:30Z</dcterms:modified>
  <cp:revision>425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1A3327DA2B4546A2B9E0259E1D773495_13</vt:lpwstr>
  </property>
  <property fmtid="{D5CDD505-2E9C-101B-9397-08002B2CF9AE}" pid="4" name="KSOTemplateDocerSaveRecord">
    <vt:lpwstr>eyJoZGlkIjoiMGVmNmVjNzNmN2ViOTFlYWRmZmRkNjkwODcyNTJiNzEiLCJ1c2VySWQiOiI0ODYyMTUwMzkifQ==</vt:lpwstr>
  </property>
</Properties>
</file>