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4416E">
      <w:pPr>
        <w:adjustRightInd/>
        <w:spacing w:line="360" w:lineRule="auto"/>
        <w:jc w:val="center"/>
        <w:rPr>
          <w:rFonts w:ascii="宋体" w:hAnsi="宋体" w:cs="宋体"/>
          <w:b/>
          <w:color w:val="000000" w:themeColor="text1"/>
          <w:sz w:val="48"/>
          <w:szCs w:val="48"/>
          <w:highlight w:val="none"/>
          <w14:textFill>
            <w14:solidFill>
              <w14:schemeClr w14:val="tx1"/>
            </w14:solidFill>
          </w14:textFill>
        </w:rPr>
      </w:pPr>
      <w:bookmarkStart w:id="460" w:name="_GoBack"/>
    </w:p>
    <w:p w14:paraId="18613F71">
      <w:pPr>
        <w:adjustRightInd/>
        <w:spacing w:line="360" w:lineRule="auto"/>
        <w:jc w:val="center"/>
        <w:rPr>
          <w:rFonts w:ascii="宋体" w:hAnsi="宋体" w:cs="宋体"/>
          <w:color w:val="000000" w:themeColor="text1"/>
          <w:sz w:val="48"/>
          <w:szCs w:val="48"/>
          <w:highlight w:val="none"/>
          <w14:textFill>
            <w14:solidFill>
              <w14:schemeClr w14:val="tx1"/>
            </w14:solidFill>
          </w14:textFill>
        </w:rPr>
      </w:pPr>
      <w:bookmarkStart w:id="0" w:name="_Toc4543"/>
    </w:p>
    <w:bookmarkEnd w:id="0"/>
    <w:p w14:paraId="252F401B">
      <w:pPr>
        <w:adjustRightInd/>
        <w:spacing w:line="360" w:lineRule="auto"/>
        <w:jc w:val="center"/>
        <w:rPr>
          <w:rFonts w:hint="eastAsia" w:ascii="宋体" w:hAnsi="宋体" w:cs="宋体"/>
          <w:color w:val="000000" w:themeColor="text1"/>
          <w:sz w:val="48"/>
          <w:szCs w:val="48"/>
          <w:highlight w:val="none"/>
          <w:lang w:val="en-US" w:eastAsia="zh-CN"/>
          <w14:textFill>
            <w14:solidFill>
              <w14:schemeClr w14:val="tx1"/>
            </w14:solidFill>
          </w14:textFill>
        </w:rPr>
      </w:pPr>
      <w:r>
        <w:rPr>
          <w:rFonts w:hint="eastAsia" w:ascii="宋体" w:hAnsi="宋体" w:cs="宋体"/>
          <w:color w:val="000000" w:themeColor="text1"/>
          <w:sz w:val="48"/>
          <w:szCs w:val="48"/>
          <w:highlight w:val="none"/>
          <w:lang w:val="en-US" w:eastAsia="zh-CN"/>
          <w14:textFill>
            <w14:solidFill>
              <w14:schemeClr w14:val="tx1"/>
            </w14:solidFill>
          </w14:textFill>
        </w:rPr>
        <w:t>宁波市北仑区人民医院应急医疗救治中心核医学系统采购项目</w:t>
      </w:r>
    </w:p>
    <w:p w14:paraId="1F5B159B">
      <w:pPr>
        <w:adjustRightInd/>
        <w:spacing w:line="360" w:lineRule="auto"/>
        <w:jc w:val="center"/>
        <w:rPr>
          <w:rFonts w:ascii="宋体" w:hAnsi="宋体" w:cs="宋体"/>
          <w:color w:val="000000" w:themeColor="text1"/>
          <w:sz w:val="48"/>
          <w:szCs w:val="48"/>
          <w:highlight w:val="none"/>
          <w14:textFill>
            <w14:solidFill>
              <w14:schemeClr w14:val="tx1"/>
            </w14:solidFill>
          </w14:textFill>
        </w:rPr>
      </w:pPr>
      <w:r>
        <w:rPr>
          <w:rFonts w:hint="eastAsia" w:ascii="宋体" w:hAnsi="宋体" w:cs="宋体"/>
          <w:color w:val="000000" w:themeColor="text1"/>
          <w:sz w:val="48"/>
          <w:szCs w:val="48"/>
          <w:highlight w:val="none"/>
          <w14:textFill>
            <w14:solidFill>
              <w14:schemeClr w14:val="tx1"/>
            </w14:solidFill>
          </w14:textFill>
        </w:rPr>
        <w:t xml:space="preserve">招标文件 </w:t>
      </w:r>
    </w:p>
    <w:p w14:paraId="426D7ADB">
      <w:pPr>
        <w:adjustRightInd/>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 xml:space="preserve"> （电子招投标）</w:t>
      </w:r>
    </w:p>
    <w:p w14:paraId="7013E7B2">
      <w:pPr>
        <w:snapToGrid w:val="0"/>
        <w:spacing w:line="360" w:lineRule="auto"/>
        <w:jc w:val="center"/>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编号:</w:t>
      </w:r>
      <w:r>
        <w:rPr>
          <w:rFonts w:hint="eastAsia" w:ascii="宋体" w:hAnsi="宋体" w:cs="宋体"/>
          <w:color w:val="000000" w:themeColor="text1"/>
          <w:sz w:val="30"/>
          <w:szCs w:val="30"/>
          <w:highlight w:val="none"/>
          <w:lang w:eastAsia="zh-CN"/>
          <w14:textFill>
            <w14:solidFill>
              <w14:schemeClr w14:val="tx1"/>
            </w14:solidFill>
          </w14:textFill>
        </w:rPr>
        <w:t>CBNB-2026113</w:t>
      </w:r>
      <w:r>
        <w:rPr>
          <w:rFonts w:hint="eastAsia" w:ascii="宋体" w:hAnsi="宋体" w:cs="宋体"/>
          <w:color w:val="000000" w:themeColor="text1"/>
          <w:sz w:val="30"/>
          <w:szCs w:val="30"/>
          <w:highlight w:val="none"/>
          <w:lang w:val="en-US" w:eastAsia="zh-CN"/>
          <w14:textFill>
            <w14:solidFill>
              <w14:schemeClr w14:val="tx1"/>
            </w14:solidFill>
          </w14:textFill>
        </w:rPr>
        <w:t>2</w:t>
      </w:r>
      <w:r>
        <w:rPr>
          <w:rFonts w:hint="eastAsia" w:ascii="宋体" w:hAnsi="宋体" w:cs="宋体"/>
          <w:color w:val="000000" w:themeColor="text1"/>
          <w:sz w:val="30"/>
          <w:szCs w:val="30"/>
          <w:highlight w:val="none"/>
          <w:lang w:eastAsia="zh-CN"/>
          <w14:textFill>
            <w14:solidFill>
              <w14:schemeClr w14:val="tx1"/>
            </w14:solidFill>
          </w14:textFill>
        </w:rPr>
        <w:t>-BL01</w:t>
      </w:r>
      <w:r>
        <w:rPr>
          <w:rFonts w:hint="eastAsia" w:ascii="宋体" w:hAnsi="宋体" w:cs="宋体"/>
          <w:color w:val="000000" w:themeColor="text1"/>
          <w:sz w:val="30"/>
          <w:szCs w:val="30"/>
          <w:highlight w:val="none"/>
          <w:lang w:val="en-US" w:eastAsia="zh-CN"/>
          <w14:textFill>
            <w14:solidFill>
              <w14:schemeClr w14:val="tx1"/>
            </w14:solidFill>
          </w14:textFill>
        </w:rPr>
        <w:t>8</w:t>
      </w:r>
      <w:r>
        <w:rPr>
          <w:rFonts w:hint="eastAsia" w:ascii="宋体" w:hAnsi="宋体" w:cs="宋体"/>
          <w:color w:val="000000" w:themeColor="text1"/>
          <w:sz w:val="30"/>
          <w:szCs w:val="30"/>
          <w:highlight w:val="none"/>
          <w:lang w:eastAsia="zh-CN"/>
          <w14:textFill>
            <w14:solidFill>
              <w14:schemeClr w14:val="tx1"/>
            </w14:solidFill>
          </w14:textFill>
        </w:rPr>
        <w:t>G</w:t>
      </w:r>
    </w:p>
    <w:p w14:paraId="460F1764">
      <w:pPr>
        <w:adjustRightInd/>
        <w:spacing w:line="360" w:lineRule="auto"/>
        <w:rPr>
          <w:rFonts w:ascii="宋体" w:hAnsi="宋体" w:cs="宋体"/>
          <w:color w:val="000000" w:themeColor="text1"/>
          <w:sz w:val="28"/>
          <w:szCs w:val="20"/>
          <w:highlight w:val="none"/>
          <w14:textFill>
            <w14:solidFill>
              <w14:schemeClr w14:val="tx1"/>
            </w14:solidFill>
          </w14:textFill>
        </w:rPr>
      </w:pPr>
    </w:p>
    <w:p w14:paraId="3E121780">
      <w:pPr>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 xml:space="preserve"> </w:t>
      </w:r>
    </w:p>
    <w:p w14:paraId="182F2576">
      <w:pPr>
        <w:spacing w:line="360" w:lineRule="auto"/>
        <w:jc w:val="center"/>
        <w:rPr>
          <w:rFonts w:ascii="宋体" w:hAnsi="宋体" w:cs="宋体"/>
          <w:b/>
          <w:color w:val="000000" w:themeColor="text1"/>
          <w:sz w:val="44"/>
          <w:szCs w:val="44"/>
          <w:highlight w:val="none"/>
          <w14:textFill>
            <w14:solidFill>
              <w14:schemeClr w14:val="tx1"/>
            </w14:solidFill>
          </w14:textFill>
        </w:rPr>
      </w:pPr>
    </w:p>
    <w:p w14:paraId="7CA35577">
      <w:pPr>
        <w:spacing w:line="360" w:lineRule="auto"/>
        <w:jc w:val="center"/>
        <w:rPr>
          <w:rFonts w:ascii="宋体" w:hAnsi="宋体" w:cs="宋体"/>
          <w:color w:val="000000" w:themeColor="text1"/>
          <w:sz w:val="24"/>
          <w:highlight w:val="none"/>
          <w14:textFill>
            <w14:solidFill>
              <w14:schemeClr w14:val="tx1"/>
            </w14:solidFill>
          </w14:textFill>
        </w:rPr>
      </w:pPr>
    </w:p>
    <w:p w14:paraId="0011B125">
      <w:pPr>
        <w:spacing w:line="360" w:lineRule="auto"/>
        <w:jc w:val="center"/>
        <w:rPr>
          <w:rFonts w:ascii="宋体" w:hAnsi="宋体" w:cs="宋体"/>
          <w:color w:val="000000" w:themeColor="text1"/>
          <w:sz w:val="24"/>
          <w:highlight w:val="none"/>
          <w14:textFill>
            <w14:solidFill>
              <w14:schemeClr w14:val="tx1"/>
            </w14:solidFill>
          </w14:textFill>
        </w:rPr>
      </w:pPr>
    </w:p>
    <w:p w14:paraId="79061DED">
      <w:pPr>
        <w:spacing w:line="360" w:lineRule="auto"/>
        <w:rPr>
          <w:rFonts w:ascii="宋体" w:hAnsi="宋体" w:cs="宋体"/>
          <w:color w:val="000000" w:themeColor="text1"/>
          <w:sz w:val="32"/>
          <w:szCs w:val="32"/>
          <w:highlight w:val="none"/>
          <w14:textFill>
            <w14:solidFill>
              <w14:schemeClr w14:val="tx1"/>
            </w14:solidFill>
          </w14:textFill>
        </w:rPr>
      </w:pPr>
    </w:p>
    <w:p w14:paraId="16B94DD7">
      <w:pPr>
        <w:pStyle w:val="63"/>
        <w:ind w:firstLine="640"/>
        <w:rPr>
          <w:rFonts w:cs="宋体"/>
          <w:color w:val="000000" w:themeColor="text1"/>
          <w:sz w:val="32"/>
          <w:szCs w:val="32"/>
          <w:highlight w:val="none"/>
          <w14:textFill>
            <w14:solidFill>
              <w14:schemeClr w14:val="tx1"/>
            </w14:solidFill>
          </w14:textFill>
        </w:rPr>
      </w:pPr>
    </w:p>
    <w:p w14:paraId="5C699C65">
      <w:pPr>
        <w:rPr>
          <w:color w:val="000000" w:themeColor="text1"/>
          <w:highlight w:val="none"/>
          <w14:textFill>
            <w14:solidFill>
              <w14:schemeClr w14:val="tx1"/>
            </w14:solidFill>
          </w14:textFill>
        </w:rPr>
      </w:pPr>
    </w:p>
    <w:p w14:paraId="2E7D071F">
      <w:pPr>
        <w:spacing w:line="360" w:lineRule="auto"/>
        <w:jc w:val="center"/>
        <w:rPr>
          <w:rFonts w:hint="eastAsia" w:ascii="宋体" w:hAnsi="宋体" w:cs="宋体"/>
          <w:bCs/>
          <w:color w:val="000000" w:themeColor="text1"/>
          <w:sz w:val="32"/>
          <w:szCs w:val="32"/>
          <w:highlight w:val="none"/>
          <w14:textFill>
            <w14:solidFill>
              <w14:schemeClr w14:val="tx1"/>
            </w14:solidFill>
          </w14:textFill>
        </w:rPr>
      </w:pPr>
    </w:p>
    <w:p w14:paraId="07E0D912">
      <w:pPr>
        <w:spacing w:line="360" w:lineRule="auto"/>
        <w:jc w:val="center"/>
        <w:rPr>
          <w:rFonts w:hint="eastAsia" w:ascii="宋体" w:hAnsi="宋体" w:cs="宋体"/>
          <w:bCs/>
          <w:color w:val="000000" w:themeColor="text1"/>
          <w:sz w:val="32"/>
          <w:szCs w:val="32"/>
          <w:highlight w:val="none"/>
          <w14:textFill>
            <w14:solidFill>
              <w14:schemeClr w14:val="tx1"/>
            </w14:solidFill>
          </w14:textFill>
        </w:rPr>
      </w:pPr>
    </w:p>
    <w:p w14:paraId="57B00221">
      <w:pPr>
        <w:spacing w:line="360" w:lineRule="auto"/>
        <w:jc w:val="center"/>
        <w:rPr>
          <w:rFonts w:hint="default" w:ascii="宋体" w:hAnsi="宋体" w:eastAsia="宋体" w:cs="宋体"/>
          <w:bCs/>
          <w:color w:val="000000" w:themeColor="text1"/>
          <w:sz w:val="32"/>
          <w:szCs w:val="32"/>
          <w:highlight w:val="none"/>
          <w:lang w:val="en-US" w:eastAsia="zh-CN"/>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采购人：</w:t>
      </w:r>
      <w:r>
        <w:rPr>
          <w:rFonts w:hint="eastAsia" w:ascii="宋体" w:hAnsi="宋体" w:cs="宋体"/>
          <w:bCs/>
          <w:color w:val="000000" w:themeColor="text1"/>
          <w:sz w:val="32"/>
          <w:szCs w:val="32"/>
          <w:highlight w:val="none"/>
          <w:lang w:eastAsia="zh-CN"/>
          <w14:textFill>
            <w14:solidFill>
              <w14:schemeClr w14:val="tx1"/>
            </w14:solidFill>
          </w14:textFill>
        </w:rPr>
        <w:t>宁波市北仑区</w:t>
      </w:r>
      <w:r>
        <w:rPr>
          <w:rFonts w:hint="eastAsia" w:ascii="宋体" w:hAnsi="宋体" w:cs="宋体"/>
          <w:bCs/>
          <w:color w:val="000000" w:themeColor="text1"/>
          <w:sz w:val="32"/>
          <w:szCs w:val="32"/>
          <w:highlight w:val="none"/>
          <w:lang w:val="en-US" w:eastAsia="zh-CN"/>
          <w14:textFill>
            <w14:solidFill>
              <w14:schemeClr w14:val="tx1"/>
            </w14:solidFill>
          </w14:textFill>
        </w:rPr>
        <w:t>人民医院</w:t>
      </w:r>
    </w:p>
    <w:p w14:paraId="13F8E243">
      <w:pPr>
        <w:spacing w:line="360" w:lineRule="auto"/>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 xml:space="preserve">    </w:t>
      </w:r>
      <w:bookmarkStart w:id="1" w:name="_Toc2466"/>
      <w:r>
        <w:rPr>
          <w:rFonts w:hint="eastAsia" w:ascii="宋体" w:hAnsi="宋体" w:cs="宋体"/>
          <w:bCs/>
          <w:color w:val="000000" w:themeColor="text1"/>
          <w:sz w:val="32"/>
          <w:szCs w:val="32"/>
          <w:highlight w:val="none"/>
          <w14:textFill>
            <w14:solidFill>
              <w14:schemeClr w14:val="tx1"/>
            </w14:solidFill>
          </w14:textFill>
        </w:rPr>
        <w:t>采购代理机构：宁波中基国际招标有限公司</w:t>
      </w:r>
      <w:bookmarkEnd w:id="1"/>
    </w:p>
    <w:p w14:paraId="71B9816E">
      <w:pPr>
        <w:snapToGrid w:val="0"/>
        <w:spacing w:line="360" w:lineRule="auto"/>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202</w:t>
      </w:r>
      <w:r>
        <w:rPr>
          <w:rFonts w:hint="eastAsia" w:ascii="宋体" w:hAnsi="宋体" w:cs="宋体"/>
          <w:bCs/>
          <w:color w:val="000000" w:themeColor="text1"/>
          <w:sz w:val="32"/>
          <w:szCs w:val="32"/>
          <w:highlight w:val="none"/>
          <w:lang w:val="en-US" w:eastAsia="zh-CN"/>
          <w14:textFill>
            <w14:solidFill>
              <w14:schemeClr w14:val="tx1"/>
            </w14:solidFill>
          </w14:textFill>
        </w:rPr>
        <w:t>6</w:t>
      </w:r>
      <w:r>
        <w:rPr>
          <w:rFonts w:hint="eastAsia" w:ascii="宋体" w:hAnsi="宋体" w:cs="宋体"/>
          <w:bCs/>
          <w:color w:val="000000" w:themeColor="text1"/>
          <w:sz w:val="32"/>
          <w:szCs w:val="32"/>
          <w:highlight w:val="none"/>
          <w14:textFill>
            <w14:solidFill>
              <w14:schemeClr w14:val="tx1"/>
            </w14:solidFill>
          </w14:textFill>
        </w:rPr>
        <w:t>年</w:t>
      </w:r>
      <w:r>
        <w:rPr>
          <w:rFonts w:hint="eastAsia" w:ascii="宋体" w:hAnsi="宋体" w:cs="宋体"/>
          <w:bCs/>
          <w:color w:val="000000" w:themeColor="text1"/>
          <w:sz w:val="32"/>
          <w:szCs w:val="32"/>
          <w:highlight w:val="none"/>
          <w:lang w:val="en-US" w:eastAsia="zh-CN"/>
          <w14:textFill>
            <w14:solidFill>
              <w14:schemeClr w14:val="tx1"/>
            </w14:solidFill>
          </w14:textFill>
        </w:rPr>
        <w:t>3</w:t>
      </w:r>
      <w:r>
        <w:rPr>
          <w:rFonts w:hint="eastAsia" w:ascii="宋体" w:hAnsi="宋体" w:cs="宋体"/>
          <w:bCs/>
          <w:color w:val="000000" w:themeColor="text1"/>
          <w:sz w:val="32"/>
          <w:szCs w:val="32"/>
          <w:highlight w:val="none"/>
          <w14:textFill>
            <w14:solidFill>
              <w14:schemeClr w14:val="tx1"/>
            </w14:solidFill>
          </w14:textFill>
        </w:rPr>
        <w:t>月</w:t>
      </w:r>
    </w:p>
    <w:p w14:paraId="1B2D927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bookmarkStart w:id="2" w:name="_Hlt67893495"/>
      <w:bookmarkEnd w:id="2"/>
    </w:p>
    <w:p w14:paraId="25540553">
      <w:pPr>
        <w:spacing w:line="360" w:lineRule="auto"/>
        <w:rPr>
          <w:rFonts w:ascii="宋体" w:hAnsi="宋体" w:cs="宋体"/>
          <w:color w:val="000000" w:themeColor="text1"/>
          <w:sz w:val="32"/>
          <w:szCs w:val="32"/>
          <w:highlight w:val="none"/>
          <w14:textFill>
            <w14:solidFill>
              <w14:schemeClr w14:val="tx1"/>
            </w14:solidFill>
          </w14:textFill>
        </w:rPr>
      </w:pPr>
    </w:p>
    <w:p w14:paraId="47320A39">
      <w:pPr>
        <w:jc w:val="center"/>
        <w:rPr>
          <w:rFonts w:ascii="宋体" w:hAnsi="宋体"/>
          <w:color w:val="000000" w:themeColor="text1"/>
          <w:sz w:val="48"/>
          <w:szCs w:val="48"/>
          <w:highlight w:val="none"/>
          <w14:textFill>
            <w14:solidFill>
              <w14:schemeClr w14:val="tx1"/>
            </w14:solidFill>
          </w14:textFill>
        </w:rPr>
      </w:pPr>
      <w:r>
        <w:rPr>
          <w:rFonts w:ascii="宋体" w:hAnsi="宋体"/>
          <w:color w:val="000000" w:themeColor="text1"/>
          <w:sz w:val="48"/>
          <w:szCs w:val="48"/>
          <w:highlight w:val="none"/>
          <w14:textFill>
            <w14:solidFill>
              <w14:schemeClr w14:val="tx1"/>
            </w14:solidFill>
          </w14:textFill>
        </w:rPr>
        <w:t>目</w:t>
      </w:r>
      <w:r>
        <w:rPr>
          <w:rFonts w:hint="eastAsia" w:ascii="宋体" w:hAnsi="宋体"/>
          <w:color w:val="000000" w:themeColor="text1"/>
          <w:sz w:val="48"/>
          <w:szCs w:val="48"/>
          <w:highlight w:val="none"/>
          <w14:textFill>
            <w14:solidFill>
              <w14:schemeClr w14:val="tx1"/>
            </w14:solidFill>
          </w14:textFill>
        </w:rPr>
        <w:t xml:space="preserve">  </w:t>
      </w:r>
      <w:r>
        <w:rPr>
          <w:rFonts w:ascii="宋体" w:hAnsi="宋体"/>
          <w:color w:val="000000" w:themeColor="text1"/>
          <w:sz w:val="48"/>
          <w:szCs w:val="48"/>
          <w:highlight w:val="none"/>
          <w14:textFill>
            <w14:solidFill>
              <w14:schemeClr w14:val="tx1"/>
            </w14:solidFill>
          </w14:textFill>
        </w:rPr>
        <w:t>录</w:t>
      </w:r>
    </w:p>
    <w:p w14:paraId="2DFB40A9">
      <w:pPr>
        <w:pStyle w:val="63"/>
        <w:ind w:firstLine="960"/>
        <w:rPr>
          <w:color w:val="000000" w:themeColor="text1"/>
          <w:sz w:val="48"/>
          <w:szCs w:val="48"/>
          <w:highlight w:val="none"/>
          <w14:textFill>
            <w14:solidFill>
              <w14:schemeClr w14:val="tx1"/>
            </w14:solidFill>
          </w14:textFill>
        </w:rPr>
      </w:pPr>
    </w:p>
    <w:p w14:paraId="44B122FA">
      <w:pPr>
        <w:rPr>
          <w:color w:val="000000" w:themeColor="text1"/>
          <w:highlight w:val="none"/>
          <w14:textFill>
            <w14:solidFill>
              <w14:schemeClr w14:val="tx1"/>
            </w14:solidFill>
          </w14:textFill>
        </w:rPr>
      </w:pPr>
    </w:p>
    <w:p w14:paraId="03F7FDB4">
      <w:pPr>
        <w:pStyle w:val="44"/>
        <w:tabs>
          <w:tab w:val="right" w:leader="dot" w:pos="9070"/>
        </w:tabs>
        <w:spacing w:line="600" w:lineRule="exac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TOC \o "1-1" \h \u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"_Toc32263"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第一部分 招标公告</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_Toc32263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3</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619156F1">
      <w:pPr>
        <w:pStyle w:val="44"/>
        <w:tabs>
          <w:tab w:val="right" w:leader="dot" w:pos="9070"/>
        </w:tabs>
        <w:spacing w:line="600" w:lineRule="exact"/>
        <w:rPr>
          <w:rFonts w:ascii="宋体" w:hAnsi="宋体" w:cs="宋体"/>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"_Toc1745"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第二部分 投标人须知</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_Toc1745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7</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5B3950C9">
      <w:pPr>
        <w:pStyle w:val="44"/>
        <w:tabs>
          <w:tab w:val="right" w:leader="dot" w:pos="9070"/>
        </w:tabs>
        <w:spacing w:line="600" w:lineRule="exac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"_Toc9424"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第三部分 采购需求</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lang w:val="en-US" w:eastAsia="zh-CN"/>
          <w14:textFill>
            <w14:solidFill>
              <w14:schemeClr w14:val="tx1"/>
            </w14:solidFill>
          </w14:textFill>
        </w:rPr>
        <w:t>2</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lang w:val="en-US" w:eastAsia="zh-CN"/>
          <w14:textFill>
            <w14:solidFill>
              <w14:schemeClr w14:val="tx1"/>
            </w14:solidFill>
          </w14:textFill>
        </w:rPr>
        <w:t>5</w:t>
      </w:r>
    </w:p>
    <w:p w14:paraId="185EC257">
      <w:pPr>
        <w:pStyle w:val="44"/>
        <w:tabs>
          <w:tab w:val="right" w:leader="dot" w:pos="9070"/>
        </w:tabs>
        <w:spacing w:line="600" w:lineRule="exac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"_Toc22578"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第四部分 评标办法</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_Toc22578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42</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405CF7C6">
      <w:pPr>
        <w:pStyle w:val="44"/>
        <w:tabs>
          <w:tab w:val="right" w:leader="dot" w:pos="9070"/>
        </w:tabs>
        <w:spacing w:line="600" w:lineRule="exact"/>
        <w:rPr>
          <w:rFonts w:ascii="宋体" w:hAnsi="宋体" w:cs="宋体"/>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"_Toc12957"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第五部分 拟签订的合同文本</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_Toc12957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53</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1631B42B">
      <w:pPr>
        <w:pStyle w:val="44"/>
        <w:tabs>
          <w:tab w:val="right" w:leader="dot" w:pos="9070"/>
        </w:tabs>
        <w:spacing w:line="600" w:lineRule="exact"/>
        <w:rPr>
          <w:rFonts w:hint="default" w:ascii="宋体" w:hAnsi="宋体" w:eastAsia="宋体" w:cs="宋体"/>
          <w:color w:val="000000" w:themeColor="text1"/>
          <w:sz w:val="28"/>
          <w:szCs w:val="28"/>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"_Toc12182"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第六部分 应提交的有关格式范例</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lang w:val="en-US" w:eastAsia="zh-CN"/>
          <w14:textFill>
            <w14:solidFill>
              <w14:schemeClr w14:val="tx1"/>
            </w14:solidFill>
          </w14:textFill>
        </w:rPr>
        <w:t>61</w:t>
      </w:r>
    </w:p>
    <w:p w14:paraId="76340D43">
      <w:pPr>
        <w:spacing w:line="600" w:lineRule="exact"/>
        <w:rPr>
          <w:color w:val="000000" w:themeColor="text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end"/>
      </w:r>
    </w:p>
    <w:p w14:paraId="7A59D26A">
      <w:pPr>
        <w:spacing w:line="360" w:lineRule="auto"/>
        <w:ind w:firstLine="549" w:firstLineChars="229"/>
        <w:rPr>
          <w:rFonts w:ascii="宋体" w:hAnsi="宋体" w:cs="宋体"/>
          <w:color w:val="000000" w:themeColor="text1"/>
          <w:sz w:val="24"/>
          <w:highlight w:val="none"/>
          <w14:textFill>
            <w14:solidFill>
              <w14:schemeClr w14:val="tx1"/>
            </w14:solidFill>
          </w14:textFill>
        </w:rPr>
      </w:pPr>
      <w:bookmarkStart w:id="3" w:name="_Hlt91233176"/>
      <w:bookmarkEnd w:id="3"/>
      <w:bookmarkStart w:id="4" w:name="_Toc91899869"/>
    </w:p>
    <w:p w14:paraId="08613BD1">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0BA9EB3C">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2A9BF8BC">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774FBEF9">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142789BE">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0372952A">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0CBC325D">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7DFDFBB0">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05072B0D">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741A3314">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2EE9BA20">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68BDC84E">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4B519CF7">
      <w:pPr>
        <w:spacing w:line="360" w:lineRule="auto"/>
        <w:rPr>
          <w:rFonts w:ascii="宋体" w:hAnsi="宋体" w:cs="宋体"/>
          <w:color w:val="000000" w:themeColor="text1"/>
          <w:sz w:val="24"/>
          <w:highlight w:val="none"/>
          <w14:textFill>
            <w14:solidFill>
              <w14:schemeClr w14:val="tx1"/>
            </w14:solidFill>
          </w14:textFill>
        </w:rPr>
      </w:pPr>
    </w:p>
    <w:p w14:paraId="378E3509">
      <w:pPr>
        <w:adjustRightInd/>
        <w:spacing w:line="360" w:lineRule="auto"/>
        <w:jc w:val="center"/>
        <w:outlineLvl w:val="0"/>
        <w:rPr>
          <w:rFonts w:ascii="宋体" w:hAnsi="宋体" w:cs="宋体"/>
          <w:b/>
          <w:color w:val="000000" w:themeColor="text1"/>
          <w:sz w:val="36"/>
          <w:szCs w:val="20"/>
          <w:highlight w:val="none"/>
          <w14:textFill>
            <w14:solidFill>
              <w14:schemeClr w14:val="tx1"/>
            </w14:solidFill>
          </w14:textFill>
        </w:rPr>
      </w:pPr>
      <w:bookmarkStart w:id="5" w:name="第一部分"/>
      <w:r>
        <w:rPr>
          <w:rFonts w:hint="eastAsia" w:ascii="宋体" w:hAnsi="宋体" w:cs="宋体"/>
          <w:b/>
          <w:color w:val="000000" w:themeColor="text1"/>
          <w:sz w:val="36"/>
          <w:szCs w:val="36"/>
          <w:highlight w:val="none"/>
          <w14:textFill>
            <w14:solidFill>
              <w14:schemeClr w14:val="tx1"/>
            </w14:solidFill>
          </w14:textFill>
        </w:rPr>
        <w:br w:type="page"/>
      </w:r>
      <w:bookmarkEnd w:id="4"/>
      <w:bookmarkEnd w:id="5"/>
      <w:bookmarkStart w:id="6" w:name="_Hlt74707423"/>
      <w:bookmarkEnd w:id="6"/>
      <w:bookmarkStart w:id="7" w:name="_Hlt74729822"/>
      <w:bookmarkEnd w:id="7"/>
      <w:bookmarkStart w:id="8" w:name="_Hlt74649545"/>
      <w:bookmarkEnd w:id="8"/>
      <w:bookmarkStart w:id="9" w:name="_Hlt74728647"/>
      <w:bookmarkEnd w:id="9"/>
      <w:bookmarkStart w:id="10" w:name="_Toc15656"/>
      <w:bookmarkStart w:id="11" w:name="_Toc32263"/>
      <w:bookmarkStart w:id="12" w:name="第二部分"/>
      <w:bookmarkStart w:id="13" w:name="_Toc91899870"/>
      <w:bookmarkStart w:id="14" w:name="_Toc91899871"/>
      <w:r>
        <w:rPr>
          <w:rStyle w:val="285"/>
          <w:rFonts w:hint="eastAsia"/>
          <w:color w:val="000000" w:themeColor="text1"/>
          <w:highlight w:val="none"/>
          <w14:textFill>
            <w14:solidFill>
              <w14:schemeClr w14:val="tx1"/>
            </w14:solidFill>
          </w14:textFill>
        </w:rPr>
        <w:t>第一部分 招标公告</w:t>
      </w:r>
      <w:bookmarkEnd w:id="10"/>
      <w:bookmarkEnd w:id="11"/>
    </w:p>
    <w:p w14:paraId="33908464">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项目概况</w:t>
      </w:r>
    </w:p>
    <w:p w14:paraId="62157E76">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宁波市北仑区人民医院应急医疗救治中心核医学系统采购项目</w:t>
      </w:r>
      <w:r>
        <w:rPr>
          <w:rFonts w:hint="eastAsia" w:asciiTheme="minorEastAsia" w:hAnsiTheme="minorEastAsia" w:eastAsiaTheme="minorEastAsia"/>
          <w:color w:val="000000" w:themeColor="text1"/>
          <w:sz w:val="24"/>
          <w:highlight w:val="none"/>
          <w14:textFill>
            <w14:solidFill>
              <w14:schemeClr w14:val="tx1"/>
            </w14:solidFill>
          </w14:textFill>
        </w:rPr>
        <w:t>招标项目的潜在投标人应在政采云平台（</w:t>
      </w:r>
      <w:r>
        <w:rPr>
          <w:rFonts w:asciiTheme="minorEastAsia" w:hAnsiTheme="minorEastAsia" w:eastAsiaTheme="minorEastAsia"/>
          <w:color w:val="000000" w:themeColor="text1"/>
          <w:sz w:val="24"/>
          <w:highlight w:val="none"/>
          <w14:textFill>
            <w14:solidFill>
              <w14:schemeClr w14:val="tx1"/>
            </w14:solidFill>
          </w14:textFill>
        </w:rPr>
        <w:t>https://www.zcygov.cn/）获取（下载）招标文件，并于</w:t>
      </w:r>
      <w:r>
        <w:rPr>
          <w:rFonts w:hint="eastAsia" w:asciiTheme="minorEastAsia" w:hAnsiTheme="minorEastAsia" w:eastAsiaTheme="minorEastAsia"/>
          <w:color w:val="000000" w:themeColor="text1"/>
          <w:sz w:val="24"/>
          <w:highlight w:val="none"/>
          <w14:textFill>
            <w14:solidFill>
              <w14:schemeClr w14:val="tx1"/>
            </w14:solidFill>
          </w14:textFill>
        </w:rPr>
        <w:t>2026年4月21日</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09</w:t>
      </w:r>
      <w:r>
        <w:rPr>
          <w:rFonts w:hint="eastAsia" w:asciiTheme="minorEastAsia" w:hAnsiTheme="minorEastAsia" w:eastAsiaTheme="minorEastAsia"/>
          <w:color w:val="000000" w:themeColor="text1"/>
          <w:sz w:val="24"/>
          <w:highlight w:val="none"/>
          <w14:textFill>
            <w14:solidFill>
              <w14:schemeClr w14:val="tx1"/>
            </w14:solidFill>
          </w14:textFill>
        </w:rPr>
        <w:t>点</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30</w:t>
      </w:r>
      <w:r>
        <w:rPr>
          <w:rFonts w:hint="eastAsia" w:asciiTheme="minorEastAsia" w:hAnsiTheme="minorEastAsia" w:eastAsiaTheme="minorEastAsia"/>
          <w:color w:val="000000" w:themeColor="text1"/>
          <w:sz w:val="24"/>
          <w:highlight w:val="none"/>
          <w14:textFill>
            <w14:solidFill>
              <w14:schemeClr w14:val="tx1"/>
            </w14:solidFill>
          </w14:textFill>
        </w:rPr>
        <w:t>分</w:t>
      </w:r>
      <w:r>
        <w:rPr>
          <w:rFonts w:hint="eastAsia" w:asciiTheme="minorEastAsia" w:hAnsiTheme="minorEastAsia" w:eastAsiaTheme="minorEastAsia"/>
          <w:bCs/>
          <w:color w:val="000000" w:themeColor="text1"/>
          <w:sz w:val="24"/>
          <w:highlight w:val="none"/>
          <w14:textFill>
            <w14:solidFill>
              <w14:schemeClr w14:val="tx1"/>
            </w14:solidFill>
          </w14:textFill>
        </w:rPr>
        <w:t>（北京时间）前</w:t>
      </w:r>
      <w:r>
        <w:rPr>
          <w:rFonts w:hint="eastAsia" w:asciiTheme="minorEastAsia" w:hAnsiTheme="minorEastAsia" w:eastAsiaTheme="minorEastAsia"/>
          <w:color w:val="000000" w:themeColor="text1"/>
          <w:sz w:val="24"/>
          <w:highlight w:val="none"/>
          <w14:textFill>
            <w14:solidFill>
              <w14:schemeClr w14:val="tx1"/>
            </w14:solidFill>
          </w14:textFill>
        </w:rPr>
        <w:t>递交（上传）投标文件。</w:t>
      </w:r>
    </w:p>
    <w:p w14:paraId="46182A76">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一、项目基本情况                                            </w:t>
      </w:r>
    </w:p>
    <w:p w14:paraId="00AFBCCC">
      <w:pPr>
        <w:spacing w:line="360" w:lineRule="auto"/>
        <w:outlineLvl w:val="1"/>
        <w:rPr>
          <w:rFonts w:ascii="宋体" w:hAnsi="宋体" w:cs="宋体"/>
          <w:b w:val="0"/>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bookmarkStart w:id="15" w:name="_Toc23734"/>
      <w:r>
        <w:rPr>
          <w:rFonts w:hint="eastAsia" w:ascii="宋体" w:hAnsi="宋体" w:cs="宋体"/>
          <w:b/>
          <w:color w:val="000000" w:themeColor="text1"/>
          <w:sz w:val="24"/>
          <w:highlight w:val="none"/>
          <w14:textFill>
            <w14:solidFill>
              <w14:schemeClr w14:val="tx1"/>
            </w14:solidFill>
          </w14:textFill>
        </w:rPr>
        <w:t>项目编号：</w:t>
      </w:r>
      <w:r>
        <w:rPr>
          <w:rFonts w:hint="eastAsia" w:ascii="宋体" w:hAnsi="宋体" w:cs="宋体"/>
          <w:b w:val="0"/>
          <w:bCs/>
          <w:color w:val="000000" w:themeColor="text1"/>
          <w:sz w:val="24"/>
          <w:highlight w:val="none"/>
          <w:lang w:eastAsia="zh-CN"/>
          <w14:textFill>
            <w14:solidFill>
              <w14:schemeClr w14:val="tx1"/>
            </w14:solidFill>
          </w14:textFill>
        </w:rPr>
        <w:t>CBNB-20261132-BL018G</w:t>
      </w:r>
      <w:r>
        <w:rPr>
          <w:rFonts w:hint="eastAsia" w:ascii="宋体" w:hAnsi="宋体" w:cs="宋体"/>
          <w:b w:val="0"/>
          <w:bCs/>
          <w:color w:val="000000" w:themeColor="text1"/>
          <w:sz w:val="24"/>
          <w:highlight w:val="none"/>
          <w14:textFill>
            <w14:solidFill>
              <w14:schemeClr w14:val="tx1"/>
            </w14:solidFill>
          </w14:textFill>
        </w:rPr>
        <w:t> </w:t>
      </w:r>
      <w:bookmarkEnd w:id="15"/>
    </w:p>
    <w:p w14:paraId="5B95004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 xml:space="preserve"> 项目名称：</w:t>
      </w:r>
      <w:r>
        <w:rPr>
          <w:rFonts w:hint="eastAsia" w:ascii="宋体" w:hAnsi="宋体" w:cs="宋体"/>
          <w:b w:val="0"/>
          <w:bCs/>
          <w:color w:val="000000" w:themeColor="text1"/>
          <w:sz w:val="24"/>
          <w:highlight w:val="none"/>
          <w:lang w:val="en-US" w:eastAsia="zh-CN"/>
          <w14:textFill>
            <w14:solidFill>
              <w14:schemeClr w14:val="tx1"/>
            </w14:solidFill>
          </w14:textFill>
        </w:rPr>
        <w:t>宁波市北仑区人民医院应急医疗救治中心核医学系统采购项目</w:t>
      </w:r>
    </w:p>
    <w:p w14:paraId="4C10794D">
      <w:pPr>
        <w:spacing w:line="360" w:lineRule="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 xml:space="preserve"> 预算金额（元）：</w:t>
      </w:r>
      <w:r>
        <w:rPr>
          <w:rFonts w:hint="eastAsia" w:ascii="宋体" w:hAnsi="宋体" w:cs="宋体"/>
          <w:b w:val="0"/>
          <w:bCs w:val="0"/>
          <w:color w:val="000000" w:themeColor="text1"/>
          <w:sz w:val="24"/>
          <w:highlight w:val="none"/>
          <w:lang w:val="en-US" w:eastAsia="zh-CN"/>
          <w14:textFill>
            <w14:solidFill>
              <w14:schemeClr w14:val="tx1"/>
            </w14:solidFill>
          </w14:textFill>
        </w:rPr>
        <w:t>30</w:t>
      </w:r>
      <w:r>
        <w:rPr>
          <w:rFonts w:hint="eastAsia" w:ascii="宋体" w:hAnsi="宋体" w:cs="宋体"/>
          <w:b w:val="0"/>
          <w:bCs w:val="0"/>
          <w:color w:val="000000" w:themeColor="text1"/>
          <w:sz w:val="24"/>
          <w:highlight w:val="none"/>
          <w14:textFill>
            <w14:solidFill>
              <w14:schemeClr w14:val="tx1"/>
            </w14:solidFill>
          </w14:textFill>
        </w:rPr>
        <w:t>0,000.00</w:t>
      </w:r>
    </w:p>
    <w:p w14:paraId="3694283B">
      <w:pPr>
        <w:spacing w:line="360" w:lineRule="auto"/>
        <w:ind w:firstLine="480"/>
        <w:rPr>
          <w:rFonts w:ascii="宋体" w:hAnsi="宋体" w:cs="宋体"/>
          <w:b w:val="0"/>
          <w:bCs w:val="0"/>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最高限价（元）：</w:t>
      </w:r>
      <w:r>
        <w:rPr>
          <w:rFonts w:hint="eastAsia" w:ascii="宋体" w:hAnsi="宋体" w:cs="宋体"/>
          <w:b w:val="0"/>
          <w:bCs w:val="0"/>
          <w:color w:val="000000" w:themeColor="text1"/>
          <w:sz w:val="24"/>
          <w:highlight w:val="none"/>
          <w:lang w:val="en-US" w:eastAsia="zh-CN"/>
          <w14:textFill>
            <w14:solidFill>
              <w14:schemeClr w14:val="tx1"/>
            </w14:solidFill>
          </w14:textFill>
        </w:rPr>
        <w:t>30</w:t>
      </w:r>
      <w:r>
        <w:rPr>
          <w:rFonts w:hint="eastAsia" w:ascii="宋体" w:hAnsi="宋体" w:cs="宋体"/>
          <w:b w:val="0"/>
          <w:bCs w:val="0"/>
          <w:color w:val="000000" w:themeColor="text1"/>
          <w:sz w:val="24"/>
          <w:highlight w:val="none"/>
          <w14:textFill>
            <w14:solidFill>
              <w14:schemeClr w14:val="tx1"/>
            </w14:solidFill>
          </w14:textFill>
        </w:rPr>
        <w:t>0,000.00</w:t>
      </w:r>
    </w:p>
    <w:p w14:paraId="53FA1EDD">
      <w:pPr>
        <w:pStyle w:val="62"/>
        <w:rPr>
          <w:b/>
          <w:bCs/>
          <w:color w:val="000000" w:themeColor="text1"/>
          <w:highlight w:val="none"/>
          <w:lang w:val="en-US"/>
          <w14:textFill>
            <w14:solidFill>
              <w14:schemeClr w14:val="tx1"/>
            </w14:solidFill>
          </w14:textFill>
        </w:rPr>
      </w:pPr>
      <w:r>
        <w:rPr>
          <w:rFonts w:hint="eastAsia" w:hAnsi="宋体" w:cs="宋体"/>
          <w:b/>
          <w:bCs/>
          <w:color w:val="000000" w:themeColor="text1"/>
          <w:highlight w:val="none"/>
          <w:lang w:val="en-US"/>
          <w14:textFill>
            <w14:solidFill>
              <w14:schemeClr w14:val="tx1"/>
            </w14:solidFill>
          </w14:textFill>
        </w:rPr>
        <w:t>采购需求：</w:t>
      </w:r>
    </w:p>
    <w:p w14:paraId="1CE37C36">
      <w:pPr>
        <w:snapToGrid w:val="0"/>
        <w:spacing w:line="360" w:lineRule="auto"/>
        <w:ind w:firstLine="480" w:firstLineChars="200"/>
        <w:rPr>
          <w:rFonts w:hint="default" w:asciiTheme="minorEastAsia" w:hAnsiTheme="minorEastAsia" w:eastAsiaTheme="minorEastAsia"/>
          <w:color w:val="000000" w:themeColor="text1"/>
          <w:sz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标项名称:</w:t>
      </w:r>
      <w:r>
        <w:rPr>
          <w:rFonts w:hint="eastAsia" w:ascii="宋体" w:hAnsi="宋体" w:cs="宋体"/>
          <w:b w:val="0"/>
          <w:bCs/>
          <w:color w:val="000000" w:themeColor="text1"/>
          <w:sz w:val="24"/>
          <w:highlight w:val="none"/>
          <w:lang w:val="en-US" w:eastAsia="zh-CN"/>
          <w14:textFill>
            <w14:solidFill>
              <w14:schemeClr w14:val="tx1"/>
            </w14:solidFill>
          </w14:textFill>
        </w:rPr>
        <w:t>核医学系统</w:t>
      </w:r>
    </w:p>
    <w:p w14:paraId="3A760815">
      <w:pPr>
        <w:snapToGrid w:val="0"/>
        <w:spacing w:line="360" w:lineRule="auto"/>
        <w:ind w:firstLine="480" w:firstLineChars="200"/>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数量:</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1项</w:t>
      </w:r>
    </w:p>
    <w:p w14:paraId="1784F59F">
      <w:pPr>
        <w:snapToGrid w:val="0"/>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预算金额（元）:</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30</w:t>
      </w:r>
      <w:r>
        <w:rPr>
          <w:rFonts w:hint="eastAsia" w:ascii="宋体" w:hAnsi="宋体" w:cs="宋体"/>
          <w:b w:val="0"/>
          <w:bCs w:val="0"/>
          <w:color w:val="000000" w:themeColor="text1"/>
          <w:sz w:val="24"/>
          <w:highlight w:val="none"/>
          <w14:textFill>
            <w14:solidFill>
              <w14:schemeClr w14:val="tx1"/>
            </w14:solidFill>
          </w14:textFill>
        </w:rPr>
        <w:t>0,000.00</w:t>
      </w:r>
    </w:p>
    <w:p w14:paraId="251C4854">
      <w:pPr>
        <w:pStyle w:val="63"/>
        <w:adjustRightInd w:val="0"/>
        <w:snapToGrid w:val="0"/>
        <w:spacing w:after="0" w:line="360" w:lineRule="auto"/>
        <w:ind w:left="0" w:leftChars="0" w:firstLine="48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简要规格描述或项目基本概况介绍、用途：具体以招标文件第三部分采购需求为准。</w:t>
      </w:r>
    </w:p>
    <w:p w14:paraId="0C799AB6">
      <w:pPr>
        <w:pStyle w:val="6"/>
        <w:spacing w:line="360" w:lineRule="auto"/>
        <w:ind w:firstLine="480"/>
        <w:rPr>
          <w:rFonts w:hint="eastAsia" w:asciiTheme="minorEastAsia" w:hAnsiTheme="minorEastAsia" w:eastAsiaTheme="minorEastAsia"/>
          <w:snapToGrid/>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snapToGrid/>
          <w:color w:val="000000" w:themeColor="text1"/>
          <w:kern w:val="2"/>
          <w:sz w:val="24"/>
          <w:szCs w:val="24"/>
          <w:highlight w:val="none"/>
          <w14:textFill>
            <w14:solidFill>
              <w14:schemeClr w14:val="tx1"/>
            </w14:solidFill>
          </w14:textFill>
        </w:rPr>
        <w:t>备注：</w:t>
      </w:r>
      <w:r>
        <w:rPr>
          <w:rFonts w:hint="eastAsia" w:asciiTheme="minorEastAsia" w:hAnsiTheme="minorEastAsia" w:eastAsiaTheme="minorEastAsia"/>
          <w:snapToGrid/>
          <w:color w:val="000000" w:themeColor="text1"/>
          <w:kern w:val="2"/>
          <w:sz w:val="24"/>
          <w:szCs w:val="24"/>
          <w:highlight w:val="none"/>
          <w:lang w:val="en-US" w:eastAsia="zh-CN"/>
          <w14:textFill>
            <w14:solidFill>
              <w14:schemeClr w14:val="tx1"/>
            </w14:solidFill>
          </w14:textFill>
        </w:rPr>
        <w:t>/</w:t>
      </w:r>
    </w:p>
    <w:p w14:paraId="002166EA">
      <w:pPr>
        <w:pStyle w:val="133"/>
        <w:snapToGrid w:val="0"/>
        <w:spacing w:before="0"/>
        <w:ind w:firstLine="480"/>
        <w:outlineLvl w:val="2"/>
        <w:rPr>
          <w:rFonts w:ascii="宋体" w:hAnsi="宋体" w:cs="宋体"/>
          <w:color w:val="000000" w:themeColor="text1"/>
          <w:highlight w:val="none"/>
          <w14:textFill>
            <w14:solidFill>
              <w14:schemeClr w14:val="tx1"/>
            </w14:solidFill>
          </w14:textFill>
        </w:rPr>
      </w:pPr>
      <w:bookmarkStart w:id="16" w:name="_Toc27797"/>
      <w:r>
        <w:rPr>
          <w:rFonts w:hint="eastAsia" w:ascii="宋体" w:hAnsi="宋体" w:cs="宋体"/>
          <w:bCs/>
          <w:color w:val="000000" w:themeColor="text1"/>
          <w:highlight w:val="none"/>
          <w14:textFill>
            <w14:solidFill>
              <w14:schemeClr w14:val="tx1"/>
            </w14:solidFill>
          </w14:textFill>
        </w:rPr>
        <w:t>合同履约期限：</w:t>
      </w:r>
      <w:bookmarkEnd w:id="16"/>
      <w:r>
        <w:rPr>
          <w:rFonts w:hint="eastAsia" w:ascii="宋体" w:hAnsi="宋体" w:cs="宋体"/>
          <w:bCs/>
          <w:color w:val="000000" w:themeColor="text1"/>
          <w:szCs w:val="21"/>
          <w:highlight w:val="none"/>
          <w14:textFill>
            <w14:solidFill>
              <w14:schemeClr w14:val="tx1"/>
            </w14:solidFill>
          </w14:textFill>
        </w:rPr>
        <w:t>自合同签订生效后开始至双方合同义务完全履行后截止。</w:t>
      </w:r>
      <w:r>
        <w:rPr>
          <w:rFonts w:hint="eastAsia" w:ascii="宋体" w:hAnsi="宋体" w:cs="宋体"/>
          <w:b/>
          <w:color w:val="000000" w:themeColor="text1"/>
          <w:highlight w:val="none"/>
          <w14:textFill>
            <w14:solidFill>
              <w14:schemeClr w14:val="tx1"/>
            </w14:solidFill>
          </w14:textFill>
        </w:rPr>
        <w:t xml:space="preserve"> </w:t>
      </w:r>
    </w:p>
    <w:p w14:paraId="7F7D8257">
      <w:pPr>
        <w:pStyle w:val="6"/>
        <w:spacing w:line="360" w:lineRule="auto"/>
        <w:ind w:firstLine="480"/>
        <w:rPr>
          <w:rFonts w:hAnsi="宋体" w:cs="宋体"/>
          <w:color w:val="000000" w:themeColor="text1"/>
          <w:kern w:val="0"/>
          <w:sz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本项目接受联合体投标。</w:t>
      </w:r>
    </w:p>
    <w:p w14:paraId="45E1A9DF">
      <w:pPr>
        <w:spacing w:line="360" w:lineRule="auto"/>
        <w:outlineLvl w:val="1"/>
        <w:rPr>
          <w:rFonts w:ascii="宋体" w:hAnsi="宋体" w:cs="宋体"/>
          <w:b/>
          <w:color w:val="000000" w:themeColor="text1"/>
          <w:sz w:val="24"/>
          <w:highlight w:val="none"/>
          <w14:textFill>
            <w14:solidFill>
              <w14:schemeClr w14:val="tx1"/>
            </w14:solidFill>
          </w14:textFill>
        </w:rPr>
      </w:pPr>
      <w:bookmarkStart w:id="17" w:name="_Toc23184"/>
      <w:r>
        <w:rPr>
          <w:rFonts w:hint="eastAsia" w:ascii="宋体" w:hAnsi="宋体" w:cs="宋体"/>
          <w:b/>
          <w:color w:val="000000" w:themeColor="text1"/>
          <w:sz w:val="24"/>
          <w:highlight w:val="none"/>
          <w14:textFill>
            <w14:solidFill>
              <w14:schemeClr w14:val="tx1"/>
            </w14:solidFill>
          </w14:textFill>
        </w:rPr>
        <w:t>二、</w:t>
      </w:r>
      <w:bookmarkStart w:id="18" w:name="_Hlk101132948"/>
      <w:r>
        <w:rPr>
          <w:rFonts w:hint="eastAsia" w:ascii="宋体" w:hAnsi="宋体" w:cs="宋体"/>
          <w:b/>
          <w:color w:val="000000" w:themeColor="text1"/>
          <w:sz w:val="24"/>
          <w:highlight w:val="none"/>
          <w14:textFill>
            <w14:solidFill>
              <w14:schemeClr w14:val="tx1"/>
            </w14:solidFill>
          </w14:textFill>
        </w:rPr>
        <w:t>申请人的资格要求</w:t>
      </w:r>
      <w:bookmarkEnd w:id="18"/>
      <w:r>
        <w:rPr>
          <w:rFonts w:hint="eastAsia" w:ascii="宋体" w:hAnsi="宋体" w:cs="宋体"/>
          <w:b/>
          <w:color w:val="000000" w:themeColor="text1"/>
          <w:sz w:val="24"/>
          <w:highlight w:val="none"/>
          <w14:textFill>
            <w14:solidFill>
              <w14:schemeClr w14:val="tx1"/>
            </w14:solidFill>
          </w14:textFill>
        </w:rPr>
        <w:t>：</w:t>
      </w:r>
      <w:bookmarkEnd w:id="17"/>
    </w:p>
    <w:p w14:paraId="55FB62D0">
      <w:pPr>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 满足《中华人民共和国政府采购法》第二十二条规定；未被“信用中国”（www.creditchina.gov.cn)、中国政府采购网（www.ccgp.gov.cn）列入失信被执行人、</w:t>
      </w:r>
      <w:r>
        <w:rPr>
          <w:rFonts w:hint="eastAsia" w:ascii="宋体" w:hAnsi="宋体" w:cs="宋体"/>
          <w:color w:val="000000" w:themeColor="text1"/>
          <w:sz w:val="24"/>
          <w:highlight w:val="none"/>
          <w14:textFill>
            <w14:solidFill>
              <w14:schemeClr w14:val="tx1"/>
            </w14:solidFill>
          </w14:textFill>
        </w:rPr>
        <w:t>重大税收违法失信主体</w:t>
      </w:r>
      <w:r>
        <w:rPr>
          <w:rFonts w:hint="eastAsia" w:ascii="宋体" w:hAnsi="宋体" w:cs="宋体"/>
          <w:snapToGrid w:val="0"/>
          <w:color w:val="000000" w:themeColor="text1"/>
          <w:kern w:val="28"/>
          <w:sz w:val="24"/>
          <w:szCs w:val="20"/>
          <w:highlight w:val="none"/>
          <w14:textFill>
            <w14:solidFill>
              <w14:schemeClr w14:val="tx1"/>
            </w14:solidFill>
          </w14:textFill>
        </w:rPr>
        <w:t>、政府采购严重违法失信行为记录名单；</w:t>
      </w:r>
    </w:p>
    <w:p w14:paraId="05DCA13C">
      <w:pPr>
        <w:spacing w:line="360" w:lineRule="auto"/>
        <w:ind w:firstLine="480" w:firstLineChars="20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2.落实政府采购政策需满足的资格要求：</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无；</w:t>
      </w:r>
    </w:p>
    <w:p w14:paraId="0FD777FC">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3.本项目的特定资格要求：</w:t>
      </w:r>
      <w:r>
        <w:rPr>
          <w:rFonts w:hint="eastAsia" w:ascii="宋体" w:hAnsi="宋体" w:cs="宋体"/>
          <w:color w:val="000000" w:themeColor="text1"/>
          <w:sz w:val="24"/>
          <w:highlight w:val="none"/>
          <w:lang w:val="en-US" w:eastAsia="zh-CN"/>
          <w14:textFill>
            <w14:solidFill>
              <w14:schemeClr w14:val="tx1"/>
            </w14:solidFill>
          </w14:textFill>
        </w:rPr>
        <w:t>无；</w:t>
      </w:r>
    </w:p>
    <w:p w14:paraId="45CFAB60">
      <w:pPr>
        <w:snapToGri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Start w:id="19" w:name="_Toc15435"/>
    </w:p>
    <w:p w14:paraId="400C5C30">
      <w:pPr>
        <w:spacing w:line="360" w:lineRule="auto"/>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三、获取招标文件</w:t>
      </w:r>
      <w:bookmarkEnd w:id="19"/>
      <w:r>
        <w:rPr>
          <w:rFonts w:hint="eastAsia" w:ascii="宋体" w:hAnsi="宋体" w:cs="宋体"/>
          <w:b/>
          <w:color w:val="000000" w:themeColor="text1"/>
          <w:sz w:val="24"/>
          <w:highlight w:val="none"/>
          <w14:textFill>
            <w14:solidFill>
              <w14:schemeClr w14:val="tx1"/>
            </w14:solidFill>
          </w14:textFill>
        </w:rPr>
        <w:t xml:space="preserve"> </w:t>
      </w:r>
    </w:p>
    <w:p w14:paraId="3418F873">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时间：</w:t>
      </w:r>
      <w:r>
        <w:rPr>
          <w:rFonts w:hint="eastAsia" w:ascii="宋体" w:hAnsi="宋体" w:cs="宋体"/>
          <w:bCs/>
          <w:color w:val="000000" w:themeColor="text1"/>
          <w:sz w:val="24"/>
          <w:highlight w:val="none"/>
          <w:u w:val="single"/>
          <w:lang w:val="en-US" w:eastAsia="zh-CN"/>
          <w14:textFill>
            <w14:solidFill>
              <w14:schemeClr w14:val="tx1"/>
            </w14:solidFill>
          </w14:textFill>
        </w:rPr>
        <w:t>2026年3月31日</w:t>
      </w:r>
      <w:r>
        <w:rPr>
          <w:rFonts w:hint="eastAsia" w:ascii="宋体" w:hAnsi="宋体" w:cs="宋体"/>
          <w:bCs/>
          <w:color w:val="000000" w:themeColor="text1"/>
          <w:sz w:val="24"/>
          <w:highlight w:val="none"/>
          <w14:textFill>
            <w14:solidFill>
              <w14:schemeClr w14:val="tx1"/>
            </w14:solidFill>
          </w14:textFill>
        </w:rPr>
        <w:t>至</w:t>
      </w:r>
      <w:r>
        <w:rPr>
          <w:rFonts w:hint="eastAsia" w:ascii="宋体" w:hAnsi="宋体" w:cs="宋体"/>
          <w:bCs/>
          <w:color w:val="000000" w:themeColor="text1"/>
          <w:sz w:val="24"/>
          <w:highlight w:val="none"/>
          <w:u w:val="single"/>
          <w14:textFill>
            <w14:solidFill>
              <w14:schemeClr w14:val="tx1"/>
            </w14:solidFill>
          </w14:textFill>
        </w:rPr>
        <w:t>2026年4月</w:t>
      </w:r>
      <w:r>
        <w:rPr>
          <w:rFonts w:hint="eastAsia" w:ascii="宋体" w:hAnsi="宋体" w:cs="宋体"/>
          <w:bCs/>
          <w:color w:val="000000" w:themeColor="text1"/>
          <w:sz w:val="24"/>
          <w:highlight w:val="none"/>
          <w:u w:val="single"/>
          <w:lang w:val="en-US" w:eastAsia="zh-CN"/>
          <w14:textFill>
            <w14:solidFill>
              <w14:schemeClr w14:val="tx1"/>
            </w14:solidFill>
          </w14:textFill>
        </w:rPr>
        <w:t>8</w:t>
      </w:r>
      <w:r>
        <w:rPr>
          <w:rFonts w:hint="eastAsia" w:ascii="宋体" w:hAnsi="宋体" w:cs="宋体"/>
          <w:bCs/>
          <w:color w:val="000000" w:themeColor="text1"/>
          <w:sz w:val="24"/>
          <w:highlight w:val="none"/>
          <w:u w:val="single"/>
          <w14:textFill>
            <w14:solidFill>
              <w14:schemeClr w14:val="tx1"/>
            </w14:solidFill>
          </w14:textFill>
        </w:rPr>
        <w:t>日</w:t>
      </w:r>
      <w:r>
        <w:rPr>
          <w:rFonts w:hint="eastAsia" w:ascii="宋体" w:hAnsi="宋体" w:cs="宋体"/>
          <w:bCs/>
          <w:color w:val="000000" w:themeColor="text1"/>
          <w:sz w:val="24"/>
          <w:highlight w:val="none"/>
          <w14:textFill>
            <w14:solidFill>
              <w14:schemeClr w14:val="tx1"/>
            </w14:solidFill>
          </w14:textFill>
        </w:rPr>
        <w:t>，每天上午00:00至12:00 ，下午12:00至23:59（北京时间，线上获取法定节假日均可）</w:t>
      </w:r>
    </w:p>
    <w:p w14:paraId="716326D6">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地点（网址）：政采云平台（https://www.zcygov.cn/） </w:t>
      </w:r>
    </w:p>
    <w:p w14:paraId="304CD7C4">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方式：供应商登录政采云平台https://www.zcygov.cn/在线申请获取采购文件（进入“项目采购”应用，在获取采购文件菜单中选择项目，申请获取采购文件）。 </w:t>
      </w:r>
    </w:p>
    <w:p w14:paraId="462031E0">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售价（元）：0 </w:t>
      </w:r>
      <w:r>
        <w:rPr>
          <w:rFonts w:hint="eastAsia" w:ascii="宋体" w:hAnsi="宋体" w:cs="宋体"/>
          <w:bCs/>
          <w:color w:val="000000" w:themeColor="text1"/>
          <w:sz w:val="24"/>
          <w:highlight w:val="none"/>
          <w14:textFill>
            <w14:solidFill>
              <w14:schemeClr w14:val="tx1"/>
            </w14:solidFill>
          </w14:textFill>
        </w:rPr>
        <w:tab/>
      </w:r>
    </w:p>
    <w:p w14:paraId="2EF672BE">
      <w:pPr>
        <w:spacing w:line="360" w:lineRule="auto"/>
        <w:outlineLvl w:val="1"/>
        <w:rPr>
          <w:rFonts w:ascii="宋体" w:hAnsi="宋体" w:cs="宋体"/>
          <w:b/>
          <w:color w:val="000000" w:themeColor="text1"/>
          <w:sz w:val="24"/>
          <w:highlight w:val="none"/>
          <w14:textFill>
            <w14:solidFill>
              <w14:schemeClr w14:val="tx1"/>
            </w14:solidFill>
          </w14:textFill>
        </w:rPr>
      </w:pPr>
      <w:bookmarkStart w:id="20" w:name="_Toc18115"/>
      <w:r>
        <w:rPr>
          <w:rFonts w:hint="eastAsia" w:ascii="宋体" w:hAnsi="宋体" w:cs="宋体"/>
          <w:b/>
          <w:color w:val="000000" w:themeColor="text1"/>
          <w:sz w:val="24"/>
          <w:highlight w:val="none"/>
          <w14:textFill>
            <w14:solidFill>
              <w14:schemeClr w14:val="tx1"/>
            </w14:solidFill>
          </w14:textFill>
        </w:rPr>
        <w:t>四、提交投标文件截止时间、开标时间和地点</w:t>
      </w:r>
      <w:bookmarkEnd w:id="20"/>
    </w:p>
    <w:p w14:paraId="63339F49">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提交投标文件截止时间：</w:t>
      </w:r>
      <w:r>
        <w:rPr>
          <w:rFonts w:hint="eastAsia" w:ascii="宋体" w:hAnsi="宋体" w:cs="宋体"/>
          <w:bCs/>
          <w:color w:val="000000" w:themeColor="text1"/>
          <w:sz w:val="24"/>
          <w:highlight w:val="none"/>
          <w:u w:val="single"/>
          <w14:textFill>
            <w14:solidFill>
              <w14:schemeClr w14:val="tx1"/>
            </w14:solidFill>
          </w14:textFill>
        </w:rPr>
        <w:t>2026年4月21日</w:t>
      </w:r>
      <w:r>
        <w:rPr>
          <w:rFonts w:hint="eastAsia" w:ascii="宋体" w:hAnsi="宋体" w:cs="宋体"/>
          <w:bCs/>
          <w:color w:val="000000" w:themeColor="text1"/>
          <w:sz w:val="24"/>
          <w:highlight w:val="none"/>
          <w:u w:val="single"/>
          <w:lang w:val="en-US" w:eastAsia="zh-CN"/>
          <w14:textFill>
            <w14:solidFill>
              <w14:schemeClr w14:val="tx1"/>
            </w14:solidFill>
          </w14:textFill>
        </w:rPr>
        <w:t>09</w:t>
      </w:r>
      <w:r>
        <w:rPr>
          <w:rFonts w:hint="eastAsia" w:ascii="宋体" w:hAnsi="宋体" w:cs="宋体"/>
          <w:bCs/>
          <w:color w:val="000000" w:themeColor="text1"/>
          <w:sz w:val="24"/>
          <w:highlight w:val="none"/>
          <w:u w:val="single"/>
          <w14:textFill>
            <w14:solidFill>
              <w14:schemeClr w14:val="tx1"/>
            </w14:solidFill>
          </w14:textFill>
        </w:rPr>
        <w:t>点</w:t>
      </w:r>
      <w:r>
        <w:rPr>
          <w:rFonts w:hint="eastAsia" w:ascii="宋体" w:hAnsi="宋体" w:cs="宋体"/>
          <w:bCs/>
          <w:color w:val="000000" w:themeColor="text1"/>
          <w:sz w:val="24"/>
          <w:highlight w:val="none"/>
          <w:u w:val="single"/>
          <w:lang w:val="en-US" w:eastAsia="zh-CN"/>
          <w14:textFill>
            <w14:solidFill>
              <w14:schemeClr w14:val="tx1"/>
            </w14:solidFill>
          </w14:textFill>
        </w:rPr>
        <w:t>30</w:t>
      </w:r>
      <w:r>
        <w:rPr>
          <w:rFonts w:hint="eastAsia" w:ascii="宋体" w:hAnsi="宋体" w:cs="宋体"/>
          <w:bCs/>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highlight w:val="none"/>
          <w14:textFill>
            <w14:solidFill>
              <w14:schemeClr w14:val="tx1"/>
            </w14:solidFill>
          </w14:textFill>
        </w:rPr>
        <w:t>（北京时间）</w:t>
      </w:r>
    </w:p>
    <w:p w14:paraId="2EC97875">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投标地点（网址）：政采云平台（https://www.zcygov.cn/） </w:t>
      </w:r>
    </w:p>
    <w:p w14:paraId="72AEADEE">
      <w:pPr>
        <w:spacing w:line="360" w:lineRule="auto"/>
        <w:ind w:firstLine="480"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开标时间：</w:t>
      </w:r>
      <w:r>
        <w:rPr>
          <w:rFonts w:hint="eastAsia" w:ascii="宋体" w:hAnsi="宋体" w:cs="宋体"/>
          <w:bCs/>
          <w:color w:val="000000" w:themeColor="text1"/>
          <w:sz w:val="24"/>
          <w:highlight w:val="none"/>
          <w:u w:val="single"/>
          <w14:textFill>
            <w14:solidFill>
              <w14:schemeClr w14:val="tx1"/>
            </w14:solidFill>
          </w14:textFill>
        </w:rPr>
        <w:t>2026年4月21日</w:t>
      </w:r>
      <w:r>
        <w:rPr>
          <w:rFonts w:hint="eastAsia" w:ascii="宋体" w:hAnsi="宋体" w:cs="宋体"/>
          <w:bCs/>
          <w:color w:val="000000" w:themeColor="text1"/>
          <w:sz w:val="24"/>
          <w:highlight w:val="none"/>
          <w:u w:val="single"/>
          <w:lang w:val="en-US" w:eastAsia="zh-CN"/>
          <w14:textFill>
            <w14:solidFill>
              <w14:schemeClr w14:val="tx1"/>
            </w14:solidFill>
          </w14:textFill>
        </w:rPr>
        <w:t>09</w:t>
      </w:r>
      <w:r>
        <w:rPr>
          <w:rFonts w:hint="eastAsia" w:ascii="宋体" w:hAnsi="宋体" w:cs="宋体"/>
          <w:bCs/>
          <w:color w:val="000000" w:themeColor="text1"/>
          <w:sz w:val="24"/>
          <w:highlight w:val="none"/>
          <w:u w:val="single"/>
          <w14:textFill>
            <w14:solidFill>
              <w14:schemeClr w14:val="tx1"/>
            </w14:solidFill>
          </w14:textFill>
        </w:rPr>
        <w:t>点</w:t>
      </w:r>
      <w:r>
        <w:rPr>
          <w:rFonts w:hint="eastAsia" w:ascii="宋体" w:hAnsi="宋体" w:cs="宋体"/>
          <w:bCs/>
          <w:color w:val="000000" w:themeColor="text1"/>
          <w:sz w:val="24"/>
          <w:highlight w:val="none"/>
          <w:u w:val="single"/>
          <w:lang w:val="en-US" w:eastAsia="zh-CN"/>
          <w14:textFill>
            <w14:solidFill>
              <w14:schemeClr w14:val="tx1"/>
            </w14:solidFill>
          </w14:textFill>
        </w:rPr>
        <w:t>30</w:t>
      </w:r>
      <w:r>
        <w:rPr>
          <w:rFonts w:hint="eastAsia" w:ascii="宋体" w:hAnsi="宋体" w:cs="宋体"/>
          <w:bCs/>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highlight w:val="none"/>
          <w14:textFill>
            <w14:solidFill>
              <w14:schemeClr w14:val="tx1"/>
            </w14:solidFill>
          </w14:textFill>
        </w:rPr>
        <w:t>（北京时间）</w:t>
      </w:r>
    </w:p>
    <w:p w14:paraId="6F039FBE">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开标地点（网址）：政采云平台（https://www.zcygov.cn/）</w:t>
      </w:r>
    </w:p>
    <w:p w14:paraId="1A2CEAFA">
      <w:pPr>
        <w:spacing w:line="360" w:lineRule="auto"/>
        <w:outlineLvl w:val="1"/>
        <w:rPr>
          <w:rFonts w:ascii="宋体" w:hAnsi="宋体" w:cs="宋体"/>
          <w:color w:val="000000" w:themeColor="text1"/>
          <w:sz w:val="24"/>
          <w:highlight w:val="none"/>
          <w14:textFill>
            <w14:solidFill>
              <w14:schemeClr w14:val="tx1"/>
            </w14:solidFill>
          </w14:textFill>
        </w:rPr>
      </w:pPr>
      <w:bookmarkStart w:id="21" w:name="_Toc16463"/>
      <w:r>
        <w:rPr>
          <w:rFonts w:hint="eastAsia" w:ascii="宋体" w:hAnsi="宋体" w:cs="宋体"/>
          <w:b/>
          <w:color w:val="000000" w:themeColor="text1"/>
          <w:sz w:val="24"/>
          <w:highlight w:val="none"/>
          <w14:textFill>
            <w14:solidFill>
              <w14:schemeClr w14:val="tx1"/>
            </w14:solidFill>
          </w14:textFill>
        </w:rPr>
        <w:t>五、公告期限</w:t>
      </w:r>
      <w:bookmarkEnd w:id="21"/>
      <w:r>
        <w:rPr>
          <w:rFonts w:hint="eastAsia" w:ascii="宋体" w:hAnsi="宋体" w:cs="宋体"/>
          <w:b/>
          <w:color w:val="000000" w:themeColor="text1"/>
          <w:sz w:val="24"/>
          <w:highlight w:val="none"/>
          <w14:textFill>
            <w14:solidFill>
              <w14:schemeClr w14:val="tx1"/>
            </w14:solidFill>
          </w14:textFill>
        </w:rPr>
        <w:t xml:space="preserve"> </w:t>
      </w:r>
    </w:p>
    <w:p w14:paraId="1197B2A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自本公告发布之日起5个工作日。</w:t>
      </w:r>
    </w:p>
    <w:p w14:paraId="7330EA8A">
      <w:pPr>
        <w:spacing w:line="360" w:lineRule="auto"/>
        <w:outlineLvl w:val="1"/>
        <w:rPr>
          <w:rFonts w:ascii="宋体" w:hAnsi="宋体" w:cs="宋体"/>
          <w:b/>
          <w:color w:val="000000" w:themeColor="text1"/>
          <w:sz w:val="24"/>
          <w:highlight w:val="none"/>
          <w14:textFill>
            <w14:solidFill>
              <w14:schemeClr w14:val="tx1"/>
            </w14:solidFill>
          </w14:textFill>
        </w:rPr>
      </w:pPr>
      <w:bookmarkStart w:id="22" w:name="_Toc20735"/>
      <w:r>
        <w:rPr>
          <w:rFonts w:hint="eastAsia" w:ascii="宋体" w:hAnsi="宋体" w:cs="宋体"/>
          <w:b/>
          <w:color w:val="000000" w:themeColor="text1"/>
          <w:sz w:val="24"/>
          <w:highlight w:val="none"/>
          <w14:textFill>
            <w14:solidFill>
              <w14:schemeClr w14:val="tx1"/>
            </w14:solidFill>
          </w14:textFill>
        </w:rPr>
        <w:t>六、其他补充事宜</w:t>
      </w:r>
      <w:bookmarkEnd w:id="22"/>
    </w:p>
    <w:p w14:paraId="7F01231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7377EB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2.其他事项：</w:t>
      </w:r>
    </w:p>
    <w:p w14:paraId="118EC74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（1）需要落实的政府采购政策：包括节约资源、保护环境、支持创新、促进中小企业发展等。详见招标文件的第二部分总则。</w:t>
      </w:r>
    </w:p>
    <w:p w14:paraId="127E993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章”、“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寄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w:t>
      </w:r>
    </w:p>
    <w:p w14:paraId="692DBEB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（3）招标文件公告期限与招标公告的公告期限一致。</w:t>
      </w:r>
    </w:p>
    <w:p w14:paraId="08A36B53">
      <w:pPr>
        <w:spacing w:line="360" w:lineRule="auto"/>
        <w:outlineLvl w:val="1"/>
        <w:rPr>
          <w:rFonts w:ascii="宋体" w:hAnsi="宋体" w:cs="宋体"/>
          <w:b/>
          <w:color w:val="000000" w:themeColor="text1"/>
          <w:sz w:val="24"/>
          <w:highlight w:val="none"/>
          <w14:textFill>
            <w14:solidFill>
              <w14:schemeClr w14:val="tx1"/>
            </w14:solidFill>
          </w14:textFill>
        </w:rPr>
      </w:pPr>
      <w:bookmarkStart w:id="23" w:name="_Toc3685"/>
      <w:r>
        <w:rPr>
          <w:rFonts w:hint="eastAsia" w:ascii="宋体" w:hAnsi="宋体" w:cs="宋体"/>
          <w:b/>
          <w:color w:val="000000" w:themeColor="text1"/>
          <w:sz w:val="24"/>
          <w:highlight w:val="none"/>
          <w14:textFill>
            <w14:solidFill>
              <w14:schemeClr w14:val="tx1"/>
            </w14:solidFill>
          </w14:textFill>
        </w:rPr>
        <w:t>七、对本次采购提出询问、质疑、投诉，请按以下方式联系</w:t>
      </w:r>
      <w:bookmarkEnd w:id="23"/>
    </w:p>
    <w:p w14:paraId="4FD0CBCC">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1.采购人信息</w:t>
      </w:r>
    </w:p>
    <w:p w14:paraId="3BC4ACC8">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名称：宁波市北仑区人民医院　</w:t>
      </w:r>
    </w:p>
    <w:p w14:paraId="645B7592">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地址：宁波市北仑区庐山东路1288号  　　</w:t>
      </w:r>
    </w:p>
    <w:p w14:paraId="263FEB75">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传真：/</w:t>
      </w:r>
    </w:p>
    <w:p w14:paraId="4CF11C1F">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项目联系人（询问）：</w:t>
      </w:r>
      <w:r>
        <w:rPr>
          <w:rFonts w:hint="eastAsia" w:ascii="宋体" w:hAnsi="宋体" w:eastAsia="宋体" w:cs="宋体"/>
          <w:color w:val="000000" w:themeColor="text1"/>
          <w:sz w:val="24"/>
          <w:highlight w:val="none"/>
          <w:lang w:val="en-US" w:eastAsia="zh-CN"/>
          <w14:textFill>
            <w14:solidFill>
              <w14:schemeClr w14:val="tx1"/>
            </w14:solidFill>
          </w14:textFill>
        </w:rPr>
        <w:t>贺</w:t>
      </w:r>
      <w:r>
        <w:rPr>
          <w:rFonts w:hint="eastAsia" w:ascii="宋体" w:hAnsi="宋体" w:eastAsia="宋体" w:cs="宋体"/>
          <w:color w:val="000000" w:themeColor="text1"/>
          <w:sz w:val="24"/>
          <w:highlight w:val="none"/>
          <w14:textFill>
            <w14:solidFill>
              <w14:schemeClr w14:val="tx1"/>
            </w14:solidFill>
          </w14:textFill>
        </w:rPr>
        <w:t>老师</w:t>
      </w:r>
    </w:p>
    <w:p w14:paraId="5ECDDD64">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项目联系方式（询问）：0574-86776022</w:t>
      </w:r>
    </w:p>
    <w:p w14:paraId="1E59C5B8">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质疑联系人：邬老师</w:t>
      </w:r>
    </w:p>
    <w:p w14:paraId="21ECBBDE">
      <w:pPr>
        <w:spacing w:line="360" w:lineRule="auto"/>
        <w:ind w:firstLine="480"/>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质疑联系方式：0574-86776022</w:t>
      </w:r>
    </w:p>
    <w:p w14:paraId="40EC08FF">
      <w:pPr>
        <w:pStyle w:val="83"/>
        <w:rPr>
          <w:color w:val="000000" w:themeColor="text1"/>
          <w:highlight w:val="none"/>
          <w14:textFill>
            <w14:solidFill>
              <w14:schemeClr w14:val="tx1"/>
            </w14:solidFill>
          </w14:textFill>
        </w:rPr>
      </w:pPr>
    </w:p>
    <w:p w14:paraId="6E22C3A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2.采购代理机构信息            </w:t>
      </w:r>
    </w:p>
    <w:p w14:paraId="583F4E5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名称：宁波中基国际招标有限公司             </w:t>
      </w:r>
    </w:p>
    <w:p w14:paraId="0B464A5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地址：宁波市鄞州区天童南路666号中基大厦19楼             </w:t>
      </w:r>
    </w:p>
    <w:p w14:paraId="1D552D3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传真：</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w:t>
      </w:r>
    </w:p>
    <w:p w14:paraId="03F83B56">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项目联系人（询问）：王鸯鸯、戚鸿涛</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徐承</w:t>
      </w:r>
      <w:r>
        <w:rPr>
          <w:rFonts w:hint="eastAsia" w:ascii="宋体" w:hAnsi="宋体" w:eastAsia="宋体" w:cs="宋体"/>
          <w:color w:val="000000" w:themeColor="text1"/>
          <w:sz w:val="24"/>
          <w:highlight w:val="none"/>
          <w14:textFill>
            <w14:solidFill>
              <w14:schemeClr w14:val="tx1"/>
            </w14:solidFill>
          </w14:textFill>
        </w:rPr>
        <w:t>               </w:t>
      </w:r>
    </w:p>
    <w:p w14:paraId="640ADDDC">
      <w:pPr>
        <w:spacing w:line="360" w:lineRule="auto"/>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项目联系方式（询问）：0574-88090157</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87425387</w:t>
      </w:r>
    </w:p>
    <w:p w14:paraId="04D607F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质疑联系人：</w:t>
      </w:r>
      <w:r>
        <w:rPr>
          <w:rFonts w:hint="eastAsia" w:ascii="宋体" w:hAnsi="宋体" w:cs="宋体"/>
          <w:color w:val="000000" w:themeColor="text1"/>
          <w:sz w:val="24"/>
          <w:highlight w:val="none"/>
          <w:lang w:val="en-US" w:eastAsia="zh-CN"/>
          <w14:textFill>
            <w14:solidFill>
              <w14:schemeClr w14:val="tx1"/>
            </w14:solidFill>
          </w14:textFill>
        </w:rPr>
        <w:t>张亮</w:t>
      </w:r>
      <w:r>
        <w:rPr>
          <w:rFonts w:hint="eastAsia" w:ascii="宋体" w:hAnsi="宋体" w:cs="宋体"/>
          <w:color w:val="000000" w:themeColor="text1"/>
          <w:sz w:val="24"/>
          <w:highlight w:val="none"/>
          <w14:textFill>
            <w14:solidFill>
              <w14:schemeClr w14:val="tx1"/>
            </w14:solidFill>
          </w14:textFill>
        </w:rPr>
        <w:t>             </w:t>
      </w:r>
    </w:p>
    <w:p w14:paraId="379C2C70">
      <w:pPr>
        <w:spacing w:line="360" w:lineRule="auto"/>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质疑联系方式：0574-</w:t>
      </w:r>
      <w:r>
        <w:rPr>
          <w:rFonts w:hint="eastAsia" w:ascii="宋体" w:hAnsi="宋体" w:cs="宋体"/>
          <w:color w:val="000000" w:themeColor="text1"/>
          <w:sz w:val="24"/>
          <w:highlight w:val="none"/>
          <w:lang w:val="en-US" w:eastAsia="zh-CN"/>
          <w14:textFill>
            <w14:solidFill>
              <w14:schemeClr w14:val="tx1"/>
            </w14:solidFill>
          </w14:textFill>
        </w:rPr>
        <w:t>88090213</w:t>
      </w:r>
      <w:r>
        <w:rPr>
          <w:rFonts w:hint="eastAsia" w:ascii="宋体" w:hAnsi="宋体" w:cs="宋体"/>
          <w:color w:val="000000" w:themeColor="text1"/>
          <w:sz w:val="24"/>
          <w:highlight w:val="none"/>
          <w14:textFill>
            <w14:solidFill>
              <w14:schemeClr w14:val="tx1"/>
            </w14:solidFill>
          </w14:textFill>
        </w:rPr>
        <w:t> 　　　</w:t>
      </w:r>
      <w:r>
        <w:rPr>
          <w:rFonts w:hint="eastAsia" w:ascii="宋体" w:hAnsi="宋体" w:cs="宋体"/>
          <w:color w:val="000000" w:themeColor="text1"/>
          <w:szCs w:val="21"/>
          <w:highlight w:val="none"/>
          <w14:textFill>
            <w14:solidFill>
              <w14:schemeClr w14:val="tx1"/>
            </w14:solidFill>
          </w14:textFill>
        </w:rPr>
        <w:t>　　　     </w:t>
      </w:r>
    </w:p>
    <w:p w14:paraId="11D337AC">
      <w:pPr>
        <w:spacing w:line="360" w:lineRule="auto"/>
        <w:ind w:left="630" w:leftChars="200" w:hanging="210" w:hanging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0BB1DD5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3.同级政府采购监督管理部门            </w:t>
      </w:r>
    </w:p>
    <w:p w14:paraId="17C9F94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名称：</w:t>
      </w:r>
      <w:r>
        <w:rPr>
          <w:rFonts w:hint="eastAsia" w:ascii="宋体" w:hAnsi="宋体" w:cs="宋体"/>
          <w:color w:val="000000" w:themeColor="text1"/>
          <w:sz w:val="24"/>
          <w:highlight w:val="none"/>
          <w:lang w:val="en"/>
          <w14:textFill>
            <w14:solidFill>
              <w14:schemeClr w14:val="tx1"/>
            </w14:solidFill>
          </w14:textFill>
        </w:rPr>
        <w:t>北仑区财政局政府采购办公室</w:t>
      </w:r>
    </w:p>
    <w:p w14:paraId="0E7BF33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地址：宁波市</w:t>
      </w:r>
      <w:r>
        <w:rPr>
          <w:rFonts w:hint="eastAsia" w:ascii="宋体" w:hAnsi="宋体" w:cs="宋体"/>
          <w:color w:val="000000" w:themeColor="text1"/>
          <w:sz w:val="24"/>
          <w:highlight w:val="none"/>
          <w:lang w:val="en"/>
          <w14:textFill>
            <w14:solidFill>
              <w14:schemeClr w14:val="tx1"/>
            </w14:solidFill>
          </w14:textFill>
        </w:rPr>
        <w:t>北仑区长江路1166号</w:t>
      </w:r>
    </w:p>
    <w:p w14:paraId="72B216F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传真：/</w:t>
      </w:r>
    </w:p>
    <w:p w14:paraId="77D1917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 ：严老师</w:t>
      </w:r>
    </w:p>
    <w:p w14:paraId="3DBC1918">
      <w:pPr>
        <w:spacing w:line="360" w:lineRule="auto"/>
        <w:ind w:firstLine="480" w:firstLineChars="200"/>
        <w:rPr>
          <w:rFonts w:ascii="宋体" w:hAnsi="宋体" w:cs="宋体"/>
          <w:color w:val="000000" w:themeColor="text1"/>
          <w:sz w:val="24"/>
          <w:highlight w:val="none"/>
          <w:lang w:val="e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监督投诉电话：</w:t>
      </w:r>
      <w:r>
        <w:rPr>
          <w:rFonts w:hint="eastAsia" w:ascii="宋体" w:hAnsi="宋体" w:cs="宋体"/>
          <w:color w:val="000000" w:themeColor="text1"/>
          <w:sz w:val="24"/>
          <w:highlight w:val="none"/>
          <w:lang w:val="en"/>
          <w14:textFill>
            <w14:solidFill>
              <w14:schemeClr w14:val="tx1"/>
            </w14:solidFill>
          </w14:textFill>
        </w:rPr>
        <w:t>0574-89383756</w:t>
      </w:r>
    </w:p>
    <w:p w14:paraId="0C9C8A4B">
      <w:pPr>
        <w:pStyle w:val="62"/>
        <w:rPr>
          <w:color w:val="000000" w:themeColor="text1"/>
          <w:sz w:val="21"/>
          <w:szCs w:val="21"/>
          <w:highlight w:val="none"/>
          <w14:textFill>
            <w14:solidFill>
              <w14:schemeClr w14:val="tx1"/>
            </w14:solidFill>
          </w14:textFill>
        </w:rPr>
      </w:pPr>
    </w:p>
    <w:p w14:paraId="340EDE7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若对项目采购电子交易系统操作有疑问，可登录政采云（https://www.zcygov.cn/），点击右侧咨询小采，获取采小蜜智能服务管家帮助，或拨打政采云服务热线95763获取热线服务帮助。</w:t>
      </w:r>
    </w:p>
    <w:p w14:paraId="483B684A">
      <w:pPr>
        <w:spacing w:line="360" w:lineRule="auto"/>
        <w:ind w:firstLine="420" w:firstLineChars="200"/>
        <w:rPr>
          <w:rFonts w:hAnsi="宋体" w:cs="宋体"/>
          <w:b/>
          <w:color w:val="000000" w:themeColor="text1"/>
          <w:sz w:val="36"/>
          <w:szCs w:val="2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CA问题联系电话（人工）：汇信CA 400-888-4636；天谷CA 400-087-8198。</w:t>
      </w:r>
      <w:r>
        <w:rPr>
          <w:rFonts w:hint="eastAsia" w:hAnsi="宋体" w:cs="宋体"/>
          <w:color w:val="000000" w:themeColor="text1"/>
          <w:szCs w:val="21"/>
          <w:highlight w:val="non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 xml:space="preserve">             </w:t>
      </w:r>
      <w:r>
        <w:rPr>
          <w:rFonts w:hAnsi="宋体" w:cs="宋体"/>
          <w:b/>
          <w:color w:val="000000" w:themeColor="text1"/>
          <w:sz w:val="36"/>
          <w:szCs w:val="20"/>
          <w:highlight w:val="none"/>
          <w14:textFill>
            <w14:solidFill>
              <w14:schemeClr w14:val="tx1"/>
            </w14:solidFill>
          </w14:textFill>
        </w:rPr>
        <w:t xml:space="preserve"> </w:t>
      </w:r>
    </w:p>
    <w:p w14:paraId="6F3442EB">
      <w:pPr>
        <w:pStyle w:val="4"/>
        <w:rPr>
          <w:rFonts w:ascii="宋体"/>
          <w:snapToGrid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3EEAED8">
      <w:pPr>
        <w:adjustRightInd/>
        <w:spacing w:line="360" w:lineRule="auto"/>
        <w:jc w:val="center"/>
        <w:outlineLvl w:val="0"/>
        <w:rPr>
          <w:rFonts w:ascii="宋体" w:hAnsi="宋体" w:cs="宋体"/>
          <w:b/>
          <w:color w:val="000000" w:themeColor="text1"/>
          <w:sz w:val="36"/>
          <w:szCs w:val="20"/>
          <w:highlight w:val="none"/>
          <w14:textFill>
            <w14:solidFill>
              <w14:schemeClr w14:val="tx1"/>
            </w14:solidFill>
          </w14:textFill>
        </w:rPr>
      </w:pPr>
      <w:bookmarkStart w:id="24" w:name="_Toc1745"/>
      <w:bookmarkStart w:id="25" w:name="_Toc31038"/>
      <w:r>
        <w:rPr>
          <w:rFonts w:hint="eastAsia" w:ascii="宋体" w:hAnsi="宋体" w:cs="宋体"/>
          <w:b/>
          <w:color w:val="000000" w:themeColor="text1"/>
          <w:sz w:val="36"/>
          <w:szCs w:val="20"/>
          <w:highlight w:val="none"/>
          <w14:textFill>
            <w14:solidFill>
              <w14:schemeClr w14:val="tx1"/>
            </w14:solidFill>
          </w14:textFill>
        </w:rPr>
        <w:t>第二部分</w:t>
      </w:r>
      <w:bookmarkEnd w:id="12"/>
      <w:r>
        <w:rPr>
          <w:rFonts w:hint="eastAsia" w:ascii="宋体" w:hAnsi="宋体" w:cs="宋体"/>
          <w:b/>
          <w:color w:val="000000" w:themeColor="text1"/>
          <w:sz w:val="36"/>
          <w:szCs w:val="20"/>
          <w:highlight w:val="none"/>
          <w14:textFill>
            <w14:solidFill>
              <w14:schemeClr w14:val="tx1"/>
            </w14:solidFill>
          </w14:textFill>
        </w:rPr>
        <w:t xml:space="preserve"> 投标人须知</w:t>
      </w:r>
      <w:bookmarkEnd w:id="13"/>
      <w:bookmarkEnd w:id="24"/>
      <w:bookmarkEnd w:id="25"/>
    </w:p>
    <w:p w14:paraId="1319F2E1">
      <w:pPr>
        <w:adjustRightInd/>
        <w:spacing w:line="360" w:lineRule="auto"/>
        <w:ind w:firstLine="3845" w:firstLineChars="1197"/>
        <w:outlineLvl w:val="1"/>
        <w:rPr>
          <w:rFonts w:ascii="宋体" w:hAnsi="宋体" w:cs="宋体"/>
          <w:b/>
          <w:color w:val="000000" w:themeColor="text1"/>
          <w:sz w:val="32"/>
          <w:szCs w:val="20"/>
          <w:highlight w:val="none"/>
          <w14:textFill>
            <w14:solidFill>
              <w14:schemeClr w14:val="tx1"/>
            </w14:solidFill>
          </w14:textFill>
        </w:rPr>
      </w:pPr>
      <w:bookmarkStart w:id="26" w:name="_Toc17934"/>
      <w:r>
        <w:rPr>
          <w:rFonts w:hint="eastAsia" w:ascii="宋体" w:hAnsi="宋体" w:cs="宋体"/>
          <w:b/>
          <w:color w:val="000000" w:themeColor="text1"/>
          <w:sz w:val="32"/>
          <w:szCs w:val="20"/>
          <w:highlight w:val="none"/>
          <w14:textFill>
            <w14:solidFill>
              <w14:schemeClr w14:val="tx1"/>
            </w14:solidFill>
          </w14:textFill>
        </w:rPr>
        <w:t>前附表</w:t>
      </w:r>
      <w:bookmarkEnd w:id="26"/>
    </w:p>
    <w:tbl>
      <w:tblPr>
        <w:tblStyle w:val="64"/>
        <w:tblW w:w="101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839"/>
        <w:gridCol w:w="2325"/>
        <w:gridCol w:w="7018"/>
      </w:tblGrid>
      <w:tr w14:paraId="1A95B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839" w:type="dxa"/>
            <w:tcBorders>
              <w:top w:val="single" w:color="auto" w:sz="4" w:space="0"/>
              <w:left w:val="single" w:color="auto" w:sz="4" w:space="0"/>
              <w:bottom w:val="single" w:color="auto" w:sz="4" w:space="0"/>
              <w:right w:val="single" w:color="auto" w:sz="4" w:space="0"/>
            </w:tcBorders>
          </w:tcPr>
          <w:p w14:paraId="64AE6885">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2325" w:type="dxa"/>
            <w:tcBorders>
              <w:top w:val="single" w:color="000000" w:sz="8" w:space="0"/>
              <w:left w:val="single" w:color="auto" w:sz="4" w:space="0"/>
              <w:bottom w:val="single" w:color="000000" w:sz="8" w:space="0"/>
              <w:right w:val="single" w:color="000000" w:sz="8" w:space="0"/>
            </w:tcBorders>
            <w:vAlign w:val="center"/>
          </w:tcPr>
          <w:p w14:paraId="516F647F">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事项</w:t>
            </w:r>
          </w:p>
        </w:tc>
        <w:tc>
          <w:tcPr>
            <w:tcW w:w="7018" w:type="dxa"/>
            <w:tcBorders>
              <w:top w:val="single" w:color="000000" w:sz="8" w:space="0"/>
              <w:left w:val="single" w:color="000000" w:sz="2" w:space="0"/>
              <w:bottom w:val="single" w:color="000000" w:sz="8" w:space="0"/>
              <w:right w:val="single" w:color="000000" w:sz="8" w:space="0"/>
            </w:tcBorders>
            <w:vAlign w:val="center"/>
          </w:tcPr>
          <w:p w14:paraId="2735300E">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本项目的特别规定</w:t>
            </w:r>
          </w:p>
        </w:tc>
      </w:tr>
      <w:tr w14:paraId="35A19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38" w:hRule="atLeast"/>
          <w:tblHeader/>
          <w:jc w:val="center"/>
        </w:trPr>
        <w:tc>
          <w:tcPr>
            <w:tcW w:w="839" w:type="dxa"/>
            <w:tcBorders>
              <w:top w:val="single" w:color="auto" w:sz="4" w:space="0"/>
              <w:left w:val="single" w:color="auto" w:sz="4" w:space="0"/>
              <w:bottom w:val="single" w:color="auto" w:sz="4" w:space="0"/>
              <w:right w:val="single" w:color="auto" w:sz="4" w:space="0"/>
            </w:tcBorders>
            <w:vAlign w:val="center"/>
          </w:tcPr>
          <w:p w14:paraId="387BA478">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w:t>
            </w:r>
          </w:p>
        </w:tc>
        <w:tc>
          <w:tcPr>
            <w:tcW w:w="2325" w:type="dxa"/>
            <w:tcBorders>
              <w:top w:val="single" w:color="000000" w:sz="8" w:space="0"/>
              <w:left w:val="single" w:color="auto" w:sz="4" w:space="0"/>
              <w:bottom w:val="single" w:color="000000" w:sz="8" w:space="0"/>
              <w:right w:val="single" w:color="000000" w:sz="8" w:space="0"/>
            </w:tcBorders>
            <w:vAlign w:val="center"/>
          </w:tcPr>
          <w:p w14:paraId="49973421">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项目属性与核心产品</w:t>
            </w:r>
          </w:p>
        </w:tc>
        <w:tc>
          <w:tcPr>
            <w:tcW w:w="7018" w:type="dxa"/>
            <w:tcBorders>
              <w:top w:val="single" w:color="000000" w:sz="8" w:space="0"/>
              <w:left w:val="single" w:color="000000" w:sz="2" w:space="0"/>
              <w:bottom w:val="single" w:color="000000" w:sz="8" w:space="0"/>
              <w:right w:val="single" w:color="000000" w:sz="8" w:space="0"/>
            </w:tcBorders>
            <w:vAlign w:val="center"/>
          </w:tcPr>
          <w:p w14:paraId="7D6BE92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服务类</w:t>
            </w:r>
          </w:p>
        </w:tc>
      </w:tr>
      <w:tr w14:paraId="0CFE9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jc w:val="center"/>
        </w:trPr>
        <w:tc>
          <w:tcPr>
            <w:tcW w:w="839" w:type="dxa"/>
            <w:tcBorders>
              <w:top w:val="single" w:color="auto" w:sz="4" w:space="0"/>
              <w:left w:val="single" w:color="auto" w:sz="4" w:space="0"/>
              <w:bottom w:val="single" w:color="auto" w:sz="4" w:space="0"/>
              <w:right w:val="single" w:color="auto" w:sz="4" w:space="0"/>
            </w:tcBorders>
            <w:vAlign w:val="center"/>
          </w:tcPr>
          <w:p w14:paraId="264A1453">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w:t>
            </w:r>
          </w:p>
        </w:tc>
        <w:tc>
          <w:tcPr>
            <w:tcW w:w="2325" w:type="dxa"/>
            <w:tcBorders>
              <w:top w:val="single" w:color="000000" w:sz="8" w:space="0"/>
              <w:left w:val="single" w:color="auto" w:sz="4" w:space="0"/>
              <w:bottom w:val="single" w:color="000000" w:sz="8" w:space="0"/>
              <w:right w:val="single" w:color="000000" w:sz="8" w:space="0"/>
            </w:tcBorders>
            <w:vAlign w:val="center"/>
          </w:tcPr>
          <w:p w14:paraId="6ACA91BE">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采购标的及其对应的中小企业划分标准所属行业</w:t>
            </w:r>
          </w:p>
        </w:tc>
        <w:tc>
          <w:tcPr>
            <w:tcW w:w="7018" w:type="dxa"/>
            <w:tcBorders>
              <w:top w:val="single" w:color="000000" w:sz="8" w:space="0"/>
              <w:left w:val="single" w:color="000000" w:sz="2" w:space="0"/>
              <w:bottom w:val="single" w:color="000000" w:sz="8" w:space="0"/>
              <w:right w:val="single" w:color="000000" w:sz="8" w:space="0"/>
            </w:tcBorders>
            <w:vAlign w:val="center"/>
          </w:tcPr>
          <w:p w14:paraId="76D539D3">
            <w:pPr>
              <w:numPr>
                <w:ilvl w:val="0"/>
                <w:numId w:val="0"/>
              </w:numPr>
              <w:snapToGrid w:val="0"/>
              <w:spacing w:line="360" w:lineRule="auto"/>
              <w:rPr>
                <w:rFonts w:hint="default" w:ascii="宋体" w:hAnsi="宋体" w:eastAsia="宋体" w:cs="宋体"/>
                <w:b/>
                <w:bCs/>
                <w:color w:val="000000" w:themeColor="text1"/>
                <w:kern w:val="28"/>
                <w:sz w:val="24"/>
                <w:highlight w:val="none"/>
                <w:lang w:val="en-US" w:eastAsia="zh-CN"/>
                <w14:textFill>
                  <w14:solidFill>
                    <w14:schemeClr w14:val="tx1"/>
                  </w14:solidFill>
                </w14:textFill>
              </w:rPr>
            </w:pPr>
            <w:r>
              <w:rPr>
                <w:rFonts w:hint="eastAsia" w:ascii="宋体" w:hAnsi="宋体" w:cs="宋体"/>
                <w:b/>
                <w:bCs/>
                <w:color w:val="000000" w:themeColor="text1"/>
                <w:kern w:val="28"/>
                <w:sz w:val="24"/>
                <w:highlight w:val="none"/>
                <w:lang w:val="en-US" w:eastAsia="zh-CN"/>
                <w14:textFill>
                  <w14:solidFill>
                    <w14:schemeClr w14:val="tx1"/>
                  </w14:solidFill>
                </w14:textFill>
              </w:rPr>
              <w:t>本项目为非专门面向中小企业采购。</w:t>
            </w:r>
          </w:p>
          <w:p w14:paraId="2C8C6D40">
            <w:pPr>
              <w:numPr>
                <w:ilvl w:val="0"/>
                <w:numId w:val="0"/>
              </w:numPr>
              <w:snapToGrid w:val="0"/>
              <w:spacing w:line="360" w:lineRule="auto"/>
              <w:rPr>
                <w:rFonts w:ascii="宋体" w:hAnsi="宋体" w:cs="宋体"/>
                <w:color w:val="000000" w:themeColor="text1"/>
                <w:kern w:val="28"/>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标的</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sz w:val="24"/>
                <w:highlight w:val="none"/>
                <w:u w:val="single"/>
                <w:lang w:eastAsia="zh-CN"/>
                <w14:textFill>
                  <w14:solidFill>
                    <w14:schemeClr w14:val="tx1"/>
                  </w14:solidFill>
                </w14:textFill>
              </w:rPr>
              <w:t>核医学系统</w:t>
            </w:r>
            <w:r>
              <w:rPr>
                <w:rFonts w:hint="eastAsia" w:ascii="宋体" w:hAnsi="宋体" w:cs="宋体"/>
                <w:bCs/>
                <w:color w:val="000000" w:themeColor="text1"/>
                <w:sz w:val="24"/>
                <w:highlight w:val="none"/>
                <w:u w:val="none"/>
                <w:lang w:val="en-US"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属于</w:t>
            </w:r>
            <w:r>
              <w:rPr>
                <w:rFonts w:hint="eastAsia" w:ascii="宋体" w:hAnsi="宋体" w:cs="宋体"/>
                <w:color w:val="000000" w:themeColor="text1"/>
                <w:kern w:val="0"/>
                <w:sz w:val="24"/>
                <w:highlight w:val="none"/>
                <w:u w:val="single"/>
                <w:lang w:val="en-US" w:eastAsia="zh-CN"/>
                <w14:textFill>
                  <w14:solidFill>
                    <w14:schemeClr w14:val="tx1"/>
                  </w14:solidFill>
                </w14:textFill>
              </w:rPr>
              <w:t>软件和信息技术服务业</w:t>
            </w:r>
            <w:r>
              <w:rPr>
                <w:rFonts w:hint="eastAsia" w:ascii="宋体" w:hAnsi="宋体" w:cs="宋体"/>
                <w:color w:val="000000" w:themeColor="text1"/>
                <w:kern w:val="0"/>
                <w:sz w:val="24"/>
                <w:highlight w:val="none"/>
                <w14:textFill>
                  <w14:solidFill>
                    <w14:schemeClr w14:val="tx1"/>
                  </w14:solidFill>
                </w14:textFill>
              </w:rPr>
              <w:t>；</w:t>
            </w:r>
            <w:bookmarkStart w:id="27" w:name="_Toc15395"/>
          </w:p>
          <w:p w14:paraId="1F67D41B">
            <w:pPr>
              <w:snapToGrid w:val="0"/>
              <w:spacing w:line="360" w:lineRule="auto"/>
              <w:rPr>
                <w:rFonts w:hint="eastAsia" w:ascii="宋体" w:hAnsi="宋体" w:cs="宋体"/>
                <w:color w:val="000000" w:themeColor="text1"/>
                <w:kern w:val="28"/>
                <w:sz w:val="24"/>
                <w:highlight w:val="none"/>
                <w14:textFill>
                  <w14:solidFill>
                    <w14:schemeClr w14:val="tx1"/>
                  </w14:solidFill>
                </w14:textFill>
              </w:rPr>
            </w:pPr>
            <w:r>
              <w:rPr>
                <w:rFonts w:hint="eastAsia" w:ascii="宋体" w:hAnsi="宋体" w:cs="宋体"/>
                <w:color w:val="000000" w:themeColor="text1"/>
                <w:kern w:val="28"/>
                <w:sz w:val="24"/>
                <w:highlight w:val="none"/>
                <w14:textFill>
                  <w14:solidFill>
                    <w14:schemeClr w14:val="tx1"/>
                  </w14:solidFill>
                </w14:textFill>
              </w:rPr>
              <w:t>备注：《关于印发中小企业划型标准规定的通知》（工信</w:t>
            </w:r>
            <w:bookmarkEnd w:id="27"/>
            <w:bookmarkStart w:id="28" w:name="_Toc11782"/>
            <w:r>
              <w:rPr>
                <w:rFonts w:hint="eastAsia" w:ascii="宋体" w:hAnsi="宋体" w:cs="宋体"/>
                <w:color w:val="000000" w:themeColor="text1"/>
                <w:kern w:val="28"/>
                <w:sz w:val="24"/>
                <w:highlight w:val="none"/>
                <w14:textFill>
                  <w14:solidFill>
                    <w14:schemeClr w14:val="tx1"/>
                  </w14:solidFill>
                </w14:textFill>
              </w:rPr>
              <w:t>部联企业〔2011〕300）：</w:t>
            </w:r>
            <w:bookmarkEnd w:id="28"/>
          </w:p>
          <w:p w14:paraId="1AAF8114">
            <w:pPr>
              <w:snapToGrid w:val="0"/>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b/>
                <w:bCs/>
                <w:color w:val="000000" w:themeColor="text1"/>
                <w:kern w:val="28"/>
                <w:sz w:val="24"/>
                <w:highlight w:val="none"/>
                <w:lang w:val="en-US" w:eastAsia="zh-CN"/>
                <w14:textFill>
                  <w14:solidFill>
                    <w14:schemeClr w14:val="tx1"/>
                  </w14:solidFill>
                </w14:textFill>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0EA7D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70" w:hRule="atLeast"/>
          <w:tblHeader/>
          <w:jc w:val="center"/>
        </w:trPr>
        <w:tc>
          <w:tcPr>
            <w:tcW w:w="839" w:type="dxa"/>
            <w:tcBorders>
              <w:top w:val="single" w:color="auto" w:sz="4" w:space="0"/>
              <w:left w:val="single" w:color="auto" w:sz="4" w:space="0"/>
              <w:bottom w:val="single" w:color="auto" w:sz="4" w:space="0"/>
              <w:right w:val="single" w:color="auto" w:sz="4" w:space="0"/>
            </w:tcBorders>
            <w:vAlign w:val="center"/>
          </w:tcPr>
          <w:p w14:paraId="3231C1A3">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w:t>
            </w:r>
          </w:p>
        </w:tc>
        <w:tc>
          <w:tcPr>
            <w:tcW w:w="2325" w:type="dxa"/>
            <w:tcBorders>
              <w:top w:val="single" w:color="000000" w:sz="8" w:space="0"/>
              <w:left w:val="single" w:color="auto" w:sz="4" w:space="0"/>
              <w:bottom w:val="single" w:color="000000" w:sz="8" w:space="0"/>
              <w:right w:val="single" w:color="000000" w:sz="8" w:space="0"/>
            </w:tcBorders>
            <w:vAlign w:val="center"/>
          </w:tcPr>
          <w:p w14:paraId="1A5080E5">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是否允许</w:t>
            </w:r>
          </w:p>
          <w:p w14:paraId="13139312">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采购进口产品</w:t>
            </w:r>
          </w:p>
        </w:tc>
        <w:tc>
          <w:tcPr>
            <w:tcW w:w="7018" w:type="dxa"/>
            <w:tcBorders>
              <w:top w:val="single" w:color="000000" w:sz="8" w:space="0"/>
              <w:left w:val="single" w:color="000000" w:sz="2" w:space="0"/>
              <w:bottom w:val="single" w:color="000000" w:sz="8" w:space="0"/>
              <w:right w:val="single" w:color="000000" w:sz="8" w:space="0"/>
            </w:tcBorders>
            <w:vAlign w:val="center"/>
          </w:tcPr>
          <w:p w14:paraId="77920072">
            <w:pPr>
              <w:spacing w:line="360" w:lineRule="auto"/>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828425707"/>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宋体"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4"/>
                <w:highlight w:val="none"/>
                <w14:textFill>
                  <w14:solidFill>
                    <w14:schemeClr w14:val="tx1"/>
                  </w14:solidFill>
                </w14:textFill>
              </w:rPr>
              <w:t>本项目不允许采购进口产品。</w:t>
            </w:r>
          </w:p>
          <w:p w14:paraId="20570418">
            <w:pPr>
              <w:spacing w:line="360" w:lineRule="auto"/>
              <w:rPr>
                <w:rFonts w:ascii="宋体" w:hAnsi="宋体" w:cs="宋体"/>
                <w:color w:val="000000" w:themeColor="text1"/>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52852824"/>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可以就</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采购进口产品。</w:t>
            </w:r>
          </w:p>
        </w:tc>
      </w:tr>
      <w:tr w14:paraId="2DDA4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30" w:hRule="atLeast"/>
          <w:tblHeader/>
          <w:jc w:val="center"/>
        </w:trPr>
        <w:tc>
          <w:tcPr>
            <w:tcW w:w="839" w:type="dxa"/>
            <w:tcBorders>
              <w:top w:val="single" w:color="auto" w:sz="4" w:space="0"/>
              <w:left w:val="single" w:color="auto" w:sz="4" w:space="0"/>
              <w:bottom w:val="single" w:color="auto" w:sz="4" w:space="0"/>
              <w:right w:val="single" w:color="auto" w:sz="4" w:space="0"/>
            </w:tcBorders>
            <w:vAlign w:val="center"/>
          </w:tcPr>
          <w:p w14:paraId="0B76425E">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w:t>
            </w:r>
          </w:p>
        </w:tc>
        <w:tc>
          <w:tcPr>
            <w:tcW w:w="2325" w:type="dxa"/>
            <w:tcBorders>
              <w:top w:val="single" w:color="000000" w:sz="8" w:space="0"/>
              <w:left w:val="single" w:color="auto" w:sz="4" w:space="0"/>
              <w:bottom w:val="single" w:color="000000" w:sz="8" w:space="0"/>
              <w:right w:val="single" w:color="000000" w:sz="8" w:space="0"/>
            </w:tcBorders>
            <w:vAlign w:val="center"/>
          </w:tcPr>
          <w:p w14:paraId="02711E71">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分包</w:t>
            </w:r>
          </w:p>
        </w:tc>
        <w:tc>
          <w:tcPr>
            <w:tcW w:w="7018" w:type="dxa"/>
            <w:tcBorders>
              <w:top w:val="single" w:color="000000" w:sz="8" w:space="0"/>
              <w:left w:val="single" w:color="000000" w:sz="2" w:space="0"/>
              <w:bottom w:val="single" w:color="000000" w:sz="8" w:space="0"/>
              <w:right w:val="single" w:color="000000" w:sz="8" w:space="0"/>
            </w:tcBorders>
            <w:vAlign w:val="center"/>
          </w:tcPr>
          <w:p w14:paraId="3989ED3F">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7286927"/>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ascii="Wingdings" w:hAnsi="Wingdings"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 xml:space="preserve"> A</w:t>
            </w:r>
            <w:r>
              <w:rPr>
                <w:rFonts w:hint="eastAsia" w:ascii="宋体" w:hAnsi="宋体" w:cs="宋体"/>
                <w:color w:val="000000" w:themeColor="text1"/>
                <w:sz w:val="24"/>
                <w:highlight w:val="none"/>
                <w14:textFill>
                  <w14:solidFill>
                    <w14:schemeClr w14:val="tx1"/>
                  </w14:solidFill>
                </w14:textFill>
              </w:rPr>
              <w:t>同意将非主体、非关键性的工作分包。</w:t>
            </w:r>
          </w:p>
          <w:p w14:paraId="42D45202">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276331357"/>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 xml:space="preserve"> B</w:t>
            </w:r>
            <w:r>
              <w:rPr>
                <w:rFonts w:hint="eastAsia" w:ascii="宋体" w:hAnsi="宋体" w:cs="宋体"/>
                <w:color w:val="000000" w:themeColor="text1"/>
                <w:sz w:val="24"/>
                <w:highlight w:val="none"/>
                <w14:textFill>
                  <w14:solidFill>
                    <w14:schemeClr w14:val="tx1"/>
                  </w14:solidFill>
                </w14:textFill>
              </w:rPr>
              <w:t>不同意分包。</w:t>
            </w:r>
          </w:p>
        </w:tc>
      </w:tr>
      <w:tr w14:paraId="0D1FB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35" w:hRule="atLeast"/>
          <w:tblHeader/>
          <w:jc w:val="center"/>
        </w:trPr>
        <w:tc>
          <w:tcPr>
            <w:tcW w:w="839" w:type="dxa"/>
            <w:tcBorders>
              <w:top w:val="single" w:color="auto" w:sz="4" w:space="0"/>
              <w:left w:val="single" w:color="auto" w:sz="4" w:space="0"/>
              <w:bottom w:val="single" w:color="auto" w:sz="4" w:space="0"/>
              <w:right w:val="single" w:color="auto" w:sz="4" w:space="0"/>
            </w:tcBorders>
          </w:tcPr>
          <w:p w14:paraId="62DEACC2">
            <w:pPr>
              <w:snapToGrid w:val="0"/>
              <w:spacing w:line="360" w:lineRule="auto"/>
              <w:jc w:val="center"/>
              <w:rPr>
                <w:rFonts w:ascii="宋体" w:hAnsi="宋体" w:cs="宋体"/>
                <w:b/>
                <w:bCs/>
                <w:color w:val="000000" w:themeColor="text1"/>
                <w:sz w:val="24"/>
                <w:highlight w:val="none"/>
                <w14:textFill>
                  <w14:solidFill>
                    <w14:schemeClr w14:val="tx1"/>
                  </w14:solidFill>
                </w14:textFill>
              </w:rPr>
            </w:pPr>
          </w:p>
          <w:p w14:paraId="56BADC76">
            <w:pPr>
              <w:snapToGrid w:val="0"/>
              <w:spacing w:line="360" w:lineRule="auto"/>
              <w:jc w:val="center"/>
              <w:rPr>
                <w:rFonts w:ascii="宋体" w:hAnsi="宋体" w:cs="宋体"/>
                <w:b/>
                <w:bCs/>
                <w:color w:val="000000" w:themeColor="text1"/>
                <w:sz w:val="24"/>
                <w:highlight w:val="none"/>
                <w14:textFill>
                  <w14:solidFill>
                    <w14:schemeClr w14:val="tx1"/>
                  </w14:solidFill>
                </w14:textFill>
              </w:rPr>
            </w:pPr>
          </w:p>
          <w:p w14:paraId="02D5494C">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w:t>
            </w:r>
          </w:p>
        </w:tc>
        <w:tc>
          <w:tcPr>
            <w:tcW w:w="2325" w:type="dxa"/>
            <w:tcBorders>
              <w:top w:val="single" w:color="000000" w:sz="8" w:space="0"/>
              <w:left w:val="single" w:color="auto" w:sz="4" w:space="0"/>
              <w:bottom w:val="single" w:color="000000" w:sz="8" w:space="0"/>
              <w:right w:val="single" w:color="000000" w:sz="8" w:space="0"/>
            </w:tcBorders>
            <w:vAlign w:val="center"/>
          </w:tcPr>
          <w:p w14:paraId="29AAEA4F">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开标前答疑会</w:t>
            </w:r>
          </w:p>
          <w:p w14:paraId="58181AAF">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或现场考察</w:t>
            </w:r>
          </w:p>
        </w:tc>
        <w:tc>
          <w:tcPr>
            <w:tcW w:w="7018" w:type="dxa"/>
            <w:tcBorders>
              <w:top w:val="single" w:color="000000" w:sz="8" w:space="0"/>
              <w:left w:val="single" w:color="000000" w:sz="2" w:space="0"/>
              <w:bottom w:val="single" w:color="000000" w:sz="8" w:space="0"/>
              <w:right w:val="single" w:color="000000" w:sz="8" w:space="0"/>
            </w:tcBorders>
            <w:vAlign w:val="center"/>
          </w:tcPr>
          <w:p w14:paraId="02620410">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212966419"/>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ascii="Wingdings" w:hAnsi="Wingdings"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不组织。</w:t>
            </w:r>
          </w:p>
          <w:p w14:paraId="0598C75E">
            <w:pPr>
              <w:spacing w:line="360" w:lineRule="auto"/>
              <w:rPr>
                <w:rFonts w:ascii="宋体" w:hAnsi="宋体" w:cs="宋体"/>
                <w:color w:val="000000" w:themeColor="text1"/>
                <w:sz w:val="24"/>
                <w:szCs w:val="20"/>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999802974"/>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B组织，</w:t>
            </w:r>
            <w:r>
              <w:rPr>
                <w:rFonts w:hint="eastAsia" w:ascii="宋体" w:hAnsi="宋体" w:cs="宋体"/>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szCs w:val="20"/>
                <w:highlight w:val="none"/>
                <w14:textFill>
                  <w14:solidFill>
                    <w14:schemeClr w14:val="tx1"/>
                  </w14:solidFill>
                </w14:textFill>
              </w:rPr>
              <w:t>。</w:t>
            </w:r>
          </w:p>
        </w:tc>
      </w:tr>
      <w:tr w14:paraId="114C69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jc w:val="center"/>
        </w:trPr>
        <w:tc>
          <w:tcPr>
            <w:tcW w:w="839" w:type="dxa"/>
            <w:tcBorders>
              <w:top w:val="single" w:color="auto" w:sz="4" w:space="0"/>
              <w:left w:val="single" w:color="auto" w:sz="4" w:space="0"/>
              <w:bottom w:val="single" w:color="auto" w:sz="4" w:space="0"/>
              <w:right w:val="single" w:color="auto" w:sz="4" w:space="0"/>
            </w:tcBorders>
            <w:vAlign w:val="center"/>
          </w:tcPr>
          <w:p w14:paraId="1181BA25">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w:t>
            </w:r>
          </w:p>
        </w:tc>
        <w:tc>
          <w:tcPr>
            <w:tcW w:w="2325" w:type="dxa"/>
            <w:tcBorders>
              <w:top w:val="single" w:color="000000" w:sz="8" w:space="0"/>
              <w:left w:val="single" w:color="auto" w:sz="4" w:space="0"/>
              <w:bottom w:val="single" w:color="000000" w:sz="8" w:space="0"/>
              <w:right w:val="single" w:color="000000" w:sz="8" w:space="0"/>
            </w:tcBorders>
            <w:vAlign w:val="center"/>
          </w:tcPr>
          <w:p w14:paraId="5D36088E">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样品提供</w:t>
            </w:r>
          </w:p>
        </w:tc>
        <w:tc>
          <w:tcPr>
            <w:tcW w:w="7018" w:type="dxa"/>
            <w:tcBorders>
              <w:top w:val="single" w:color="000000" w:sz="8" w:space="0"/>
              <w:left w:val="single" w:color="000000" w:sz="2" w:space="0"/>
              <w:bottom w:val="single" w:color="000000" w:sz="8" w:space="0"/>
              <w:right w:val="single" w:color="000000" w:sz="8" w:space="0"/>
            </w:tcBorders>
            <w:vAlign w:val="center"/>
          </w:tcPr>
          <w:p w14:paraId="54EB0D41">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639946486"/>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ascii="Wingdings" w:hAnsi="Wingdings"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不要求提供。</w:t>
            </w:r>
          </w:p>
          <w:p w14:paraId="63B6F644">
            <w:pPr>
              <w:spacing w:line="360" w:lineRule="auto"/>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026831988"/>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B要求提供，</w:t>
            </w:r>
          </w:p>
          <w:p w14:paraId="70354C90">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ascii="宋体" w:hAnsi="宋体" w:cs="宋体"/>
                <w:snapToGrid w:val="0"/>
                <w:color w:val="000000" w:themeColor="text1"/>
                <w:kern w:val="28"/>
                <w:sz w:val="24"/>
                <w:highlight w:val="none"/>
                <w14:textFill>
                  <w14:solidFill>
                    <w14:schemeClr w14:val="tx1"/>
                  </w14:solidFill>
                </w14:textFill>
              </w:rPr>
              <w:t>样品：</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kern w:val="0"/>
                <w:sz w:val="24"/>
                <w:highlight w:val="none"/>
                <w14:textFill>
                  <w14:solidFill>
                    <w14:schemeClr w14:val="tx1"/>
                  </w14:solidFill>
                </w14:textFill>
              </w:rPr>
              <w:t>；</w:t>
            </w:r>
          </w:p>
          <w:p w14:paraId="010E8ED8">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snapToGrid w:val="0"/>
                <w:color w:val="000000" w:themeColor="text1"/>
                <w:kern w:val="28"/>
                <w:sz w:val="24"/>
                <w:highlight w:val="none"/>
                <w14:textFill>
                  <w14:solidFill>
                    <w14:schemeClr w14:val="tx1"/>
                  </w14:solidFill>
                </w14:textFill>
              </w:rPr>
              <w:t>样品制作的标准和要求：</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kern w:val="0"/>
                <w:sz w:val="24"/>
                <w:highlight w:val="none"/>
                <w14:textFill>
                  <w14:solidFill>
                    <w14:schemeClr w14:val="tx1"/>
                  </w14:solidFill>
                </w14:textFill>
              </w:rPr>
              <w:t>；</w:t>
            </w:r>
          </w:p>
          <w:p w14:paraId="2DBDD849">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（3）样品的评审方法以及评审标准</w:t>
            </w:r>
            <w:r>
              <w:rPr>
                <w:rFonts w:hint="eastAsia" w:ascii="宋体" w:hAnsi="宋体" w:cs="宋体"/>
                <w:snapToGrid w:val="0"/>
                <w:color w:val="000000" w:themeColor="text1"/>
                <w:kern w:val="28"/>
                <w:sz w:val="24"/>
                <w:highlight w:val="none"/>
                <w14:textFill>
                  <w14:solidFill>
                    <w14:schemeClr w14:val="tx1"/>
                  </w14:solidFill>
                </w14:textFill>
              </w:rPr>
              <w:t>：详见</w:t>
            </w:r>
            <w:r>
              <w:rPr>
                <w:rFonts w:hint="eastAsia" w:ascii="宋体" w:hAnsi="宋体" w:cs="宋体"/>
                <w:color w:val="000000" w:themeColor="text1"/>
                <w:sz w:val="24"/>
                <w:highlight w:val="none"/>
                <w:u w:val="single"/>
                <w14:textFill>
                  <w14:solidFill>
                    <w14:schemeClr w14:val="tx1"/>
                  </w14:solidFill>
                </w14:textFill>
              </w:rPr>
              <w:t>评标办法</w:t>
            </w:r>
            <w:r>
              <w:rPr>
                <w:rFonts w:hint="eastAsia" w:ascii="宋体" w:hAnsi="宋体" w:cs="宋体"/>
                <w:color w:val="000000" w:themeColor="text1"/>
                <w:kern w:val="0"/>
                <w:sz w:val="24"/>
                <w:highlight w:val="none"/>
                <w14:textFill>
                  <w14:solidFill>
                    <w14:schemeClr w14:val="tx1"/>
                  </w14:solidFill>
                </w14:textFill>
              </w:rPr>
              <w:t>；</w:t>
            </w:r>
          </w:p>
          <w:p w14:paraId="31D2F12B">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（4）是否需要随样品提交检测报告：</w:t>
            </w:r>
            <w:sdt>
              <w:sdtPr>
                <w:rPr>
                  <w:rFonts w:hint="eastAsia" w:ascii="宋体" w:hAnsi="宋体" w:cs="宋体"/>
                  <w:color w:val="000000" w:themeColor="text1"/>
                  <w:kern w:val="0"/>
                  <w:sz w:val="24"/>
                  <w:highlight w:val="none"/>
                  <w14:textFill>
                    <w14:solidFill>
                      <w14:schemeClr w14:val="tx1"/>
                    </w14:solidFill>
                  </w14:textFill>
                </w:rPr>
                <w:id w:val="1303421454"/>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否；</w:t>
            </w:r>
            <w:sdt>
              <w:sdtPr>
                <w:rPr>
                  <w:rFonts w:hint="eastAsia" w:ascii="宋体" w:hAnsi="宋体" w:cs="宋体"/>
                  <w:color w:val="000000" w:themeColor="text1"/>
                  <w:kern w:val="0"/>
                  <w:sz w:val="24"/>
                  <w:highlight w:val="none"/>
                  <w14:textFill>
                    <w14:solidFill>
                      <w14:schemeClr w14:val="tx1"/>
                    </w14:solidFill>
                  </w14:textFill>
                </w:rPr>
                <w:id w:val="1621728433"/>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是，检测机构的要求</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kern w:val="0"/>
                <w:sz w:val="24"/>
                <w:highlight w:val="none"/>
                <w14:textFill>
                  <w14:solidFill>
                    <w14:schemeClr w14:val="tx1"/>
                  </w14:solidFill>
                </w14:textFill>
              </w:rPr>
              <w:t>；检测内容</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kern w:val="0"/>
                <w:sz w:val="24"/>
                <w:highlight w:val="none"/>
                <w14:textFill>
                  <w14:solidFill>
                    <w14:schemeClr w14:val="tx1"/>
                  </w14:solidFill>
                </w14:textFill>
              </w:rPr>
              <w:t>。</w:t>
            </w:r>
          </w:p>
          <w:p w14:paraId="73C11E2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（5）提供样品的时间：</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kern w:val="0"/>
                <w:sz w:val="24"/>
                <w:highlight w:val="none"/>
                <w14:textFill>
                  <w14:solidFill>
                    <w14:schemeClr w14:val="tx1"/>
                  </w14:solidFill>
                </w14:textFill>
              </w:rPr>
              <w:t>；地点：</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kern w:val="0"/>
                <w:sz w:val="24"/>
                <w:highlight w:val="none"/>
                <w14:textFill>
                  <w14:solidFill>
                    <w14:schemeClr w14:val="tx1"/>
                  </w14:solidFill>
                </w14:textFill>
              </w:rPr>
              <w:t>；联系人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28"/>
                <w:sz w:val="24"/>
                <w:highlight w:val="none"/>
                <w14:textFill>
                  <w14:solidFill>
                    <w14:schemeClr w14:val="tx1"/>
                  </w14:solidFill>
                </w14:textFill>
              </w:rPr>
              <w:t>联系电话：</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。请投标人在上述时间内提供样品并按规定位置安装完毕。超过截止时间的，采购人或采购代理机构将不予接收，并将清场并封闭样品现场。</w:t>
            </w:r>
          </w:p>
          <w:p w14:paraId="7D7A656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7891AA56">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（7）制作、运输、安装和保管样品所发生的一切费用由投标人自理。</w:t>
            </w:r>
          </w:p>
        </w:tc>
      </w:tr>
      <w:tr w14:paraId="6D435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jc w:val="center"/>
        </w:trPr>
        <w:tc>
          <w:tcPr>
            <w:tcW w:w="839" w:type="dxa"/>
            <w:tcBorders>
              <w:top w:val="single" w:color="auto" w:sz="4" w:space="0"/>
              <w:left w:val="single" w:color="auto" w:sz="4" w:space="0"/>
              <w:bottom w:val="single" w:color="auto" w:sz="4" w:space="0"/>
              <w:right w:val="single" w:color="auto" w:sz="4" w:space="0"/>
            </w:tcBorders>
            <w:vAlign w:val="center"/>
          </w:tcPr>
          <w:p w14:paraId="15F9D1F8">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7</w:t>
            </w:r>
          </w:p>
        </w:tc>
        <w:tc>
          <w:tcPr>
            <w:tcW w:w="2325" w:type="dxa"/>
            <w:tcBorders>
              <w:top w:val="single" w:color="000000" w:sz="8" w:space="0"/>
              <w:left w:val="single" w:color="auto" w:sz="4" w:space="0"/>
              <w:bottom w:val="single" w:color="000000" w:sz="8" w:space="0"/>
              <w:right w:val="single" w:color="000000" w:sz="8" w:space="0"/>
            </w:tcBorders>
            <w:vAlign w:val="center"/>
          </w:tcPr>
          <w:p w14:paraId="34DEB814">
            <w:pPr>
              <w:snapToGrid w:val="0"/>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方案讲解演示</w:t>
            </w:r>
          </w:p>
        </w:tc>
        <w:tc>
          <w:tcPr>
            <w:tcW w:w="7018" w:type="dxa"/>
            <w:tcBorders>
              <w:top w:val="single" w:color="000000" w:sz="8" w:space="0"/>
              <w:left w:val="single" w:color="000000" w:sz="2" w:space="0"/>
              <w:bottom w:val="single" w:color="000000" w:sz="8" w:space="0"/>
              <w:right w:val="single" w:color="000000" w:sz="8" w:space="0"/>
            </w:tcBorders>
            <w:vAlign w:val="center"/>
          </w:tcPr>
          <w:p w14:paraId="4529B40E">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859348549"/>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不组织。</w:t>
            </w:r>
          </w:p>
          <w:p w14:paraId="5478C99E">
            <w:pPr>
              <w:spacing w:line="360" w:lineRule="auto"/>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174071719"/>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B组织。</w:t>
            </w:r>
          </w:p>
          <w:p w14:paraId="2FAB77FE">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（1）在评标时安排每个投标人进行方案讲解演示。每个投标人时间不超过</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分钟，讲解次序以投标文件解密时间先后次序为准，讲解演示人员不超过</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人。讲解演示结束后按要求解答评标委员会提问。</w:t>
            </w:r>
          </w:p>
          <w:p w14:paraId="0F1E77F5">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（2）方案讲解演示可选择以下其中一种方式：</w:t>
            </w:r>
          </w:p>
          <w:p w14:paraId="42C2F98E">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方式一：政采云平台在线讲解演示。政采云平台在线讲解需投标人根据政采云平台操作要求做好准备工作，提前完善软硬件配置环境。</w:t>
            </w:r>
          </w:p>
          <w:p w14:paraId="38F63E75">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方式二：评标现场讲解演示。现场讲解地点为</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kern w:val="0"/>
                <w:sz w:val="24"/>
                <w:highlight w:val="none"/>
                <w14:textFill>
                  <w14:solidFill>
                    <w14:schemeClr w14:val="tx1"/>
                  </w14:solidFill>
                </w14:textFill>
              </w:rPr>
              <w:t>，讲解演示所用电脑等设备由投标人自备。现场讲解演示人员进场时提供讲解人员名单（加盖公章或授权代表签名）及身份证明，否则不得讲解演示。</w:t>
            </w:r>
          </w:p>
          <w:p w14:paraId="70035E28">
            <w:pPr>
              <w:pStyle w:val="2"/>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注：因投标人自身原因导致无法演示或者演示效果不理想的，责任自负。因平台原因导致本项目方案讲解演示环节无法顺利开展，按照《浙江省政府采购项目电子交易管理暂行办法》相关规定执行。</w:t>
            </w:r>
          </w:p>
        </w:tc>
      </w:tr>
      <w:tr w14:paraId="5EC51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jc w:val="center"/>
        </w:trPr>
        <w:tc>
          <w:tcPr>
            <w:tcW w:w="839" w:type="dxa"/>
            <w:vMerge w:val="restart"/>
            <w:tcBorders>
              <w:top w:val="single" w:color="auto" w:sz="4" w:space="0"/>
              <w:left w:val="single" w:color="auto" w:sz="4" w:space="0"/>
              <w:right w:val="single" w:color="auto" w:sz="4" w:space="0"/>
            </w:tcBorders>
          </w:tcPr>
          <w:p w14:paraId="38DB4731">
            <w:pPr>
              <w:snapToGrid w:val="0"/>
              <w:spacing w:line="360" w:lineRule="auto"/>
              <w:jc w:val="center"/>
              <w:rPr>
                <w:rFonts w:ascii="宋体" w:hAnsi="宋体" w:cs="宋体"/>
                <w:color w:val="000000" w:themeColor="text1"/>
                <w:sz w:val="24"/>
                <w:highlight w:val="none"/>
                <w14:textFill>
                  <w14:solidFill>
                    <w14:schemeClr w14:val="tx1"/>
                  </w14:solidFill>
                </w14:textFill>
              </w:rPr>
            </w:pPr>
          </w:p>
          <w:p w14:paraId="1F9B9018">
            <w:pPr>
              <w:snapToGrid w:val="0"/>
              <w:spacing w:line="360" w:lineRule="auto"/>
              <w:jc w:val="center"/>
              <w:rPr>
                <w:rFonts w:ascii="宋体" w:hAnsi="宋体" w:cs="宋体"/>
                <w:color w:val="000000" w:themeColor="text1"/>
                <w:sz w:val="24"/>
                <w:highlight w:val="none"/>
                <w14:textFill>
                  <w14:solidFill>
                    <w14:schemeClr w14:val="tx1"/>
                  </w14:solidFill>
                </w14:textFill>
              </w:rPr>
            </w:pPr>
          </w:p>
          <w:p w14:paraId="7E45ED24">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8</w:t>
            </w:r>
          </w:p>
        </w:tc>
        <w:tc>
          <w:tcPr>
            <w:tcW w:w="2325" w:type="dxa"/>
            <w:vMerge w:val="restart"/>
            <w:tcBorders>
              <w:top w:val="single" w:color="000000" w:sz="8" w:space="0"/>
              <w:left w:val="single" w:color="auto" w:sz="4" w:space="0"/>
              <w:right w:val="single" w:color="000000" w:sz="8" w:space="0"/>
            </w:tcBorders>
            <w:vAlign w:val="center"/>
          </w:tcPr>
          <w:p w14:paraId="4965E54C">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投标人应当提供的资格、资信证明文件</w:t>
            </w:r>
          </w:p>
        </w:tc>
        <w:tc>
          <w:tcPr>
            <w:tcW w:w="7018" w:type="dxa"/>
            <w:tcBorders>
              <w:top w:val="single" w:color="000000" w:sz="8" w:space="0"/>
              <w:left w:val="single" w:color="000000" w:sz="2" w:space="0"/>
              <w:bottom w:val="single" w:color="auto" w:sz="4" w:space="0"/>
              <w:right w:val="single" w:color="000000" w:sz="8" w:space="0"/>
            </w:tcBorders>
            <w:vAlign w:val="center"/>
          </w:tcPr>
          <w:p w14:paraId="7C6143F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（1）资格证明文件：见招标文件第二部分11.1。</w:t>
            </w:r>
          </w:p>
          <w:p w14:paraId="405D9E2F">
            <w:pPr>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投标人未提供有效的资格证明文件的，视为投标人不具备招标文件中规定的资格要求，投标无效。</w:t>
            </w:r>
          </w:p>
        </w:tc>
      </w:tr>
      <w:tr w14:paraId="296A1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71" w:hRule="atLeast"/>
          <w:tblHeader/>
          <w:jc w:val="center"/>
        </w:trPr>
        <w:tc>
          <w:tcPr>
            <w:tcW w:w="839" w:type="dxa"/>
            <w:vMerge w:val="continue"/>
            <w:tcBorders>
              <w:left w:val="single" w:color="auto" w:sz="4" w:space="0"/>
              <w:bottom w:val="single" w:color="auto" w:sz="4" w:space="0"/>
              <w:right w:val="single" w:color="auto" w:sz="4" w:space="0"/>
            </w:tcBorders>
          </w:tcPr>
          <w:p w14:paraId="0CACAD5C">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325" w:type="dxa"/>
            <w:vMerge w:val="continue"/>
            <w:tcBorders>
              <w:left w:val="single" w:color="auto" w:sz="4" w:space="0"/>
              <w:bottom w:val="single" w:color="000000" w:sz="8" w:space="0"/>
              <w:right w:val="single" w:color="000000" w:sz="8" w:space="0"/>
            </w:tcBorders>
            <w:vAlign w:val="center"/>
          </w:tcPr>
          <w:p w14:paraId="21398AFE">
            <w:pPr>
              <w:snapToGrid w:val="0"/>
              <w:spacing w:line="360" w:lineRule="auto"/>
              <w:jc w:val="center"/>
              <w:rPr>
                <w:rFonts w:ascii="宋体" w:hAnsi="宋体" w:cs="宋体"/>
                <w:b/>
                <w:color w:val="000000" w:themeColor="text1"/>
                <w:sz w:val="24"/>
                <w:highlight w:val="none"/>
                <w14:textFill>
                  <w14:solidFill>
                    <w14:schemeClr w14:val="tx1"/>
                  </w14:solidFill>
                </w14:textFill>
              </w:rPr>
            </w:pPr>
          </w:p>
        </w:tc>
        <w:tc>
          <w:tcPr>
            <w:tcW w:w="7018" w:type="dxa"/>
            <w:tcBorders>
              <w:top w:val="single" w:color="auto" w:sz="4" w:space="0"/>
              <w:left w:val="single" w:color="000000" w:sz="2" w:space="0"/>
              <w:bottom w:val="single" w:color="000000" w:sz="8" w:space="0"/>
              <w:right w:val="single" w:color="000000" w:sz="8" w:space="0"/>
            </w:tcBorders>
            <w:vAlign w:val="center"/>
          </w:tcPr>
          <w:p w14:paraId="2B8EF23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（2）资信证明文件：根据招标文件第四部分评标标准提供。</w:t>
            </w:r>
          </w:p>
        </w:tc>
      </w:tr>
      <w:tr w14:paraId="3A4CA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839" w:type="dxa"/>
            <w:tcBorders>
              <w:top w:val="single" w:color="auto" w:sz="4" w:space="0"/>
              <w:left w:val="single" w:color="000000" w:sz="8" w:space="0"/>
              <w:bottom w:val="single" w:color="auto" w:sz="4" w:space="0"/>
              <w:right w:val="single" w:color="000000" w:sz="2" w:space="0"/>
            </w:tcBorders>
          </w:tcPr>
          <w:p w14:paraId="52456B77">
            <w:pPr>
              <w:snapToGrid w:val="0"/>
              <w:spacing w:line="360" w:lineRule="auto"/>
              <w:jc w:val="center"/>
              <w:rPr>
                <w:rFonts w:ascii="宋体" w:hAnsi="宋体" w:cs="宋体"/>
                <w:color w:val="000000" w:themeColor="text1"/>
                <w:sz w:val="24"/>
                <w:highlight w:val="none"/>
                <w14:textFill>
                  <w14:solidFill>
                    <w14:schemeClr w14:val="tx1"/>
                  </w14:solidFill>
                </w14:textFill>
              </w:rPr>
            </w:pPr>
          </w:p>
          <w:p w14:paraId="52824E51">
            <w:pPr>
              <w:snapToGrid w:val="0"/>
              <w:spacing w:line="360" w:lineRule="auto"/>
              <w:jc w:val="center"/>
              <w:rPr>
                <w:rFonts w:ascii="宋体" w:hAnsi="宋体" w:cs="宋体"/>
                <w:color w:val="000000" w:themeColor="text1"/>
                <w:sz w:val="24"/>
                <w:highlight w:val="none"/>
                <w14:textFill>
                  <w14:solidFill>
                    <w14:schemeClr w14:val="tx1"/>
                  </w14:solidFill>
                </w14:textFill>
              </w:rPr>
            </w:pPr>
          </w:p>
          <w:p w14:paraId="33E9AAA2">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9</w:t>
            </w:r>
          </w:p>
        </w:tc>
        <w:tc>
          <w:tcPr>
            <w:tcW w:w="2325" w:type="dxa"/>
            <w:tcBorders>
              <w:top w:val="single" w:color="000000" w:sz="8" w:space="0"/>
              <w:left w:val="single" w:color="000000" w:sz="2" w:space="0"/>
              <w:bottom w:val="single" w:color="000000" w:sz="8" w:space="0"/>
              <w:right w:val="single" w:color="000000" w:sz="8" w:space="0"/>
            </w:tcBorders>
            <w:vAlign w:val="center"/>
          </w:tcPr>
          <w:p w14:paraId="02971D82">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节能产品、</w:t>
            </w:r>
          </w:p>
          <w:p w14:paraId="196A4725">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环境标志产品</w:t>
            </w:r>
          </w:p>
        </w:tc>
        <w:tc>
          <w:tcPr>
            <w:tcW w:w="7018" w:type="dxa"/>
            <w:tcBorders>
              <w:top w:val="single" w:color="000000" w:sz="8" w:space="0"/>
              <w:left w:val="single" w:color="000000" w:sz="2" w:space="0"/>
              <w:bottom w:val="single" w:color="000000" w:sz="8" w:space="0"/>
              <w:right w:val="single" w:color="000000" w:sz="8" w:space="0"/>
            </w:tcBorders>
            <w:vAlign w:val="center"/>
          </w:tcPr>
          <w:p w14:paraId="7697F97A">
            <w:pPr>
              <w:snapToGrid w:val="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123C9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839" w:type="dxa"/>
            <w:tcBorders>
              <w:top w:val="single" w:color="auto" w:sz="4" w:space="0"/>
              <w:left w:val="single" w:color="000000" w:sz="8" w:space="0"/>
              <w:bottom w:val="single" w:color="auto" w:sz="4" w:space="0"/>
              <w:right w:val="single" w:color="000000" w:sz="2" w:space="0"/>
            </w:tcBorders>
            <w:vAlign w:val="center"/>
          </w:tcPr>
          <w:p w14:paraId="004C4F9E">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10</w:t>
            </w:r>
          </w:p>
        </w:tc>
        <w:tc>
          <w:tcPr>
            <w:tcW w:w="2325" w:type="dxa"/>
            <w:tcBorders>
              <w:top w:val="single" w:color="000000" w:sz="8" w:space="0"/>
              <w:left w:val="single" w:color="000000" w:sz="2" w:space="0"/>
              <w:bottom w:val="single" w:color="000000" w:sz="8" w:space="0"/>
              <w:right w:val="single" w:color="000000" w:sz="8" w:space="0"/>
            </w:tcBorders>
            <w:vAlign w:val="center"/>
          </w:tcPr>
          <w:p w14:paraId="2CA68F0B">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报价要求</w:t>
            </w:r>
          </w:p>
        </w:tc>
        <w:tc>
          <w:tcPr>
            <w:tcW w:w="7018" w:type="dxa"/>
            <w:tcBorders>
              <w:top w:val="single" w:color="000000" w:sz="8" w:space="0"/>
              <w:left w:val="single" w:color="000000" w:sz="2" w:space="0"/>
              <w:bottom w:val="single" w:color="000000" w:sz="8" w:space="0"/>
              <w:right w:val="single" w:color="000000" w:sz="8" w:space="0"/>
            </w:tcBorders>
            <w:vAlign w:val="center"/>
          </w:tcPr>
          <w:p w14:paraId="1FDD7240">
            <w:pPr>
              <w:snapToGrid w:val="0"/>
              <w:spacing w:line="360" w:lineRule="auto"/>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1、</w:t>
            </w:r>
            <w:r>
              <w:rPr>
                <w:rFonts w:hint="eastAsia" w:ascii="宋体" w:hAnsi="宋体" w:cs="宋体"/>
                <w:color w:val="000000" w:themeColor="text1"/>
                <w:kern w:val="0"/>
                <w:sz w:val="24"/>
                <w:highlight w:val="none"/>
                <w:lang w:val="zh-CN"/>
                <w14:textFill>
                  <w14:solidFill>
                    <w14:schemeClr w14:val="tx1"/>
                  </w14:solidFill>
                </w14:textFill>
              </w:rPr>
              <w:t>有关本项目实施所需的所有费用（含税费）均计入报价。</w:t>
            </w:r>
            <w:r>
              <w:rPr>
                <w:rFonts w:hint="eastAsia" w:ascii="宋体" w:hAnsi="宋体" w:cs="宋体"/>
                <w:b/>
                <w:bCs/>
                <w:color w:val="000000" w:themeColor="text1"/>
                <w:kern w:val="0"/>
                <w:sz w:val="24"/>
                <w:highlight w:val="none"/>
                <w:lang w:val="zh-CN"/>
                <w14:textFill>
                  <w14:solidFill>
                    <w14:schemeClr w14:val="tx1"/>
                  </w14:solidFill>
                </w14:textFill>
              </w:rPr>
              <w:t>投标文件</w:t>
            </w:r>
            <w:r>
              <w:rPr>
                <w:rFonts w:hint="eastAsia" w:ascii="宋体" w:hAnsi="宋体" w:cs="宋体"/>
                <w:b/>
                <w:bCs/>
                <w:color w:val="000000" w:themeColor="text1"/>
                <w:sz w:val="24"/>
                <w:highlight w:val="none"/>
                <w14:textFill>
                  <w14:solidFill>
                    <w14:schemeClr w14:val="tx1"/>
                  </w14:solidFill>
                </w14:textFill>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000000" w:themeColor="text1"/>
                <w:kern w:val="0"/>
                <w:sz w:val="24"/>
                <w:highlight w:val="none"/>
                <w:lang w:val="zh-CN"/>
                <w14:textFill>
                  <w14:solidFill>
                    <w14:schemeClr w14:val="tx1"/>
                  </w14:solidFill>
                </w14:textFill>
              </w:rPr>
              <w:t>投标文件中价格全部采用人民币报价。招标文件未列明，而投标人认为必需的费用也需列入报价。</w:t>
            </w:r>
          </w:p>
          <w:p w14:paraId="04344116">
            <w:pPr>
              <w:snapToGrid w:val="0"/>
              <w:spacing w:line="360" w:lineRule="auto"/>
              <w:jc w:val="left"/>
              <w:rPr>
                <w:rFonts w:hint="default" w:ascii="宋体" w:hAnsi="宋体" w:cs="宋体"/>
                <w:b/>
                <w:color w:val="000000" w:themeColor="text1"/>
                <w:kern w:val="0"/>
                <w:sz w:val="24"/>
                <w:highlight w:val="none"/>
                <w:lang w:val="en-US" w:eastAsia="zh-CN"/>
                <w14:textFill>
                  <w14:solidFill>
                    <w14:schemeClr w14:val="tx1"/>
                  </w14:solidFill>
                </w14:textFill>
              </w:rPr>
            </w:pPr>
            <w:r>
              <w:rPr>
                <w:rFonts w:hint="eastAsia" w:ascii="宋体" w:hAnsi="宋体" w:cs="宋体"/>
                <w:b/>
                <w:color w:val="000000" w:themeColor="text1"/>
                <w:kern w:val="0"/>
                <w:sz w:val="24"/>
                <w:highlight w:val="none"/>
                <w:lang w:val="en-US" w:eastAsia="zh-CN"/>
                <w14:textFill>
                  <w14:solidFill>
                    <w14:schemeClr w14:val="tx1"/>
                  </w14:solidFill>
                </w14:textFill>
              </w:rPr>
              <w:t>2、本项目的投标报价包括完成本项目工作内容所需的一切费用，包括但不限于完成本项目的全部内容：包括需求调研、测试、实施部署、培训、质保期内的维护、税金、政策性文件规定及合同包含的所有风险、责任等各项应有的费用。即一直到项目质保期结束，采购人不再另行支付费用。</w:t>
            </w:r>
          </w:p>
          <w:p w14:paraId="46919C5A">
            <w:pPr>
              <w:snapToGrid w:val="0"/>
              <w:spacing w:line="360" w:lineRule="auto"/>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en-US" w:eastAsia="zh-CN"/>
                <w14:textFill>
                  <w14:solidFill>
                    <w14:schemeClr w14:val="tx1"/>
                  </w14:solidFill>
                </w14:textFill>
              </w:rPr>
              <w:t>3、</w:t>
            </w:r>
            <w:r>
              <w:rPr>
                <w:rFonts w:hint="eastAsia" w:ascii="宋体" w:hAnsi="宋体" w:cs="宋体"/>
                <w:b/>
                <w:color w:val="000000" w:themeColor="text1"/>
                <w:kern w:val="0"/>
                <w:sz w:val="24"/>
                <w:highlight w:val="none"/>
                <w:lang w:val="zh-CN"/>
                <w14:textFill>
                  <w14:solidFill>
                    <w14:schemeClr w14:val="tx1"/>
                  </w14:solidFill>
                </w14:textFill>
              </w:rPr>
              <w:t>投标报价出现下列情形的，投标无效：</w:t>
            </w:r>
          </w:p>
          <w:p w14:paraId="128B06DB">
            <w:pPr>
              <w:snapToGrid w:val="0"/>
              <w:spacing w:line="360" w:lineRule="auto"/>
              <w:jc w:val="left"/>
              <w:rPr>
                <w:rFonts w:ascii="宋体" w:hAnsi="宋体" w:cs="宋体"/>
                <w:b w:val="0"/>
                <w:bCs/>
                <w:color w:val="000000" w:themeColor="text1"/>
                <w:kern w:val="0"/>
                <w:sz w:val="24"/>
                <w:highlight w:val="none"/>
                <w:lang w:val="zh-CN"/>
                <w14:textFill>
                  <w14:solidFill>
                    <w14:schemeClr w14:val="tx1"/>
                  </w14:solidFill>
                </w14:textFill>
              </w:rPr>
            </w:pPr>
            <w:r>
              <w:rPr>
                <w:rFonts w:hint="eastAsia" w:ascii="宋体" w:hAnsi="宋体" w:cs="宋体"/>
                <w:b w:val="0"/>
                <w:bCs/>
                <w:color w:val="000000" w:themeColor="text1"/>
                <w:kern w:val="0"/>
                <w:sz w:val="24"/>
                <w:highlight w:val="none"/>
                <w:lang w:val="zh-CN"/>
                <w14:textFill>
                  <w14:solidFill>
                    <w14:schemeClr w14:val="tx1"/>
                  </w14:solidFill>
                </w14:textFill>
              </w:rPr>
              <w:t>①投标文件出现不是唯一的、有选择性投标报价的；</w:t>
            </w:r>
          </w:p>
          <w:p w14:paraId="4A4F0D66">
            <w:pPr>
              <w:snapToGrid w:val="0"/>
              <w:spacing w:line="360" w:lineRule="auto"/>
              <w:jc w:val="left"/>
              <w:rPr>
                <w:rFonts w:ascii="宋体" w:hAnsi="宋体" w:cs="宋体"/>
                <w:b w:val="0"/>
                <w:bCs/>
                <w:color w:val="000000" w:themeColor="text1"/>
                <w:kern w:val="0"/>
                <w:sz w:val="24"/>
                <w:highlight w:val="none"/>
                <w:lang w:val="zh-CN"/>
                <w14:textFill>
                  <w14:solidFill>
                    <w14:schemeClr w14:val="tx1"/>
                  </w14:solidFill>
                </w14:textFill>
              </w:rPr>
            </w:pPr>
            <w:r>
              <w:rPr>
                <w:rFonts w:hint="eastAsia" w:ascii="宋体" w:hAnsi="宋体" w:cs="宋体"/>
                <w:b w:val="0"/>
                <w:bCs/>
                <w:color w:val="000000" w:themeColor="text1"/>
                <w:kern w:val="0"/>
                <w:sz w:val="24"/>
                <w:highlight w:val="none"/>
                <w:lang w:val="zh-CN"/>
                <w14:textFill>
                  <w14:solidFill>
                    <w14:schemeClr w14:val="tx1"/>
                  </w14:solidFill>
                </w14:textFill>
              </w:rPr>
              <w:t>②投标报价超过招标文件中规定的预算金额或者最高限价的；</w:t>
            </w:r>
          </w:p>
          <w:p w14:paraId="1B5FAB48">
            <w:pPr>
              <w:spacing w:line="360" w:lineRule="auto"/>
              <w:rPr>
                <w:rFonts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kern w:val="0"/>
                <w:sz w:val="24"/>
                <w:highlight w:val="none"/>
                <w14:textFill>
                  <w14:solidFill>
                    <w14:schemeClr w14:val="tx1"/>
                  </w14:solidFill>
                </w14:textFill>
              </w:rPr>
              <w:t>③</w:t>
            </w:r>
            <w:r>
              <w:rPr>
                <w:rFonts w:hint="eastAsia" w:ascii="宋体" w:hAnsi="宋体" w:cs="宋体"/>
                <w:b w:val="0"/>
                <w:bCs/>
                <w:color w:val="000000" w:themeColor="text1"/>
                <w:kern w:val="0"/>
                <w:sz w:val="24"/>
                <w:highlight w:val="none"/>
                <w:lang w:val="en-US" w:eastAsia="zh-CN"/>
                <w14:textFill>
                  <w14:solidFill>
                    <w14:schemeClr w14:val="tx1"/>
                  </w14:solidFill>
                </w14:textFill>
              </w:rPr>
              <w:t>评标委员会启动异常低价投标审查程序后，投标人不能提供书面说明、证明材料，或者提供的书面说明、证明材料不能证明其报价合理性的</w:t>
            </w:r>
            <w:r>
              <w:rPr>
                <w:rFonts w:hint="eastAsia" w:ascii="宋体" w:hAnsi="宋体" w:cs="宋体"/>
                <w:b w:val="0"/>
                <w:bCs/>
                <w:color w:val="000000" w:themeColor="text1"/>
                <w:kern w:val="0"/>
                <w:sz w:val="24"/>
                <w:highlight w:val="none"/>
                <w14:textFill>
                  <w14:solidFill>
                    <w14:schemeClr w14:val="tx1"/>
                  </w14:solidFill>
                </w14:textFill>
              </w:rPr>
              <w:t>；</w:t>
            </w:r>
          </w:p>
          <w:p w14:paraId="7450880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b w:val="0"/>
                <w:bCs/>
                <w:color w:val="000000" w:themeColor="text1"/>
                <w:kern w:val="0"/>
                <w:sz w:val="24"/>
                <w:highlight w:val="none"/>
                <w14:textFill>
                  <w14:solidFill>
                    <w14:schemeClr w14:val="tx1"/>
                  </w14:solidFill>
                </w14:textFill>
              </w:rPr>
              <w:t>④投标人对根据修正原则修正后的报价不确认的</w:t>
            </w:r>
            <w:r>
              <w:rPr>
                <w:rFonts w:hint="eastAsia" w:ascii="宋体" w:hAnsi="宋体" w:cs="宋体"/>
                <w:b w:val="0"/>
                <w:bCs/>
                <w:color w:val="000000" w:themeColor="text1"/>
                <w:sz w:val="24"/>
                <w:highlight w:val="none"/>
                <w14:textFill>
                  <w14:solidFill>
                    <w14:schemeClr w14:val="tx1"/>
                  </w14:solidFill>
                </w14:textFill>
              </w:rPr>
              <w:t>。</w:t>
            </w:r>
          </w:p>
        </w:tc>
      </w:tr>
      <w:tr w14:paraId="4EF698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018" w:hRule="atLeast"/>
          <w:tblHeader/>
          <w:jc w:val="center"/>
        </w:trPr>
        <w:tc>
          <w:tcPr>
            <w:tcW w:w="839" w:type="dxa"/>
            <w:tcBorders>
              <w:top w:val="single" w:color="auto" w:sz="4" w:space="0"/>
              <w:left w:val="single" w:color="000000" w:sz="8" w:space="0"/>
              <w:right w:val="single" w:color="000000" w:sz="2" w:space="0"/>
            </w:tcBorders>
            <w:vAlign w:val="center"/>
          </w:tcPr>
          <w:p w14:paraId="028E6790">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w:t>
            </w:r>
          </w:p>
        </w:tc>
        <w:tc>
          <w:tcPr>
            <w:tcW w:w="2325" w:type="dxa"/>
            <w:tcBorders>
              <w:top w:val="single" w:color="000000" w:sz="8" w:space="0"/>
              <w:left w:val="single" w:color="000000" w:sz="2" w:space="0"/>
              <w:right w:val="single" w:color="000000" w:sz="8" w:space="0"/>
            </w:tcBorders>
            <w:vAlign w:val="center"/>
          </w:tcPr>
          <w:p w14:paraId="413E6535">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中小企业信用融资</w:t>
            </w:r>
          </w:p>
        </w:tc>
        <w:tc>
          <w:tcPr>
            <w:tcW w:w="7018" w:type="dxa"/>
            <w:tcBorders>
              <w:top w:val="single" w:color="000000" w:sz="8" w:space="0"/>
              <w:left w:val="single" w:color="000000" w:sz="2" w:space="0"/>
              <w:right w:val="single" w:color="000000" w:sz="8" w:space="0"/>
            </w:tcBorders>
            <w:vAlign w:val="center"/>
          </w:tcPr>
          <w:p w14:paraId="5B39126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2E03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jc w:val="center"/>
        </w:trPr>
        <w:tc>
          <w:tcPr>
            <w:tcW w:w="839" w:type="dxa"/>
            <w:tcBorders>
              <w:top w:val="single" w:color="auto" w:sz="4" w:space="0"/>
              <w:left w:val="single" w:color="000000" w:sz="8" w:space="0"/>
              <w:bottom w:val="single" w:color="auto" w:sz="4" w:space="0"/>
              <w:right w:val="single" w:color="000000" w:sz="2" w:space="0"/>
            </w:tcBorders>
            <w:vAlign w:val="center"/>
          </w:tcPr>
          <w:p w14:paraId="2645768D">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12</w:t>
            </w:r>
          </w:p>
        </w:tc>
        <w:tc>
          <w:tcPr>
            <w:tcW w:w="2325" w:type="dxa"/>
            <w:tcBorders>
              <w:top w:val="single" w:color="000000" w:sz="8" w:space="0"/>
              <w:left w:val="single" w:color="000000" w:sz="2" w:space="0"/>
              <w:bottom w:val="single" w:color="000000" w:sz="8" w:space="0"/>
              <w:right w:val="single" w:color="000000" w:sz="8" w:space="0"/>
            </w:tcBorders>
            <w:vAlign w:val="center"/>
          </w:tcPr>
          <w:p w14:paraId="0F2FFCE2">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备份投标文件送达地点和签收人员 </w:t>
            </w:r>
          </w:p>
        </w:tc>
        <w:tc>
          <w:tcPr>
            <w:tcW w:w="7018" w:type="dxa"/>
            <w:tcBorders>
              <w:top w:val="single" w:color="000000" w:sz="8" w:space="0"/>
              <w:left w:val="single" w:color="000000" w:sz="2" w:space="0"/>
              <w:bottom w:val="single" w:color="000000" w:sz="8" w:space="0"/>
              <w:right w:val="single" w:color="000000" w:sz="8" w:space="0"/>
            </w:tcBorders>
            <w:vAlign w:val="center"/>
          </w:tcPr>
          <w:p w14:paraId="16C577DA">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（1）供应商如提供备份投标文件的，可采用邮寄方式或直接提交方式递交备份投标文件，供应商需将以U盘存储的</w:t>
            </w:r>
            <w:r>
              <w:rPr>
                <w:rFonts w:hint="eastAsia" w:ascii="宋体" w:hAnsi="宋体" w:cs="宋体"/>
                <w:snapToGrid w:val="0"/>
                <w:color w:val="000000" w:themeColor="text1"/>
                <w:kern w:val="28"/>
                <w:sz w:val="24"/>
                <w:highlight w:val="none"/>
                <w:lang w:eastAsia="zh-CN"/>
                <w14:textFill>
                  <w14:solidFill>
                    <w14:schemeClr w14:val="tx1"/>
                  </w14:solidFill>
                </w14:textFill>
              </w:rPr>
              <w:t>备份投标文件</w:t>
            </w:r>
            <w:r>
              <w:rPr>
                <w:rFonts w:hint="eastAsia" w:ascii="宋体" w:hAnsi="宋体" w:cs="宋体"/>
                <w:snapToGrid w:val="0"/>
                <w:color w:val="000000" w:themeColor="text1"/>
                <w:kern w:val="28"/>
                <w:sz w:val="24"/>
                <w:highlight w:val="none"/>
                <w14:textFill>
                  <w14:solidFill>
                    <w14:schemeClr w14:val="tx1"/>
                  </w14:solidFill>
                </w14:textFill>
              </w:rPr>
              <w:t>密封递交，逾期送达或未密封将予以拒收。</w:t>
            </w:r>
          </w:p>
          <w:p w14:paraId="42B98CB2">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（2）采用邮寄方式递交</w:t>
            </w:r>
            <w:r>
              <w:rPr>
                <w:rFonts w:hint="eastAsia" w:ascii="宋体" w:hAnsi="宋体" w:cs="宋体"/>
                <w:snapToGrid w:val="0"/>
                <w:color w:val="000000" w:themeColor="text1"/>
                <w:kern w:val="28"/>
                <w:sz w:val="24"/>
                <w:highlight w:val="none"/>
                <w:lang w:eastAsia="zh-CN"/>
                <w14:textFill>
                  <w14:solidFill>
                    <w14:schemeClr w14:val="tx1"/>
                  </w14:solidFill>
                </w14:textFill>
              </w:rPr>
              <w:t>备份投标文件</w:t>
            </w:r>
            <w:r>
              <w:rPr>
                <w:rFonts w:hint="eastAsia" w:ascii="宋体" w:hAnsi="宋体" w:cs="宋体"/>
                <w:snapToGrid w:val="0"/>
                <w:color w:val="000000" w:themeColor="text1"/>
                <w:kern w:val="28"/>
                <w:sz w:val="24"/>
                <w:highlight w:val="none"/>
                <w14:textFill>
                  <w14:solidFill>
                    <w14:schemeClr w14:val="tx1"/>
                  </w14:solidFill>
                </w14:textFill>
              </w:rPr>
              <w:t>，需按以下要求递交：</w:t>
            </w:r>
          </w:p>
          <w:p w14:paraId="391F569F">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供应商应在开标前一日17：00（含）前将</w:t>
            </w:r>
            <w:r>
              <w:rPr>
                <w:rFonts w:hint="eastAsia" w:ascii="宋体" w:hAnsi="宋体" w:cs="宋体"/>
                <w:snapToGrid w:val="0"/>
                <w:color w:val="000000" w:themeColor="text1"/>
                <w:kern w:val="28"/>
                <w:sz w:val="24"/>
                <w:highlight w:val="none"/>
                <w:lang w:eastAsia="zh-CN"/>
                <w14:textFill>
                  <w14:solidFill>
                    <w14:schemeClr w14:val="tx1"/>
                  </w14:solidFill>
                </w14:textFill>
              </w:rPr>
              <w:t>备份投标文件</w:t>
            </w:r>
            <w:r>
              <w:rPr>
                <w:rFonts w:hint="eastAsia" w:ascii="宋体" w:hAnsi="宋体" w:cs="宋体"/>
                <w:snapToGrid w:val="0"/>
                <w:color w:val="000000" w:themeColor="text1"/>
                <w:kern w:val="28"/>
                <w:sz w:val="24"/>
                <w:highlight w:val="none"/>
                <w14:textFill>
                  <w14:solidFill>
                    <w14:schemeClr w14:val="tx1"/>
                  </w14:solidFill>
                </w14:textFill>
              </w:rPr>
              <w:t>邮寄至规定地点，邮寄地址为：宁波市鄞州区天童南路666号中基大厦19楼业务一部，收件人：</w:t>
            </w:r>
            <w:r>
              <w:rPr>
                <w:rFonts w:hint="eastAsia" w:ascii="宋体" w:hAnsi="宋体" w:cs="宋体"/>
                <w:snapToGrid w:val="0"/>
                <w:color w:val="000000" w:themeColor="text1"/>
                <w:kern w:val="28"/>
                <w:sz w:val="24"/>
                <w:highlight w:val="none"/>
                <w:lang w:val="en-US" w:eastAsia="zh-CN"/>
                <w14:textFill>
                  <w14:solidFill>
                    <w14:schemeClr w14:val="tx1"/>
                  </w14:solidFill>
                </w14:textFill>
              </w:rPr>
              <w:t>戚鸿涛</w:t>
            </w:r>
            <w:r>
              <w:rPr>
                <w:rFonts w:hint="eastAsia" w:ascii="宋体" w:hAnsi="宋体" w:cs="宋体"/>
                <w:snapToGrid w:val="0"/>
                <w:color w:val="000000" w:themeColor="text1"/>
                <w:kern w:val="28"/>
                <w:sz w:val="24"/>
                <w:highlight w:val="none"/>
                <w14:textFill>
                  <w14:solidFill>
                    <w14:schemeClr w14:val="tx1"/>
                  </w14:solidFill>
                </w14:textFill>
              </w:rPr>
              <w:t>，联系方式：0574-</w:t>
            </w:r>
            <w:r>
              <w:rPr>
                <w:rFonts w:hint="eastAsia" w:ascii="宋体" w:hAnsi="宋体" w:cs="宋体"/>
                <w:snapToGrid w:val="0"/>
                <w:color w:val="000000" w:themeColor="text1"/>
                <w:kern w:val="28"/>
                <w:sz w:val="24"/>
                <w:highlight w:val="none"/>
                <w:lang w:val="en-US" w:eastAsia="zh-CN"/>
                <w14:textFill>
                  <w14:solidFill>
                    <w14:schemeClr w14:val="tx1"/>
                  </w14:solidFill>
                </w14:textFill>
              </w:rPr>
              <w:t>87425273</w:t>
            </w:r>
            <w:r>
              <w:rPr>
                <w:rFonts w:hint="eastAsia" w:ascii="宋体" w:hAnsi="宋体" w:cs="宋体"/>
                <w:snapToGrid w:val="0"/>
                <w:color w:val="000000" w:themeColor="text1"/>
                <w:kern w:val="28"/>
                <w:sz w:val="24"/>
                <w:highlight w:val="none"/>
                <w14:textFill>
                  <w14:solidFill>
                    <w14:schemeClr w14:val="tx1"/>
                  </w14:solidFill>
                </w14:textFill>
              </w:rPr>
              <w:t>。由采购代理工作人员进行签收，各供应商自行考虑邮寄在途时间，邮寄过程中无论何种因素导致</w:t>
            </w:r>
            <w:r>
              <w:rPr>
                <w:rFonts w:hint="eastAsia" w:ascii="宋体" w:hAnsi="宋体" w:cs="宋体"/>
                <w:snapToGrid w:val="0"/>
                <w:color w:val="000000" w:themeColor="text1"/>
                <w:kern w:val="28"/>
                <w:sz w:val="24"/>
                <w:highlight w:val="none"/>
                <w:lang w:eastAsia="zh-CN"/>
                <w14:textFill>
                  <w14:solidFill>
                    <w14:schemeClr w14:val="tx1"/>
                  </w14:solidFill>
                </w14:textFill>
              </w:rPr>
              <w:t>备份投标文件</w:t>
            </w:r>
            <w:r>
              <w:rPr>
                <w:rFonts w:hint="eastAsia" w:ascii="宋体" w:hAnsi="宋体" w:cs="宋体"/>
                <w:snapToGrid w:val="0"/>
                <w:color w:val="000000" w:themeColor="text1"/>
                <w:kern w:val="28"/>
                <w:sz w:val="24"/>
                <w:highlight w:val="none"/>
                <w14:textFill>
                  <w14:solidFill>
                    <w14:schemeClr w14:val="tx1"/>
                  </w14:solidFill>
                </w14:textFill>
              </w:rPr>
              <w:t>未按时递交的后果，均由供应商自行负责。</w:t>
            </w:r>
            <w:r>
              <w:rPr>
                <w:rFonts w:hint="eastAsia" w:ascii="宋体" w:hAnsi="宋体" w:cs="宋体"/>
                <w:snapToGrid w:val="0"/>
                <w:color w:val="000000" w:themeColor="text1"/>
                <w:kern w:val="28"/>
                <w:sz w:val="24"/>
                <w:highlight w:val="none"/>
                <w:lang w:eastAsia="zh-CN"/>
                <w14:textFill>
                  <w14:solidFill>
                    <w14:schemeClr w14:val="tx1"/>
                  </w14:solidFill>
                </w14:textFill>
              </w:rPr>
              <w:t>备份投标文件</w:t>
            </w:r>
            <w:r>
              <w:rPr>
                <w:rFonts w:hint="eastAsia" w:ascii="宋体" w:hAnsi="宋体" w:cs="宋体"/>
                <w:snapToGrid w:val="0"/>
                <w:color w:val="000000" w:themeColor="text1"/>
                <w:kern w:val="28"/>
                <w:sz w:val="24"/>
                <w:highlight w:val="none"/>
                <w14:textFill>
                  <w14:solidFill>
                    <w14:schemeClr w14:val="tx1"/>
                  </w14:solidFill>
                </w14:textFill>
              </w:rPr>
              <w:t>递交时间以采购代理实际收到</w:t>
            </w:r>
            <w:r>
              <w:rPr>
                <w:rFonts w:hint="eastAsia" w:ascii="宋体" w:hAnsi="宋体" w:cs="宋体"/>
                <w:snapToGrid w:val="0"/>
                <w:color w:val="000000" w:themeColor="text1"/>
                <w:kern w:val="28"/>
                <w:sz w:val="24"/>
                <w:highlight w:val="none"/>
                <w:lang w:eastAsia="zh-CN"/>
                <w14:textFill>
                  <w14:solidFill>
                    <w14:schemeClr w14:val="tx1"/>
                  </w14:solidFill>
                </w14:textFill>
              </w:rPr>
              <w:t>备份投标</w:t>
            </w:r>
            <w:r>
              <w:rPr>
                <w:rFonts w:hint="eastAsia" w:ascii="宋体" w:hAnsi="宋体" w:cs="宋体"/>
                <w:snapToGrid w:val="0"/>
                <w:color w:val="000000" w:themeColor="text1"/>
                <w:kern w:val="28"/>
                <w:sz w:val="24"/>
                <w:highlight w:val="none"/>
                <w:lang w:val="en-US" w:eastAsia="zh-CN"/>
                <w14:textFill>
                  <w14:solidFill>
                    <w14:schemeClr w14:val="tx1"/>
                  </w14:solidFill>
                </w14:textFill>
              </w:rPr>
              <w:t>文件</w:t>
            </w:r>
            <w:r>
              <w:rPr>
                <w:rFonts w:hint="eastAsia" w:ascii="宋体" w:hAnsi="宋体" w:cs="宋体"/>
                <w:snapToGrid w:val="0"/>
                <w:color w:val="000000" w:themeColor="text1"/>
                <w:kern w:val="28"/>
                <w:sz w:val="24"/>
                <w:highlight w:val="none"/>
                <w14:textFill>
                  <w14:solidFill>
                    <w14:schemeClr w14:val="tx1"/>
                  </w14:solidFill>
                </w14:textFill>
              </w:rPr>
              <w:t>的时间为准。</w:t>
            </w:r>
          </w:p>
          <w:p w14:paraId="019A98BC">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（3）采用直接提交方式递交</w:t>
            </w:r>
            <w:r>
              <w:rPr>
                <w:rFonts w:hint="eastAsia" w:ascii="宋体" w:hAnsi="宋体" w:cs="宋体"/>
                <w:snapToGrid w:val="0"/>
                <w:color w:val="000000" w:themeColor="text1"/>
                <w:kern w:val="28"/>
                <w:sz w:val="24"/>
                <w:highlight w:val="none"/>
                <w:lang w:eastAsia="zh-CN"/>
                <w14:textFill>
                  <w14:solidFill>
                    <w14:schemeClr w14:val="tx1"/>
                  </w14:solidFill>
                </w14:textFill>
              </w:rPr>
              <w:t>备份投标文件</w:t>
            </w:r>
            <w:r>
              <w:rPr>
                <w:rFonts w:hint="eastAsia" w:ascii="宋体" w:hAnsi="宋体" w:cs="宋体"/>
                <w:snapToGrid w:val="0"/>
                <w:color w:val="000000" w:themeColor="text1"/>
                <w:kern w:val="28"/>
                <w:sz w:val="24"/>
                <w:highlight w:val="none"/>
                <w14:textFill>
                  <w14:solidFill>
                    <w14:schemeClr w14:val="tx1"/>
                  </w14:solidFill>
                </w14:textFill>
              </w:rPr>
              <w:t>，需按以下要求递交：在开标日当天投标截止时间前将备份投标文件送至</w:t>
            </w:r>
            <w:r>
              <w:rPr>
                <w:rFonts w:hint="eastAsia" w:ascii="宋体" w:hAnsi="宋体" w:cs="宋体"/>
                <w:snapToGrid w:val="0"/>
                <w:color w:val="000000" w:themeColor="text1"/>
                <w:kern w:val="28"/>
                <w:sz w:val="24"/>
                <w:highlight w:val="none"/>
                <w:u w:val="single"/>
                <w14:textFill>
                  <w14:solidFill>
                    <w14:schemeClr w14:val="tx1"/>
                  </w14:solidFill>
                </w14:textFill>
              </w:rPr>
              <w:t xml:space="preserve"> 北仑区（开发区）公共资源交易中心评标室（宁波市北仑区长江路1166号行政服务中心三楼）  </w:t>
            </w:r>
            <w:r>
              <w:rPr>
                <w:rFonts w:hint="eastAsia" w:ascii="宋体" w:hAnsi="宋体" w:cs="宋体"/>
                <w:snapToGrid w:val="0"/>
                <w:color w:val="000000" w:themeColor="text1"/>
                <w:kern w:val="28"/>
                <w:sz w:val="24"/>
                <w:highlight w:val="none"/>
                <w14:textFill>
                  <w14:solidFill>
                    <w14:schemeClr w14:val="tx1"/>
                  </w14:solidFill>
                </w14:textFill>
              </w:rPr>
              <w:t xml:space="preserve">。       </w:t>
            </w:r>
          </w:p>
          <w:p w14:paraId="3C395975">
            <w:pPr>
              <w:spacing w:line="360" w:lineRule="auto"/>
              <w:rPr>
                <w:color w:val="000000" w:themeColor="text1"/>
                <w:highlight w:val="none"/>
                <w14:textFill>
                  <w14:solidFill>
                    <w14:schemeClr w14:val="tx1"/>
                  </w14:solidFill>
                </w14:textFill>
              </w:rPr>
            </w:pPr>
            <w:r>
              <w:rPr>
                <w:rFonts w:hint="eastAsia" w:ascii="宋体" w:hAnsi="宋体" w:cs="宋体"/>
                <w:b/>
                <w:bCs/>
                <w:snapToGrid w:val="0"/>
                <w:color w:val="000000" w:themeColor="text1"/>
                <w:kern w:val="28"/>
                <w:sz w:val="24"/>
                <w:highlight w:val="none"/>
                <w14:textFill>
                  <w14:solidFill>
                    <w14:schemeClr w14:val="tx1"/>
                  </w14:solidFill>
                </w14:textFill>
              </w:rPr>
              <w:t>采购人、采购代理机构不强制投标人提交备份投标文件。</w:t>
            </w:r>
          </w:p>
        </w:tc>
      </w:tr>
      <w:tr w14:paraId="73DAA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09" w:hRule="atLeast"/>
          <w:tblHeader/>
          <w:jc w:val="center"/>
        </w:trPr>
        <w:tc>
          <w:tcPr>
            <w:tcW w:w="839" w:type="dxa"/>
            <w:vMerge w:val="restart"/>
            <w:tcBorders>
              <w:top w:val="single" w:color="auto" w:sz="4" w:space="0"/>
              <w:left w:val="single" w:color="000000" w:sz="8" w:space="0"/>
              <w:right w:val="single" w:color="000000" w:sz="2" w:space="0"/>
            </w:tcBorders>
            <w:vAlign w:val="center"/>
          </w:tcPr>
          <w:p w14:paraId="09373A9A">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13</w:t>
            </w:r>
          </w:p>
        </w:tc>
        <w:tc>
          <w:tcPr>
            <w:tcW w:w="2325" w:type="dxa"/>
            <w:vMerge w:val="restart"/>
            <w:tcBorders>
              <w:top w:val="single" w:color="000000" w:sz="8" w:space="0"/>
              <w:left w:val="single" w:color="000000" w:sz="2" w:space="0"/>
              <w:right w:val="single" w:color="000000" w:sz="8" w:space="0"/>
            </w:tcBorders>
            <w:vAlign w:val="center"/>
          </w:tcPr>
          <w:p w14:paraId="1830A295">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特别说明</w:t>
            </w:r>
          </w:p>
        </w:tc>
        <w:tc>
          <w:tcPr>
            <w:tcW w:w="7018" w:type="dxa"/>
            <w:tcBorders>
              <w:top w:val="single" w:color="000000" w:sz="8" w:space="0"/>
              <w:left w:val="single" w:color="000000" w:sz="2" w:space="0"/>
              <w:bottom w:val="single" w:color="000000" w:sz="8" w:space="0"/>
              <w:right w:val="single" w:color="000000" w:sz="8" w:space="0"/>
            </w:tcBorders>
            <w:vAlign w:val="center"/>
          </w:tcPr>
          <w:p w14:paraId="0D223D56">
            <w:pPr>
              <w:spacing w:line="360" w:lineRule="auto"/>
              <w:rPr>
                <w:rFonts w:ascii="宋体" w:hAnsi="宋体" w:cs="宋体"/>
                <w:snapToGrid w:val="0"/>
                <w:color w:val="000000" w:themeColor="text1"/>
                <w:kern w:val="28"/>
                <w:sz w:val="24"/>
                <w:highlight w:val="none"/>
                <w14:textFill>
                  <w14:solidFill>
                    <w14:schemeClr w14:val="tx1"/>
                  </w14:solidFill>
                </w14:textFill>
              </w:rPr>
            </w:pPr>
            <w:sdt>
              <w:sdtPr>
                <w:rPr>
                  <w:rFonts w:hint="eastAsia" w:cs="Arial" w:asciiTheme="minorEastAsia" w:hAnsiTheme="minorEastAsia" w:eastAsiaTheme="minorEastAsia"/>
                  <w:color w:val="000000" w:themeColor="text1"/>
                  <w:kern w:val="0"/>
                  <w:sz w:val="24"/>
                  <w:highlight w:val="none"/>
                  <w14:textFill>
                    <w14:solidFill>
                      <w14:schemeClr w14:val="tx1"/>
                    </w14:solidFill>
                  </w14:textFill>
                </w:rPr>
                <w:id w:val="147458204"/>
                <w14:checkbox>
                  <w14:checked w14:val="0"/>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Gothic" w:hAnsi="MS Gothic" w:eastAsia="MS Mincho" w:cs="MS Mincho"/>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snapToGrid w:val="0"/>
                <w:color w:val="000000" w:themeColor="text1"/>
                <w:kern w:val="28"/>
                <w:sz w:val="24"/>
                <w:highlight w:val="none"/>
                <w14:textFill>
                  <w14:solidFill>
                    <w14:schemeClr w14:val="tx1"/>
                  </w14:solidFill>
                </w14:textFill>
              </w:rPr>
              <w:t>联合体投标的，联合体各方分别提供与联合体协议中规定的分工内容相应的业绩证明材料，业绩数量以提供材料较少的一方为准。</w:t>
            </w:r>
          </w:p>
        </w:tc>
      </w:tr>
      <w:tr w14:paraId="4A3D4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jc w:val="center"/>
        </w:trPr>
        <w:tc>
          <w:tcPr>
            <w:tcW w:w="839" w:type="dxa"/>
            <w:vMerge w:val="continue"/>
            <w:tcBorders>
              <w:left w:val="single" w:color="000000" w:sz="8" w:space="0"/>
              <w:bottom w:val="single" w:color="auto" w:sz="4" w:space="0"/>
              <w:right w:val="single" w:color="000000" w:sz="2" w:space="0"/>
            </w:tcBorders>
          </w:tcPr>
          <w:p w14:paraId="266E7926">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325" w:type="dxa"/>
            <w:vMerge w:val="continue"/>
            <w:tcBorders>
              <w:left w:val="single" w:color="000000" w:sz="2" w:space="0"/>
              <w:bottom w:val="single" w:color="000000" w:sz="8" w:space="0"/>
              <w:right w:val="single" w:color="000000" w:sz="8" w:space="0"/>
            </w:tcBorders>
            <w:vAlign w:val="center"/>
          </w:tcPr>
          <w:p w14:paraId="48F48FA9">
            <w:pPr>
              <w:snapToGrid w:val="0"/>
              <w:spacing w:line="360" w:lineRule="auto"/>
              <w:jc w:val="center"/>
              <w:rPr>
                <w:rFonts w:ascii="宋体" w:hAnsi="宋体" w:cs="宋体"/>
                <w:b/>
                <w:color w:val="000000" w:themeColor="text1"/>
                <w:sz w:val="24"/>
                <w:highlight w:val="none"/>
                <w14:textFill>
                  <w14:solidFill>
                    <w14:schemeClr w14:val="tx1"/>
                  </w14:solidFill>
                </w14:textFill>
              </w:rPr>
            </w:pPr>
          </w:p>
        </w:tc>
        <w:tc>
          <w:tcPr>
            <w:tcW w:w="7018" w:type="dxa"/>
            <w:tcBorders>
              <w:top w:val="single" w:color="000000" w:sz="8" w:space="0"/>
              <w:left w:val="single" w:color="000000" w:sz="2" w:space="0"/>
              <w:bottom w:val="single" w:color="000000" w:sz="8" w:space="0"/>
              <w:right w:val="single" w:color="000000" w:sz="8" w:space="0"/>
            </w:tcBorders>
            <w:vAlign w:val="center"/>
          </w:tcPr>
          <w:p w14:paraId="1B591627">
            <w:pPr>
              <w:snapToGrid w:val="0"/>
              <w:spacing w:line="360" w:lineRule="auto"/>
              <w:rPr>
                <w:rFonts w:ascii="宋体" w:hAnsi="宋体" w:cs="宋体"/>
                <w:snapToGrid w:val="0"/>
                <w:color w:val="000000" w:themeColor="text1"/>
                <w:kern w:val="28"/>
                <w:sz w:val="24"/>
                <w:highlight w:val="none"/>
                <w14:textFill>
                  <w14:solidFill>
                    <w14:schemeClr w14:val="tx1"/>
                  </w14:solidFill>
                </w14:textFill>
              </w:rPr>
            </w:pPr>
            <w:sdt>
              <w:sdtPr>
                <w:rPr>
                  <w:rFonts w:hint="eastAsia" w:cs="Arial" w:asciiTheme="minorEastAsia" w:hAnsiTheme="minorEastAsia" w:eastAsiaTheme="minorEastAsia"/>
                  <w:color w:val="000000" w:themeColor="text1"/>
                  <w:kern w:val="0"/>
                  <w:sz w:val="24"/>
                  <w:highlight w:val="none"/>
                  <w14:textFill>
                    <w14:solidFill>
                      <w14:schemeClr w14:val="tx1"/>
                    </w14:solidFill>
                  </w14:textFill>
                </w:rPr>
                <w:id w:val="-369766551"/>
                <w14:checkbox>
                  <w14:checked w14:val="0"/>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Gothic" w:hAnsi="MS Gothic" w:eastAsia="MS Mincho" w:cs="MS Mincho"/>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snapToGrid w:val="0"/>
                <w:color w:val="000000" w:themeColor="text1"/>
                <w:kern w:val="28"/>
                <w:sz w:val="24"/>
                <w:highlight w:val="none"/>
                <w14:textFill>
                  <w14:solidFill>
                    <w14:schemeClr w14:val="tx1"/>
                  </w14:solidFill>
                </w14:textFill>
              </w:rPr>
              <w:t>联合体投标的，联合体各方均需按招标文件第四部分评标标准要求提供资信证明文件，否则视为不符合相关要求。</w:t>
            </w:r>
          </w:p>
          <w:p w14:paraId="78E2772A">
            <w:pPr>
              <w:snapToGrid w:val="0"/>
              <w:spacing w:line="360" w:lineRule="auto"/>
              <w:rPr>
                <w:rFonts w:ascii="宋体" w:hAnsi="宋体" w:cs="宋体"/>
                <w:snapToGrid w:val="0"/>
                <w:color w:val="000000" w:themeColor="text1"/>
                <w:kern w:val="28"/>
                <w:sz w:val="24"/>
                <w:highlight w:val="none"/>
                <w14:textFill>
                  <w14:solidFill>
                    <w14:schemeClr w14:val="tx1"/>
                  </w14:solidFill>
                </w14:textFill>
              </w:rPr>
            </w:pPr>
            <w:sdt>
              <w:sdtPr>
                <w:rPr>
                  <w:rFonts w:hint="eastAsia" w:cs="Arial" w:asciiTheme="minorEastAsia" w:hAnsiTheme="minorEastAsia" w:eastAsiaTheme="minorEastAsia"/>
                  <w:color w:val="000000" w:themeColor="text1"/>
                  <w:kern w:val="0"/>
                  <w:sz w:val="24"/>
                  <w:highlight w:val="none"/>
                  <w14:textFill>
                    <w14:solidFill>
                      <w14:schemeClr w14:val="tx1"/>
                    </w14:solidFill>
                  </w14:textFill>
                </w:rPr>
                <w:id w:val="1052570136"/>
                <w14:checkbox>
                  <w14:checked w14:val="1"/>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highlight w:val="none"/>
                  <w14:textFill>
                    <w14:solidFill>
                      <w14:schemeClr w14:val="tx1"/>
                    </w14:solidFill>
                  </w14:textFill>
                </w:rPr>
              </w:sdtEndPr>
              <w:sdtContent>
                <w:r>
                  <w:rPr>
                    <w:rFonts w:ascii="Wingdings" w:hAnsi="Wingdings" w:cs="Arial" w:eastAsiaTheme="minorEastAsia"/>
                    <w:color w:val="000000" w:themeColor="text1"/>
                    <w:kern w:val="0"/>
                    <w:sz w:val="24"/>
                    <w:highlight w:val="none"/>
                    <w14:textFill>
                      <w14:solidFill>
                        <w14:schemeClr w14:val="tx1"/>
                      </w14:solidFill>
                    </w14:textFill>
                  </w:rPr>
                  <w:t></w:t>
                </w:r>
              </w:sdtContent>
            </w:sdt>
            <w:r>
              <w:rPr>
                <w:rFonts w:hint="eastAsia" w:ascii="宋体" w:hAnsi="宋体" w:cs="宋体"/>
                <w:snapToGrid w:val="0"/>
                <w:color w:val="000000" w:themeColor="text1"/>
                <w:kern w:val="28"/>
                <w:sz w:val="24"/>
                <w:highlight w:val="none"/>
                <w14:textFill>
                  <w14:solidFill>
                    <w14:schemeClr w14:val="tx1"/>
                  </w14:solidFill>
                </w14:textFill>
              </w:rPr>
              <w:t>联合体投标的，联合体中有一方或者联合体成员根据分工按招标文件第四部分评标标准要求提供资信证明文件的，视为符合了相关要求。</w:t>
            </w:r>
          </w:p>
        </w:tc>
      </w:tr>
      <w:tr w14:paraId="4DF56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jc w:val="center"/>
        </w:trPr>
        <w:tc>
          <w:tcPr>
            <w:tcW w:w="839" w:type="dxa"/>
            <w:tcBorders>
              <w:top w:val="single" w:color="auto" w:sz="4" w:space="0"/>
              <w:left w:val="single" w:color="000000" w:sz="8" w:space="0"/>
              <w:bottom w:val="single" w:color="auto" w:sz="4" w:space="0"/>
              <w:right w:val="single" w:color="000000" w:sz="2" w:space="0"/>
            </w:tcBorders>
            <w:vAlign w:val="center"/>
          </w:tcPr>
          <w:p w14:paraId="3DFD0AF6">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w:t>
            </w:r>
          </w:p>
        </w:tc>
        <w:tc>
          <w:tcPr>
            <w:tcW w:w="2325" w:type="dxa"/>
            <w:tcBorders>
              <w:top w:val="single" w:color="000000" w:sz="8" w:space="0"/>
              <w:left w:val="single" w:color="000000" w:sz="2" w:space="0"/>
              <w:bottom w:val="single" w:color="000000" w:sz="8" w:space="0"/>
              <w:right w:val="single" w:color="000000" w:sz="8" w:space="0"/>
            </w:tcBorders>
            <w:vAlign w:val="center"/>
          </w:tcPr>
          <w:p w14:paraId="7D8172A2">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采购代理服务费</w:t>
            </w:r>
          </w:p>
        </w:tc>
        <w:tc>
          <w:tcPr>
            <w:tcW w:w="7018" w:type="dxa"/>
            <w:tcBorders>
              <w:top w:val="single" w:color="000000" w:sz="8" w:space="0"/>
              <w:left w:val="single" w:color="000000" w:sz="2" w:space="0"/>
              <w:bottom w:val="single" w:color="000000" w:sz="8" w:space="0"/>
              <w:right w:val="single" w:color="000000" w:sz="8" w:space="0"/>
            </w:tcBorders>
            <w:vAlign w:val="center"/>
          </w:tcPr>
          <w:p w14:paraId="4CFF7FA6">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（1）收取方式：</w:t>
            </w:r>
            <w:r>
              <w:rPr>
                <w:rFonts w:hint="eastAsia" w:ascii="宋体" w:hAnsi="宋体" w:cs="宋体"/>
                <w:snapToGrid w:val="0"/>
                <w:color w:val="000000" w:themeColor="text1"/>
                <w:kern w:val="28"/>
                <w:sz w:val="24"/>
                <w:highlight w:val="none"/>
                <w:lang w:val="en-US" w:eastAsia="zh-CN"/>
                <w14:textFill>
                  <w14:solidFill>
                    <w14:schemeClr w14:val="tx1"/>
                  </w14:solidFill>
                </w14:textFill>
              </w:rPr>
              <w:t>中标</w:t>
            </w:r>
            <w:r>
              <w:rPr>
                <w:rFonts w:hint="eastAsia" w:ascii="宋体" w:hAnsi="宋体" w:cs="宋体"/>
                <w:snapToGrid w:val="0"/>
                <w:color w:val="000000" w:themeColor="text1"/>
                <w:kern w:val="28"/>
                <w:sz w:val="24"/>
                <w:highlight w:val="none"/>
                <w14:textFill>
                  <w14:solidFill>
                    <w14:schemeClr w14:val="tx1"/>
                  </w14:solidFill>
                </w14:textFill>
              </w:rPr>
              <w:t>供应商应当自中标结果公告发布之日起5个工作日内一次性向采购代理机构支付代理服务费。</w:t>
            </w:r>
          </w:p>
          <w:p w14:paraId="7D2531E6">
            <w:pPr>
              <w:spacing w:line="360" w:lineRule="auto"/>
              <w:rPr>
                <w:rFonts w:hint="default" w:ascii="宋体" w:hAnsi="宋体" w:eastAsia="宋体" w:cs="宋体"/>
                <w:snapToGrid w:val="0"/>
                <w:color w:val="000000" w:themeColor="text1"/>
                <w:kern w:val="28"/>
                <w:sz w:val="24"/>
                <w:highlight w:val="none"/>
                <w:lang w:val="en-US" w:eastAsia="zh-CN"/>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（2）采购代理服务费用收取标准：本项目代理公司参照宁波市招标（采购）代理服务收费标准中</w:t>
            </w:r>
            <w:r>
              <w:rPr>
                <w:rFonts w:hint="eastAsia" w:ascii="宋体" w:hAnsi="宋体" w:cs="宋体"/>
                <w:snapToGrid w:val="0"/>
                <w:color w:val="000000" w:themeColor="text1"/>
                <w:kern w:val="28"/>
                <w:sz w:val="24"/>
                <w:highlight w:val="none"/>
                <w:lang w:val="en-US" w:eastAsia="zh-CN"/>
                <w14:textFill>
                  <w14:solidFill>
                    <w14:schemeClr w14:val="tx1"/>
                  </w14:solidFill>
                </w14:textFill>
              </w:rPr>
              <w:t>服务</w:t>
            </w:r>
            <w:r>
              <w:rPr>
                <w:rFonts w:hint="eastAsia" w:ascii="宋体" w:hAnsi="宋体" w:cs="宋体"/>
                <w:snapToGrid w:val="0"/>
                <w:color w:val="000000" w:themeColor="text1"/>
                <w:kern w:val="28"/>
                <w:sz w:val="24"/>
                <w:highlight w:val="none"/>
                <w14:textFill>
                  <w14:solidFill>
                    <w14:schemeClr w14:val="tx1"/>
                  </w14:solidFill>
                </w14:textFill>
              </w:rPr>
              <w:t>招标费率下浮20%</w:t>
            </w:r>
            <w:r>
              <w:rPr>
                <w:rFonts w:hint="eastAsia" w:ascii="宋体" w:hAnsi="宋体" w:cs="宋体"/>
                <w:snapToGrid w:val="0"/>
                <w:color w:val="000000" w:themeColor="text1"/>
                <w:kern w:val="28"/>
                <w:sz w:val="24"/>
                <w:highlight w:val="none"/>
                <w:lang w:eastAsia="zh-CN"/>
                <w14:textFill>
                  <w14:solidFill>
                    <w14:schemeClr w14:val="tx1"/>
                  </w14:solidFill>
                </w14:textFill>
              </w:rPr>
              <w:t>，</w:t>
            </w:r>
            <w:r>
              <w:rPr>
                <w:rFonts w:hint="eastAsia" w:ascii="宋体" w:hAnsi="宋体" w:cs="宋体"/>
                <w:snapToGrid w:val="0"/>
                <w:color w:val="000000" w:themeColor="text1"/>
                <w:kern w:val="28"/>
                <w:sz w:val="24"/>
                <w:highlight w:val="none"/>
                <w14:textFill>
                  <w14:solidFill>
                    <w14:schemeClr w14:val="tx1"/>
                  </w14:solidFill>
                </w14:textFill>
              </w:rPr>
              <w:t>以中标通知书确定的中标</w:t>
            </w:r>
            <w:r>
              <w:rPr>
                <w:rFonts w:hint="eastAsia" w:ascii="宋体" w:hAnsi="宋体" w:cs="宋体"/>
                <w:snapToGrid w:val="0"/>
                <w:color w:val="000000" w:themeColor="text1"/>
                <w:kern w:val="28"/>
                <w:sz w:val="24"/>
                <w:highlight w:val="none"/>
                <w:lang w:val="en-US" w:eastAsia="zh-CN"/>
                <w14:textFill>
                  <w14:solidFill>
                    <w14:schemeClr w14:val="tx1"/>
                  </w14:solidFill>
                </w14:textFill>
              </w:rPr>
              <w:t>金额</w:t>
            </w:r>
            <w:r>
              <w:rPr>
                <w:rFonts w:hint="eastAsia" w:ascii="宋体" w:hAnsi="宋体" w:cs="宋体"/>
                <w:snapToGrid w:val="0"/>
                <w:color w:val="000000" w:themeColor="text1"/>
                <w:kern w:val="28"/>
                <w:sz w:val="24"/>
                <w:highlight w:val="none"/>
                <w14:textFill>
                  <w14:solidFill>
                    <w14:schemeClr w14:val="tx1"/>
                  </w14:solidFill>
                </w14:textFill>
              </w:rPr>
              <w:t>为基准，按差额定率累进法计算后向中标人收取采购代理服务费</w:t>
            </w:r>
            <w:r>
              <w:rPr>
                <w:rFonts w:hint="eastAsia" w:ascii="宋体" w:hAnsi="宋体" w:cs="宋体"/>
                <w:snapToGrid w:val="0"/>
                <w:color w:val="000000" w:themeColor="text1"/>
                <w:kern w:val="28"/>
                <w:sz w:val="24"/>
                <w:highlight w:val="none"/>
                <w:lang w:eastAsia="zh-CN"/>
                <w14:textFill>
                  <w14:solidFill>
                    <w14:schemeClr w14:val="tx1"/>
                  </w14:solidFill>
                </w14:textFill>
              </w:rPr>
              <w:t>；</w:t>
            </w:r>
            <w:r>
              <w:rPr>
                <w:rFonts w:hint="eastAsia" w:ascii="宋体" w:hAnsi="宋体" w:cs="宋体"/>
                <w:snapToGrid w:val="0"/>
                <w:color w:val="000000" w:themeColor="text1"/>
                <w:kern w:val="28"/>
                <w:sz w:val="24"/>
                <w:highlight w:val="none"/>
                <w:lang w:val="en-US" w:eastAsia="zh-CN"/>
                <w14:textFill>
                  <w14:solidFill>
                    <w14:schemeClr w14:val="tx1"/>
                  </w14:solidFill>
                </w14:textFill>
              </w:rPr>
              <w:t>不足4000元的按4000元计取。</w:t>
            </w:r>
          </w:p>
          <w:p w14:paraId="1E92134C">
            <w:pPr>
              <w:spacing w:line="360" w:lineRule="auto"/>
              <w:rPr>
                <w:rFonts w:hint="eastAsia" w:ascii="宋体" w:hAnsi="宋体" w:cs="宋体"/>
                <w:snapToGrid w:val="0"/>
                <w:color w:val="000000" w:themeColor="text1"/>
                <w:kern w:val="28"/>
                <w:sz w:val="2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3360" behindDoc="0" locked="0" layoutInCell="1" allowOverlap="1">
                  <wp:simplePos x="0" y="0"/>
                  <wp:positionH relativeFrom="column">
                    <wp:posOffset>66675</wp:posOffset>
                  </wp:positionH>
                  <wp:positionV relativeFrom="paragraph">
                    <wp:posOffset>4445</wp:posOffset>
                  </wp:positionV>
                  <wp:extent cx="4122420" cy="2228850"/>
                  <wp:effectExtent l="0" t="0" r="11430" b="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9"/>
                          <a:stretch>
                            <a:fillRect/>
                          </a:stretch>
                        </pic:blipFill>
                        <pic:spPr>
                          <a:xfrm>
                            <a:off x="0" y="0"/>
                            <a:ext cx="4122420" cy="2228850"/>
                          </a:xfrm>
                          <a:prstGeom prst="rect">
                            <a:avLst/>
                          </a:prstGeom>
                          <a:noFill/>
                          <a:ln>
                            <a:noFill/>
                          </a:ln>
                        </pic:spPr>
                      </pic:pic>
                    </a:graphicData>
                  </a:graphic>
                </wp:anchor>
              </w:drawing>
            </w:r>
          </w:p>
          <w:p w14:paraId="6196CD65">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（3）支付形式及账号：</w:t>
            </w:r>
          </w:p>
          <w:p w14:paraId="3DD954A7">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①代理服务费缴纳形式：汇票/电汇/现金</w:t>
            </w:r>
          </w:p>
          <w:p w14:paraId="1EDA2CD9">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②代理服务费汇入以下账户 ：</w:t>
            </w:r>
          </w:p>
          <w:p w14:paraId="2D006325">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收款单位（户名）：宁波中基国际招标有限公司</w:t>
            </w:r>
          </w:p>
          <w:p w14:paraId="20BFA403">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开户：宁波银行科技支行</w:t>
            </w:r>
          </w:p>
          <w:p w14:paraId="7FE4F9E1">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账号：31010122000005488</w:t>
            </w:r>
          </w:p>
          <w:p w14:paraId="6D9F7F8B">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（4）支付流程：中标供应商按照中标结果公告确定金额支付至采购代理机构账户后将汇款底单、开票信息和发票邮寄地址发送至</w:t>
            </w:r>
            <w:r>
              <w:rPr>
                <w:rFonts w:hint="eastAsia" w:ascii="宋体" w:hAnsi="宋体" w:cs="宋体"/>
                <w:snapToGrid w:val="0"/>
                <w:color w:val="000000" w:themeColor="text1"/>
                <w:kern w:val="28"/>
                <w:sz w:val="24"/>
                <w:highlight w:val="none"/>
                <w:u w:val="single"/>
                <w14:textFill>
                  <w14:solidFill>
                    <w14:schemeClr w14:val="tx1"/>
                  </w14:solidFill>
                </w14:textFill>
              </w:rPr>
              <w:t xml:space="preserve"> </w:t>
            </w:r>
            <w:r>
              <w:rPr>
                <w:rFonts w:hint="eastAsia" w:ascii="宋体" w:hAnsi="宋体" w:cs="宋体"/>
                <w:snapToGrid w:val="0"/>
                <w:color w:val="000000" w:themeColor="text1"/>
                <w:kern w:val="28"/>
                <w:sz w:val="24"/>
                <w:highlight w:val="none"/>
                <w:u w:val="single"/>
                <w:lang w:val="en-US" w:eastAsia="zh-CN"/>
                <w14:textFill>
                  <w14:solidFill>
                    <w14:schemeClr w14:val="tx1"/>
                  </w14:solidFill>
                </w14:textFill>
              </w:rPr>
              <w:t>719126619</w:t>
            </w:r>
            <w:r>
              <w:rPr>
                <w:rFonts w:hint="eastAsia" w:ascii="宋体" w:hAnsi="宋体" w:cs="宋体"/>
                <w:snapToGrid w:val="0"/>
                <w:color w:val="000000" w:themeColor="text1"/>
                <w:kern w:val="28"/>
                <w:sz w:val="24"/>
                <w:highlight w:val="none"/>
                <w:u w:val="single"/>
                <w14:textFill>
                  <w14:solidFill>
                    <w14:schemeClr w14:val="tx1"/>
                  </w14:solidFill>
                </w14:textFill>
              </w:rPr>
              <w:t>@qq.com</w:t>
            </w:r>
            <w:r>
              <w:rPr>
                <w:rFonts w:hint="eastAsia" w:ascii="宋体" w:hAnsi="宋体" w:cs="宋体"/>
                <w:snapToGrid w:val="0"/>
                <w:color w:val="000000" w:themeColor="text1"/>
                <w:kern w:val="28"/>
                <w:sz w:val="24"/>
                <w:highlight w:val="none"/>
                <w14:textFill>
                  <w14:solidFill>
                    <w14:schemeClr w14:val="tx1"/>
                  </w14:solidFill>
                </w14:textFill>
              </w:rPr>
              <w:t>，采购代理机构在收到邮件后开具发票。</w:t>
            </w:r>
          </w:p>
        </w:tc>
      </w:tr>
      <w:tr w14:paraId="2760B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jc w:val="center"/>
        </w:trPr>
        <w:tc>
          <w:tcPr>
            <w:tcW w:w="839" w:type="dxa"/>
            <w:tcBorders>
              <w:top w:val="single" w:color="auto" w:sz="4" w:space="0"/>
              <w:left w:val="single" w:color="000000" w:sz="8" w:space="0"/>
              <w:right w:val="single" w:color="000000" w:sz="2" w:space="0"/>
            </w:tcBorders>
            <w:vAlign w:val="center"/>
          </w:tcPr>
          <w:p w14:paraId="240691FB">
            <w:pPr>
              <w:snapToGrid w:val="0"/>
              <w:spacing w:line="360" w:lineRule="auto"/>
              <w:jc w:val="center"/>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15</w:t>
            </w:r>
          </w:p>
        </w:tc>
        <w:tc>
          <w:tcPr>
            <w:tcW w:w="2325" w:type="dxa"/>
            <w:tcBorders>
              <w:top w:val="single" w:color="000000" w:sz="8" w:space="0"/>
              <w:left w:val="single" w:color="000000" w:sz="2" w:space="0"/>
              <w:right w:val="single" w:color="000000" w:sz="8" w:space="0"/>
            </w:tcBorders>
            <w:vAlign w:val="center"/>
          </w:tcPr>
          <w:p w14:paraId="778E65AD">
            <w:pPr>
              <w:snapToGrid w:val="0"/>
              <w:spacing w:line="360" w:lineRule="auto"/>
              <w:jc w:val="cente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其他</w:t>
            </w:r>
          </w:p>
        </w:tc>
        <w:tc>
          <w:tcPr>
            <w:tcW w:w="7018" w:type="dxa"/>
            <w:tcBorders>
              <w:top w:val="single" w:color="000000" w:sz="8" w:space="0"/>
              <w:left w:val="single" w:color="000000" w:sz="2" w:space="0"/>
              <w:bottom w:val="single" w:color="000000" w:sz="8" w:space="0"/>
              <w:right w:val="single" w:color="000000" w:sz="8" w:space="0"/>
            </w:tcBorders>
            <w:vAlign w:val="center"/>
          </w:tcPr>
          <w:p w14:paraId="43AC0E90">
            <w:pPr>
              <w:spacing w:line="360" w:lineRule="auto"/>
              <w:rPr>
                <w:rFonts w:hint="eastAsia"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关于分公司投标：除银行、保险、石油石化、电力、电信、移动、联通等行业外不允许分公司参与本项目投标。银行、保险、石油石化、电力、电信、移动、联通等行业分公司投标的：</w:t>
            </w:r>
          </w:p>
          <w:p w14:paraId="788C463F">
            <w:pPr>
              <w:spacing w:line="360" w:lineRule="auto"/>
              <w:rPr>
                <w:rFonts w:hint="eastAsia"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（1）需提供具有法人资格的总公司的营业执照及授权书，授权书须加盖总公司公章。</w:t>
            </w:r>
          </w:p>
          <w:p w14:paraId="07037165">
            <w:pPr>
              <w:spacing w:line="360" w:lineRule="auto"/>
              <w:rPr>
                <w:rFonts w:hint="eastAsia" w:ascii="宋体" w:hAnsi="宋体" w:eastAsia="宋体" w:cs="宋体"/>
                <w:snapToGrid w:val="0"/>
                <w:color w:val="000000" w:themeColor="text1"/>
                <w:kern w:val="28"/>
                <w:sz w:val="24"/>
                <w:highlight w:val="none"/>
                <w:lang w:eastAsia="zh-CN"/>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（2）已由总公司授权的，总公司取得的相关资质证书对分公司有效</w:t>
            </w:r>
            <w:r>
              <w:rPr>
                <w:rFonts w:hint="eastAsia" w:ascii="宋体" w:hAnsi="宋体" w:cs="宋体"/>
                <w:snapToGrid w:val="0"/>
                <w:color w:val="000000" w:themeColor="text1"/>
                <w:kern w:val="28"/>
                <w:sz w:val="24"/>
                <w:highlight w:val="none"/>
                <w:lang w:eastAsia="zh-CN"/>
                <w14:textFill>
                  <w14:solidFill>
                    <w14:schemeClr w14:val="tx1"/>
                  </w14:solidFill>
                </w14:textFill>
              </w:rPr>
              <w:t>。</w:t>
            </w:r>
          </w:p>
        </w:tc>
      </w:tr>
    </w:tbl>
    <w:p w14:paraId="06DDD352">
      <w:pPr>
        <w:snapToGrid w:val="0"/>
        <w:spacing w:line="360" w:lineRule="auto"/>
        <w:jc w:val="center"/>
        <w:rPr>
          <w:rFonts w:ascii="宋体" w:hAnsi="宋体" w:cs="宋体"/>
          <w:b/>
          <w:color w:val="000000" w:themeColor="text1"/>
          <w:sz w:val="32"/>
          <w:szCs w:val="20"/>
          <w:highlight w:val="none"/>
          <w14:textFill>
            <w14:solidFill>
              <w14:schemeClr w14:val="tx1"/>
            </w14:solidFill>
          </w14:textFill>
        </w:rPr>
      </w:pPr>
    </w:p>
    <w:bookmarkEnd w:id="14"/>
    <w:p w14:paraId="144BF375">
      <w:pPr>
        <w:rPr>
          <w:rFonts w:ascii="宋体" w:hAnsi="宋体" w:cs="宋体"/>
          <w:b/>
          <w:color w:val="000000" w:themeColor="text1"/>
          <w:sz w:val="32"/>
          <w:szCs w:val="20"/>
          <w:highlight w:val="none"/>
          <w14:textFill>
            <w14:solidFill>
              <w14:schemeClr w14:val="tx1"/>
            </w14:solidFill>
          </w14:textFill>
        </w:rPr>
      </w:pPr>
      <w:bookmarkStart w:id="29" w:name="第三部分"/>
      <w:bookmarkStart w:id="30" w:name="_Toc164416483"/>
      <w:r>
        <w:rPr>
          <w:rFonts w:hint="eastAsia" w:ascii="宋体" w:hAnsi="宋体" w:cs="宋体"/>
          <w:b/>
          <w:color w:val="000000" w:themeColor="text1"/>
          <w:sz w:val="32"/>
          <w:szCs w:val="20"/>
          <w:highlight w:val="none"/>
          <w14:textFill>
            <w14:solidFill>
              <w14:schemeClr w14:val="tx1"/>
            </w14:solidFill>
          </w14:textFill>
        </w:rPr>
        <w:br w:type="page"/>
      </w:r>
    </w:p>
    <w:p w14:paraId="4A3A1C66">
      <w:pPr>
        <w:adjustRightInd/>
        <w:spacing w:line="360" w:lineRule="auto"/>
        <w:ind w:firstLine="3845" w:firstLineChars="1197"/>
        <w:outlineLvl w:val="1"/>
        <w:rPr>
          <w:rFonts w:ascii="宋体" w:hAnsi="宋体" w:cs="宋体"/>
          <w:b/>
          <w:color w:val="000000" w:themeColor="text1"/>
          <w:sz w:val="32"/>
          <w:szCs w:val="20"/>
          <w:highlight w:val="none"/>
          <w14:textFill>
            <w14:solidFill>
              <w14:schemeClr w14:val="tx1"/>
            </w14:solidFill>
          </w14:textFill>
        </w:rPr>
      </w:pPr>
      <w:bookmarkStart w:id="31" w:name="_Toc19896"/>
      <w:r>
        <w:rPr>
          <w:rFonts w:hint="eastAsia" w:ascii="宋体" w:hAnsi="宋体" w:cs="宋体"/>
          <w:b/>
          <w:color w:val="000000" w:themeColor="text1"/>
          <w:sz w:val="32"/>
          <w:szCs w:val="20"/>
          <w:highlight w:val="none"/>
          <w14:textFill>
            <w14:solidFill>
              <w14:schemeClr w14:val="tx1"/>
            </w14:solidFill>
          </w14:textFill>
        </w:rPr>
        <w:t>一、总则</w:t>
      </w:r>
      <w:bookmarkEnd w:id="31"/>
    </w:p>
    <w:p w14:paraId="5754BBF4">
      <w:pPr>
        <w:snapToGrid w:val="0"/>
        <w:spacing w:line="360" w:lineRule="auto"/>
        <w:ind w:firstLine="361" w:firstLineChars="150"/>
        <w:jc w:val="left"/>
        <w:outlineLvl w:val="1"/>
        <w:rPr>
          <w:rFonts w:ascii="宋体" w:hAnsi="宋体" w:cs="宋体"/>
          <w:b/>
          <w:color w:val="000000" w:themeColor="text1"/>
          <w:sz w:val="24"/>
          <w:highlight w:val="none"/>
          <w14:textFill>
            <w14:solidFill>
              <w14:schemeClr w14:val="tx1"/>
            </w14:solidFill>
          </w14:textFill>
        </w:rPr>
      </w:pPr>
      <w:bookmarkStart w:id="32" w:name="_Toc4803"/>
      <w:r>
        <w:rPr>
          <w:rFonts w:hint="eastAsia" w:ascii="宋体" w:hAnsi="宋体" w:cs="宋体"/>
          <w:b/>
          <w:color w:val="000000" w:themeColor="text1"/>
          <w:sz w:val="24"/>
          <w:highlight w:val="none"/>
          <w14:textFill>
            <w14:solidFill>
              <w14:schemeClr w14:val="tx1"/>
            </w14:solidFill>
          </w14:textFill>
        </w:rPr>
        <w:t>1. 适用范围</w:t>
      </w:r>
      <w:bookmarkEnd w:id="32"/>
    </w:p>
    <w:p w14:paraId="2EA74A99">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本招标文件适用于该项目的招标、投标、开标、资格审查及信用信息查询、评标、定标、合同、验收等行为（法律、法规另有规定的，从其规定）。</w:t>
      </w:r>
    </w:p>
    <w:p w14:paraId="608C6987">
      <w:pPr>
        <w:snapToGrid w:val="0"/>
        <w:spacing w:line="360" w:lineRule="auto"/>
        <w:ind w:firstLine="361" w:firstLineChars="150"/>
        <w:jc w:val="left"/>
        <w:outlineLvl w:val="1"/>
        <w:rPr>
          <w:rFonts w:ascii="宋体" w:hAnsi="宋体" w:cs="宋体"/>
          <w:b/>
          <w:color w:val="000000" w:themeColor="text1"/>
          <w:sz w:val="24"/>
          <w:highlight w:val="none"/>
          <w14:textFill>
            <w14:solidFill>
              <w14:schemeClr w14:val="tx1"/>
            </w14:solidFill>
          </w14:textFill>
        </w:rPr>
      </w:pPr>
      <w:bookmarkStart w:id="33" w:name="_Toc17533"/>
      <w:r>
        <w:rPr>
          <w:rFonts w:hint="eastAsia" w:ascii="宋体" w:hAnsi="宋体" w:cs="宋体"/>
          <w:b/>
          <w:color w:val="000000" w:themeColor="text1"/>
          <w:sz w:val="24"/>
          <w:highlight w:val="none"/>
          <w14:textFill>
            <w14:solidFill>
              <w14:schemeClr w14:val="tx1"/>
            </w14:solidFill>
          </w14:textFill>
        </w:rPr>
        <w:t>2.定义</w:t>
      </w:r>
      <w:bookmarkEnd w:id="33"/>
    </w:p>
    <w:p w14:paraId="1E42775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 “采购人”系指招标公告中载明的本项目的采购人。</w:t>
      </w:r>
    </w:p>
    <w:p w14:paraId="292E093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 “采购代理机构”系指招标公告中载明的本项目的采购代理机构。</w:t>
      </w:r>
    </w:p>
    <w:p w14:paraId="4E3024D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 “投标人”系指响应招标、参加投标竞争的法人、其他组织或者自然人。</w:t>
      </w:r>
    </w:p>
    <w:p w14:paraId="7BF58EC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 “负责人”系指法人企业的法定负责人，或其他组织为法律、行政法规规定代表单位行使职权的主要负责人，或自然人本人。</w:t>
      </w:r>
    </w:p>
    <w:p w14:paraId="078B686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电子签章”系指数据电文中以电子形式所含、所附用于识别签名人身份并表明签名人认可其中内容的数据；“公章”系指单位法定名称章。因特殊原因需要使用冠以法定名称的业务专用章的，投标时须提供《业务专用章使用说明函》（附件2）。</w:t>
      </w:r>
    </w:p>
    <w:p w14:paraId="6CC868A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2.6“电子交易平台”系指本项目政府采购活动所依托的政府采购云平台（https://www.zcygov.cn/）。</w:t>
      </w:r>
    </w:p>
    <w:p w14:paraId="2C3D9D3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 “</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系指实质性要求条款，“</w:t>
      </w:r>
      <w:sdt>
        <w:sdtPr>
          <w:rPr>
            <w:rFonts w:hint="eastAsia" w:ascii="宋体" w:hAnsi="宋体" w:cs="宋体"/>
            <w:color w:val="000000" w:themeColor="text1"/>
            <w:kern w:val="0"/>
            <w:sz w:val="24"/>
            <w:highlight w:val="none"/>
            <w14:textFill>
              <w14:solidFill>
                <w14:schemeClr w14:val="tx1"/>
              </w14:solidFill>
            </w14:textFill>
          </w:rPr>
          <w:id w:val="512970236"/>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ascii="Wingdings" w:hAnsi="Wingdings"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 系指适用本项目的要求，“</w:t>
      </w:r>
      <w:sdt>
        <w:sdtPr>
          <w:rPr>
            <w:rFonts w:hint="eastAsia" w:ascii="宋体" w:hAnsi="宋体" w:cs="宋体"/>
            <w:color w:val="000000" w:themeColor="text1"/>
            <w:kern w:val="0"/>
            <w:sz w:val="24"/>
            <w:highlight w:val="none"/>
            <w14:textFill>
              <w14:solidFill>
                <w14:schemeClr w14:val="tx1"/>
              </w14:solidFill>
            </w14:textFill>
          </w:rPr>
          <w:id w:val="404888855"/>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 系指不适用本项目的要求。</w:t>
      </w:r>
    </w:p>
    <w:p w14:paraId="499C93EA">
      <w:pPr>
        <w:spacing w:line="360" w:lineRule="auto"/>
        <w:ind w:firstLine="241" w:firstLineChars="1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采购项目需要落实的政府采购政策</w:t>
      </w:r>
    </w:p>
    <w:p w14:paraId="3B5CA0F1">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p>
    <w:p w14:paraId="79195714">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 支持绿色发展</w:t>
      </w:r>
    </w:p>
    <w:p w14:paraId="497950F3">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02A74FF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34" w:name="_Hlk107568539"/>
    </w:p>
    <w:p w14:paraId="1217743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 鼓励供应商在参加政府采购过程中开展绿色设计、选择绿色材料、打造绿色制造工艺、开展绿色运输、做好废弃产品回收处理，实现产品全周期的绿色环保。</w:t>
      </w:r>
      <w:bookmarkEnd w:id="34"/>
    </w:p>
    <w:p w14:paraId="0E3171F3">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3.3支持中小企业发展</w:t>
      </w:r>
    </w:p>
    <w:p w14:paraId="1CC1016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2FF1C13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14:paraId="5579396B">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3.3.2</w:t>
      </w:r>
      <w:r>
        <w:rPr>
          <w:rFonts w:hint="eastAsia" w:ascii="宋体" w:hAnsi="宋体" w:cs="宋体"/>
          <w:color w:val="000000" w:themeColor="text1"/>
          <w:kern w:val="0"/>
          <w:sz w:val="24"/>
          <w:highlight w:val="none"/>
          <w14:textFill>
            <w14:solidFill>
              <w14:schemeClr w14:val="tx1"/>
            </w14:solidFill>
          </w14:textFill>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61C00CCE">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6557F6A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6AA398C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3.3.4符合《关于促进残疾人就业政府采购政策的通知》（财库〔2017〕141号）规定的条件并提供《残疾人福利性单位声明函》（附件1）的残疾人福利性单位视同小型、微型企业；</w:t>
      </w:r>
    </w:p>
    <w:p w14:paraId="61F8677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5B39A35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3.3.6</w:t>
      </w:r>
      <w:r>
        <w:rPr>
          <w:rFonts w:hint="eastAsia" w:ascii="宋体" w:hAnsi="宋体" w:cs="宋体"/>
          <w:color w:val="000000" w:themeColor="text1"/>
          <w:sz w:val="24"/>
          <w:highlight w:val="none"/>
          <w:lang w:val="en"/>
          <w14:textFill>
            <w14:solidFill>
              <w14:schemeClr w14:val="tx1"/>
            </w14:solidFill>
          </w14:textFill>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000000" w:themeColor="text1"/>
          <w:sz w:val="24"/>
          <w:highlight w:val="none"/>
          <w14:textFill>
            <w14:solidFill>
              <w14:schemeClr w14:val="tx1"/>
            </w14:solidFill>
          </w14:textFill>
        </w:rPr>
        <w:t>。</w:t>
      </w:r>
    </w:p>
    <w:p w14:paraId="3285E52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3.3.7中小企业享受扶持政策获得政府采购合同的，小微企业不得将合同分包给大中型企业，中型企业不得将合同分包给大型企业。</w:t>
      </w:r>
    </w:p>
    <w:p w14:paraId="776C45A5">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3.4支持创新发展</w:t>
      </w:r>
    </w:p>
    <w:p w14:paraId="317FDB1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3.4.1对省级以上主管部门认定的首台套产品，自纳入《省推广应用指导目录》起三年内参加政府采购活动，视同已具备相应销售业绩，业绩分为满分。</w:t>
      </w:r>
    </w:p>
    <w:p w14:paraId="7C4CFF4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3.5平等对待内外资企业和符合条件的破产重整企业</w:t>
      </w:r>
    </w:p>
    <w:p w14:paraId="09906720">
      <w:pPr>
        <w:spacing w:line="360" w:lineRule="auto"/>
        <w:ind w:firstLine="480" w:firstLineChars="200"/>
        <w:rPr>
          <w:b/>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平等对待内外资企业和符合条件的破产重整企业，切实保障企业公平竞争，平等维护企业的合法利益。</w:t>
      </w:r>
      <w:r>
        <w:rPr>
          <w:rFonts w:hint="eastAsia" w:ascii="宋体" w:hAnsi="宋体" w:cs="宋体"/>
          <w:color w:val="000000" w:themeColor="text1"/>
          <w:sz w:val="24"/>
          <w:highlight w:val="none"/>
          <w14:textFill>
            <w14:solidFill>
              <w14:schemeClr w14:val="tx1"/>
            </w14:solidFill>
          </w14:textFill>
        </w:rPr>
        <w:cr/>
      </w:r>
      <w:r>
        <w:rPr>
          <w:rFonts w:hint="eastAsia" w:ascii="宋体" w:hAnsi="宋体" w:cs="宋体"/>
          <w:b/>
          <w:color w:val="000000" w:themeColor="text1"/>
          <w:sz w:val="24"/>
          <w:highlight w:val="none"/>
          <w14:textFill>
            <w14:solidFill>
              <w14:schemeClr w14:val="tx1"/>
            </w14:solidFill>
          </w14:textFill>
        </w:rPr>
        <w:t>4. 询问、质疑、投诉</w:t>
      </w:r>
    </w:p>
    <w:p w14:paraId="2FE5E81A">
      <w:pPr>
        <w:pStyle w:val="888"/>
        <w:shd w:val="clear" w:color="auto" w:fill="FFFFFF"/>
        <w:snapToGrid w:val="0"/>
        <w:spacing w:before="0" w:beforeAutospacing="0" w:after="0" w:afterAutospacing="0" w:line="360" w:lineRule="auto"/>
        <w:ind w:firstLine="480" w:firstLineChars="200"/>
        <w:contextualSpacing/>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4.1在线询问、质疑、投诉</w:t>
      </w:r>
    </w:p>
    <w:p w14:paraId="78B64AE0">
      <w:pPr>
        <w:pStyle w:val="888"/>
        <w:shd w:val="clear" w:color="auto" w:fill="FFFFFF"/>
        <w:snapToGrid w:val="0"/>
        <w:spacing w:before="0" w:beforeAutospacing="0" w:after="0" w:afterAutospacing="0" w:line="360" w:lineRule="auto"/>
        <w:ind w:firstLine="480" w:firstLineChars="200"/>
        <w:contextualSpacing/>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根据《浙江省财政厅关于进一步促进政府采购公平竞争打造最优营商环境的通知》（浙财采监</w:t>
      </w:r>
      <w:r>
        <w:rPr>
          <w:color w:val="000000" w:themeColor="text1"/>
          <w:highlight w:val="none"/>
          <w14:textFill>
            <w14:solidFill>
              <w14:schemeClr w14:val="tx1"/>
            </w14:solidFill>
          </w14:textFill>
        </w:rPr>
        <w:t>〔</w:t>
      </w:r>
      <w:r>
        <w:rPr>
          <w:rFonts w:hint="eastAsia"/>
          <w:color w:val="000000" w:themeColor="text1"/>
          <w:highlight w:val="none"/>
          <w:lang w:val="zh-CN"/>
          <w14:textFill>
            <w14:solidFill>
              <w14:schemeClr w14:val="tx1"/>
            </w14:solidFill>
          </w14:textFill>
        </w:rPr>
        <w:t>2021</w:t>
      </w:r>
      <w:r>
        <w:rPr>
          <w:color w:val="000000" w:themeColor="text1"/>
          <w:highlight w:val="none"/>
          <w14:textFill>
            <w14:solidFill>
              <w14:schemeClr w14:val="tx1"/>
            </w14:solidFill>
          </w14:textFill>
        </w:rPr>
        <w:t>〕</w:t>
      </w:r>
      <w:r>
        <w:rPr>
          <w:rFonts w:hint="eastAsia"/>
          <w:color w:val="000000" w:themeColor="text1"/>
          <w:highlight w:val="none"/>
          <w:lang w:val="zh-CN"/>
          <w14:textFill>
            <w14:solidFill>
              <w14:schemeClr w14:val="tx1"/>
            </w14:solidFill>
          </w14:textFill>
        </w:rPr>
        <w:t>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01E4863">
      <w:pPr>
        <w:autoSpaceDE w:val="0"/>
        <w:autoSpaceDN w:val="0"/>
        <w:spacing w:line="360" w:lineRule="auto"/>
        <w:ind w:firstLine="480" w:firstLineChars="200"/>
        <w:jc w:val="left"/>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4.2供应商询问</w:t>
      </w:r>
    </w:p>
    <w:p w14:paraId="6E0D0A96">
      <w:pPr>
        <w:autoSpaceDE w:val="0"/>
        <w:autoSpaceDN w:val="0"/>
        <w:spacing w:line="360" w:lineRule="auto"/>
        <w:ind w:firstLine="480" w:firstLineChars="200"/>
        <w:jc w:val="left"/>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1FF714F">
      <w:pPr>
        <w:tabs>
          <w:tab w:val="left" w:pos="2622"/>
        </w:tabs>
        <w:autoSpaceDE w:val="0"/>
        <w:autoSpaceDN w:val="0"/>
        <w:spacing w:line="360" w:lineRule="auto"/>
        <w:ind w:firstLine="480" w:firstLineChars="200"/>
        <w:jc w:val="left"/>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4.3供应商质疑</w:t>
      </w:r>
      <w:r>
        <w:rPr>
          <w:rFonts w:hint="eastAsia" w:ascii="宋体" w:hAnsi="宋体" w:cs="宋体"/>
          <w:color w:val="000000" w:themeColor="text1"/>
          <w:kern w:val="0"/>
          <w:sz w:val="24"/>
          <w:highlight w:val="none"/>
          <w:lang w:val="zh-CN"/>
          <w14:textFill>
            <w14:solidFill>
              <w14:schemeClr w14:val="tx1"/>
            </w14:solidFill>
          </w14:textFill>
        </w:rPr>
        <w:tab/>
      </w:r>
    </w:p>
    <w:p w14:paraId="194A9D14">
      <w:pPr>
        <w:pStyle w:val="973"/>
        <w:spacing w:line="360" w:lineRule="auto"/>
        <w:ind w:firstLine="480"/>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4.3.1</w:t>
      </w:r>
      <w:r>
        <w:rPr>
          <w:rFonts w:hint="eastAsia" w:ascii="宋体" w:hAnsi="宋体" w:eastAsia="宋体" w:cs="宋体"/>
          <w:color w:val="000000" w:themeColor="text1"/>
          <w:sz w:val="24"/>
          <w:szCs w:val="24"/>
          <w:highlight w:val="none"/>
          <w:lang w:val="zh-CN"/>
          <w14:textFill>
            <w14:solidFill>
              <w14:schemeClr w14:val="tx1"/>
            </w14:solidFill>
          </w14:textFill>
        </w:rPr>
        <w:t>供应商认为采购文件、采购过程、中标或者成交结果使自己的权益受到损害的，可以在知道或者应知其权益受到损害之日起七个工作日内向采购人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zh-CN"/>
          <w14:textFill>
            <w14:solidFill>
              <w14:schemeClr w14:val="tx1"/>
            </w14:solidFill>
          </w14:textFill>
        </w:rPr>
        <w:t>采购代理机构提出质疑。为有效保护供应商合法权益和提高采购效率，鼓励供应商发现自己的权益受到损害后尽早提出质疑。</w:t>
      </w:r>
      <w:r>
        <w:rPr>
          <w:rFonts w:hint="eastAsia" w:ascii="宋体" w:hAnsi="宋体" w:eastAsia="宋体" w:cs="宋体"/>
          <w:b/>
          <w:bCs/>
          <w:color w:val="000000" w:themeColor="text1"/>
          <w:sz w:val="24"/>
          <w:szCs w:val="24"/>
          <w:highlight w:val="none"/>
          <w:lang w:val="zh-CN"/>
          <w14:textFill>
            <w14:solidFill>
              <w14:schemeClr w14:val="tx1"/>
            </w14:solidFill>
          </w14:textFill>
        </w:rPr>
        <w:t>供应商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须</w:t>
      </w:r>
      <w:r>
        <w:rPr>
          <w:rFonts w:hint="eastAsia" w:ascii="宋体" w:hAnsi="宋体" w:eastAsia="宋体" w:cs="宋体"/>
          <w:b/>
          <w:bCs/>
          <w:color w:val="000000" w:themeColor="text1"/>
          <w:sz w:val="24"/>
          <w:szCs w:val="24"/>
          <w:highlight w:val="none"/>
          <w:lang w:val="zh-CN"/>
          <w14:textFill>
            <w14:solidFill>
              <w14:schemeClr w14:val="tx1"/>
            </w14:solidFill>
          </w14:textFill>
        </w:rPr>
        <w:t>在法定质疑期内一次性提出针对同一采购程序环节的质疑。</w:t>
      </w:r>
    </w:p>
    <w:p w14:paraId="2A1FC5FE">
      <w:pPr>
        <w:pStyle w:val="973"/>
        <w:spacing w:line="360" w:lineRule="auto"/>
        <w:ind w:firstLine="48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4.3.2</w:t>
      </w:r>
      <w:r>
        <w:rPr>
          <w:rFonts w:hint="eastAsia" w:ascii="宋体" w:hAnsi="宋体" w:eastAsia="宋体" w:cs="宋体"/>
          <w:color w:val="000000" w:themeColor="text1"/>
          <w:sz w:val="24"/>
          <w:szCs w:val="24"/>
          <w:highlight w:val="none"/>
          <w:lang w:val="zh-CN"/>
          <w14:textFill>
            <w14:solidFill>
              <w14:schemeClr w14:val="tx1"/>
            </w14:solidFill>
          </w14:textFill>
        </w:rPr>
        <w:t>供应商知道或者应知其权益受到损害之日，是指：</w:t>
      </w:r>
    </w:p>
    <w:p w14:paraId="0D691F54">
      <w:pPr>
        <w:pStyle w:val="973"/>
        <w:spacing w:line="360" w:lineRule="auto"/>
        <w:ind w:firstLine="48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zh-CN"/>
          <w14:textFill>
            <w14:solidFill>
              <w14:schemeClr w14:val="tx1"/>
            </w14:solidFill>
          </w14:textFill>
        </w:rPr>
        <w:t>对可以质疑的采购文件提出质疑的，为获取采购文件之日；获取采购文件时采购公告期限已届满的，为采购公告期限届满之日；</w:t>
      </w:r>
    </w:p>
    <w:p w14:paraId="68D4D6E8">
      <w:pPr>
        <w:pStyle w:val="973"/>
        <w:spacing w:line="360" w:lineRule="auto"/>
        <w:ind w:firstLine="48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zh-CN"/>
          <w14:textFill>
            <w14:solidFill>
              <w14:schemeClr w14:val="tx1"/>
            </w14:solidFill>
          </w14:textFill>
        </w:rPr>
        <w:t>对采购过程中开标、资格审查、符合性审查和评审等环节提出质疑的，为各采购程序环节结束之日；</w:t>
      </w:r>
    </w:p>
    <w:p w14:paraId="2733E466">
      <w:pPr>
        <w:pStyle w:val="973"/>
        <w:spacing w:line="360" w:lineRule="auto"/>
        <w:ind w:firstLine="48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对中标或者成交结果提出质疑的，为中标或者成交结果公告期限届满之日；</w:t>
      </w:r>
    </w:p>
    <w:p w14:paraId="286727A3">
      <w:pPr>
        <w:pStyle w:val="973"/>
        <w:spacing w:line="360" w:lineRule="auto"/>
        <w:ind w:firstLine="48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采购文件、采购过程、中标或者成交结果发生澄清、修改、更正的，对经澄清、修改、更正的部分内容提出质疑的，为通知送达供应商之日或者澄清公告、更正公告发布之日。</w:t>
      </w:r>
    </w:p>
    <w:p w14:paraId="18DB4BE7">
      <w:pPr>
        <w:pStyle w:val="973"/>
        <w:spacing w:line="360" w:lineRule="auto"/>
        <w:ind w:firstLine="48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.3.3提出质疑的供应商（以下简称质疑供应商）应当是参与所质疑项目（采购包）采购活动的供应商。潜在供应商已依法获取其可质疑的采购文件的，可以对该采购文件提出质疑。</w:t>
      </w:r>
    </w:p>
    <w:p w14:paraId="64CFA82D">
      <w:pPr>
        <w:pStyle w:val="973"/>
        <w:spacing w:line="360" w:lineRule="auto"/>
        <w:ind w:firstLine="48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项目设立、项目预算、采购方式、组织形式、进口产品核准、采购需求调查过程、专门面向中小企业采购、合同履约等不属于可质疑事项。</w:t>
      </w:r>
    </w:p>
    <w:p w14:paraId="3EFBDCD9">
      <w:pPr>
        <w:pStyle w:val="32"/>
        <w:spacing w:line="360" w:lineRule="auto"/>
        <w:ind w:firstLine="480" w:firstLineChars="200"/>
        <w:rPr>
          <w:rFonts w:hint="eastAsia" w:hAnsi="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.3.4供应商提出质疑应当有明确的请求和必要的证明材料。</w:t>
      </w:r>
      <w:r>
        <w:rPr>
          <w:rFonts w:hint="eastAsia" w:hAnsi="宋体" w:cs="宋体"/>
          <w:color w:val="000000" w:themeColor="text1"/>
          <w:sz w:val="24"/>
          <w:highlight w:val="none"/>
          <w14:textFill>
            <w14:solidFill>
              <w14:schemeClr w14:val="tx1"/>
            </w14:solidFill>
          </w14:textFill>
        </w:rPr>
        <w:t>质疑函应当包括下列内容：</w:t>
      </w:r>
    </w:p>
    <w:p w14:paraId="7503B5D6">
      <w:pPr>
        <w:pStyle w:val="32"/>
        <w:spacing w:line="360" w:lineRule="auto"/>
        <w:ind w:firstLine="480" w:firstLineChars="200"/>
        <w:rPr>
          <w:rFonts w:hint="eastAsia"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w:t>
      </w:r>
      <w:r>
        <w:rPr>
          <w:rFonts w:hint="eastAsia" w:hAnsi="宋体" w:cs="宋体"/>
          <w:color w:val="000000" w:themeColor="text1"/>
          <w:kern w:val="0"/>
          <w:sz w:val="24"/>
          <w:highlight w:val="none"/>
          <w14:textFill>
            <w14:solidFill>
              <w14:schemeClr w14:val="tx1"/>
            </w14:solidFill>
          </w14:textFill>
        </w:rPr>
        <w:t>1）</w:t>
      </w:r>
      <w:r>
        <w:rPr>
          <w:rFonts w:hint="eastAsia" w:hAnsi="宋体" w:cs="宋体"/>
          <w:color w:val="000000" w:themeColor="text1"/>
          <w:kern w:val="0"/>
          <w:sz w:val="24"/>
          <w:highlight w:val="none"/>
          <w:lang w:val="zh-CN"/>
          <w14:textFill>
            <w14:solidFill>
              <w14:schemeClr w14:val="tx1"/>
            </w14:solidFill>
          </w14:textFill>
        </w:rPr>
        <w:t>供应商的姓名或者名称、地址、邮编、联系人及联系电话；</w:t>
      </w:r>
    </w:p>
    <w:p w14:paraId="7E5B5CEE">
      <w:pPr>
        <w:pStyle w:val="32"/>
        <w:spacing w:line="360" w:lineRule="auto"/>
        <w:ind w:firstLine="480" w:firstLineChars="200"/>
        <w:rPr>
          <w:rFonts w:hint="eastAsia"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w:t>
      </w:r>
      <w:r>
        <w:rPr>
          <w:rFonts w:hint="eastAsia" w:hAnsi="宋体" w:cs="宋体"/>
          <w:color w:val="000000" w:themeColor="text1"/>
          <w:kern w:val="0"/>
          <w:sz w:val="24"/>
          <w:highlight w:val="none"/>
          <w14:textFill>
            <w14:solidFill>
              <w14:schemeClr w14:val="tx1"/>
            </w14:solidFill>
          </w14:textFill>
        </w:rPr>
        <w:t>2）</w:t>
      </w:r>
      <w:r>
        <w:rPr>
          <w:rFonts w:hint="eastAsia" w:hAnsi="宋体" w:cs="宋体"/>
          <w:color w:val="000000" w:themeColor="text1"/>
          <w:kern w:val="0"/>
          <w:sz w:val="24"/>
          <w:highlight w:val="none"/>
          <w:lang w:val="zh-CN"/>
          <w14:textFill>
            <w14:solidFill>
              <w14:schemeClr w14:val="tx1"/>
            </w14:solidFill>
          </w14:textFill>
        </w:rPr>
        <w:t>质疑项目的名称、编号；</w:t>
      </w:r>
    </w:p>
    <w:p w14:paraId="2AE16E5D">
      <w:pPr>
        <w:pStyle w:val="32"/>
        <w:spacing w:line="360" w:lineRule="auto"/>
        <w:ind w:firstLine="480" w:firstLineChars="200"/>
        <w:rPr>
          <w:rFonts w:hint="eastAsia"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w:t>
      </w:r>
      <w:r>
        <w:rPr>
          <w:rFonts w:hint="eastAsia" w:hAnsi="宋体" w:cs="宋体"/>
          <w:color w:val="000000" w:themeColor="text1"/>
          <w:kern w:val="0"/>
          <w:sz w:val="24"/>
          <w:highlight w:val="none"/>
          <w14:textFill>
            <w14:solidFill>
              <w14:schemeClr w14:val="tx1"/>
            </w14:solidFill>
          </w14:textFill>
        </w:rPr>
        <w:t>3）</w:t>
      </w:r>
      <w:r>
        <w:rPr>
          <w:rFonts w:hint="eastAsia" w:hAnsi="宋体" w:cs="宋体"/>
          <w:color w:val="000000" w:themeColor="text1"/>
          <w:kern w:val="0"/>
          <w:sz w:val="24"/>
          <w:highlight w:val="none"/>
          <w:lang w:val="zh-CN"/>
          <w14:textFill>
            <w14:solidFill>
              <w14:schemeClr w14:val="tx1"/>
            </w14:solidFill>
          </w14:textFill>
        </w:rPr>
        <w:t>具体、明确的质疑事项和与质疑事项相关的请求；</w:t>
      </w:r>
    </w:p>
    <w:p w14:paraId="5FD9EA5D">
      <w:pPr>
        <w:pStyle w:val="32"/>
        <w:spacing w:line="360" w:lineRule="auto"/>
        <w:ind w:firstLine="480" w:firstLineChars="200"/>
        <w:rPr>
          <w:rFonts w:hint="eastAsia"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w:t>
      </w:r>
      <w:r>
        <w:rPr>
          <w:rFonts w:hint="eastAsia" w:hAnsi="宋体" w:cs="宋体"/>
          <w:color w:val="000000" w:themeColor="text1"/>
          <w:kern w:val="0"/>
          <w:sz w:val="24"/>
          <w:highlight w:val="none"/>
          <w14:textFill>
            <w14:solidFill>
              <w14:schemeClr w14:val="tx1"/>
            </w14:solidFill>
          </w14:textFill>
        </w:rPr>
        <w:t>4）</w:t>
      </w:r>
      <w:r>
        <w:rPr>
          <w:rFonts w:hint="eastAsia" w:hAnsi="宋体" w:cs="宋体"/>
          <w:color w:val="000000" w:themeColor="text1"/>
          <w:kern w:val="0"/>
          <w:sz w:val="24"/>
          <w:highlight w:val="none"/>
          <w:lang w:val="zh-CN"/>
          <w14:textFill>
            <w14:solidFill>
              <w14:schemeClr w14:val="tx1"/>
            </w14:solidFill>
          </w14:textFill>
        </w:rPr>
        <w:t>事实依据；</w:t>
      </w:r>
    </w:p>
    <w:p w14:paraId="43C20DA3">
      <w:pPr>
        <w:pStyle w:val="32"/>
        <w:spacing w:line="360" w:lineRule="auto"/>
        <w:ind w:firstLine="480" w:firstLineChars="200"/>
        <w:rPr>
          <w:rFonts w:hint="eastAsia"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w:t>
      </w:r>
      <w:r>
        <w:rPr>
          <w:rFonts w:hint="eastAsia" w:hAnsi="宋体" w:cs="宋体"/>
          <w:color w:val="000000" w:themeColor="text1"/>
          <w:kern w:val="0"/>
          <w:sz w:val="24"/>
          <w:highlight w:val="none"/>
          <w14:textFill>
            <w14:solidFill>
              <w14:schemeClr w14:val="tx1"/>
            </w14:solidFill>
          </w14:textFill>
        </w:rPr>
        <w:t>5）</w:t>
      </w:r>
      <w:r>
        <w:rPr>
          <w:rFonts w:hint="eastAsia" w:hAnsi="宋体" w:cs="宋体"/>
          <w:color w:val="000000" w:themeColor="text1"/>
          <w:kern w:val="0"/>
          <w:sz w:val="24"/>
          <w:highlight w:val="none"/>
          <w:lang w:val="zh-CN"/>
          <w14:textFill>
            <w14:solidFill>
              <w14:schemeClr w14:val="tx1"/>
            </w14:solidFill>
          </w14:textFill>
        </w:rPr>
        <w:t>必要的法律依据；</w:t>
      </w:r>
    </w:p>
    <w:p w14:paraId="5270FF17">
      <w:pPr>
        <w:pStyle w:val="32"/>
        <w:spacing w:line="360" w:lineRule="auto"/>
        <w:ind w:firstLine="480" w:firstLineChars="200"/>
        <w:rPr>
          <w:rFonts w:hint="eastAsia"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w:t>
      </w:r>
      <w:r>
        <w:rPr>
          <w:rFonts w:hint="eastAsia" w:hAnsi="宋体" w:cs="宋体"/>
          <w:color w:val="000000" w:themeColor="text1"/>
          <w:kern w:val="0"/>
          <w:sz w:val="24"/>
          <w:highlight w:val="none"/>
          <w14:textFill>
            <w14:solidFill>
              <w14:schemeClr w14:val="tx1"/>
            </w14:solidFill>
          </w14:textFill>
        </w:rPr>
        <w:t>6）</w:t>
      </w:r>
      <w:r>
        <w:rPr>
          <w:rFonts w:hint="eastAsia" w:hAnsi="宋体" w:cs="宋体"/>
          <w:color w:val="000000" w:themeColor="text1"/>
          <w:kern w:val="0"/>
          <w:sz w:val="24"/>
          <w:highlight w:val="none"/>
          <w:lang w:val="zh-CN"/>
          <w14:textFill>
            <w14:solidFill>
              <w14:schemeClr w14:val="tx1"/>
            </w14:solidFill>
          </w14:textFill>
        </w:rPr>
        <w:t>提出质疑的日期。</w:t>
      </w:r>
    </w:p>
    <w:p w14:paraId="426C3E05">
      <w:pPr>
        <w:pStyle w:val="888"/>
        <w:shd w:val="clear" w:color="auto" w:fill="FFFFFF"/>
        <w:snapToGrid w:val="0"/>
        <w:spacing w:before="0" w:beforeAutospacing="0" w:after="0" w:afterAutospacing="0" w:line="360" w:lineRule="auto"/>
        <w:ind w:firstLine="480" w:firstLineChars="2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供应商为自然人的，应当由本人签字；供应商为法人或者其他组织的，应当由法定代表人、主要负责人，或者其授权代表签字或者盖章，并加盖公章。以联合体形式参加政府采购活动的，其投诉应当由组成联合体的所有供应商共同提出。</w:t>
      </w:r>
    </w:p>
    <w:p w14:paraId="6F721C50">
      <w:pPr>
        <w:pStyle w:val="973"/>
        <w:spacing w:line="360" w:lineRule="auto"/>
        <w:ind w:firstLine="48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供应商提出质疑可使用财政部制定的质疑函范本，该范本可在浙江政府采购网下载专区下载。</w:t>
      </w:r>
    </w:p>
    <w:p w14:paraId="753C095C">
      <w:pPr>
        <w:pStyle w:val="973"/>
        <w:spacing w:line="360" w:lineRule="auto"/>
        <w:ind w:firstLine="480"/>
        <w:rPr>
          <w:rFonts w:hint="eastAsia" w:ascii="宋体" w:hAnsi="宋体" w:eastAsia="宋体" w:cs="宋体"/>
          <w:b w:val="0"/>
          <w:bCs w:val="0"/>
          <w:color w:val="000000" w:themeColor="text1"/>
          <w:sz w:val="24"/>
          <w:szCs w:val="24"/>
          <w:highlight w:val="none"/>
          <w:lang w:val="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4.3.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lang w:val="zh-CN"/>
          <w14:textFill>
            <w14:solidFill>
              <w14:schemeClr w14:val="tx1"/>
            </w14:solidFill>
          </w14:textFill>
        </w:rPr>
        <w:t>质疑供应商通过电子交易平台提交质疑函的，提出质疑日期为质疑函在电子交易平台提交当日。质疑供应商通过邮寄提交质疑函的，质疑供应商应在质疑期内交邮，并承担邮寄费用。质疑供应商现场递交质疑函的，采购人</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或者</w:t>
      </w:r>
      <w:r>
        <w:rPr>
          <w:rFonts w:hint="eastAsia" w:ascii="宋体" w:hAnsi="宋体" w:eastAsia="宋体" w:cs="宋体"/>
          <w:b w:val="0"/>
          <w:bCs w:val="0"/>
          <w:color w:val="000000" w:themeColor="text1"/>
          <w:sz w:val="24"/>
          <w:szCs w:val="24"/>
          <w:highlight w:val="none"/>
          <w:lang w:val="zh-CN"/>
          <w14:textFill>
            <w14:solidFill>
              <w14:schemeClr w14:val="tx1"/>
            </w14:solidFill>
          </w14:textFill>
        </w:rPr>
        <w:t>采购代理机构应向质疑供应商出具签收回执，注明接收日期。</w:t>
      </w:r>
    </w:p>
    <w:p w14:paraId="5F324FD0">
      <w:pPr>
        <w:pStyle w:val="973"/>
        <w:spacing w:line="360" w:lineRule="auto"/>
        <w:ind w:firstLine="480"/>
        <w:rPr>
          <w:rFonts w:hint="eastAsia" w:ascii="宋体" w:hAnsi="宋体" w:eastAsia="宋体" w:cs="宋体"/>
          <w:b w:val="0"/>
          <w:bCs w:val="0"/>
          <w:color w:val="000000" w:themeColor="text1"/>
          <w:sz w:val="24"/>
          <w:szCs w:val="24"/>
          <w:highlight w:val="none"/>
          <w:lang w:val="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4.3.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lang w:val="zh-CN"/>
          <w14:textFill>
            <w14:solidFill>
              <w14:schemeClr w14:val="tx1"/>
            </w14:solidFill>
          </w14:textFill>
        </w:rPr>
        <w:t>供应商提交的质疑函缺少具体明确的质疑事项、事实依据、必要的法律依据、与质疑事项相关的请求、签章等内容的，采购人</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或者</w:t>
      </w:r>
      <w:r>
        <w:rPr>
          <w:rFonts w:hint="eastAsia" w:ascii="宋体" w:hAnsi="宋体" w:eastAsia="宋体" w:cs="宋体"/>
          <w:b w:val="0"/>
          <w:bCs w:val="0"/>
          <w:color w:val="000000" w:themeColor="text1"/>
          <w:sz w:val="24"/>
          <w:szCs w:val="24"/>
          <w:highlight w:val="none"/>
          <w:lang w:val="zh-CN"/>
          <w14:textFill>
            <w14:solidFill>
              <w14:schemeClr w14:val="tx1"/>
            </w14:solidFill>
          </w14:textFill>
        </w:rPr>
        <w:t>采购代理机构可通知其在法定质疑期内补充、完善。质疑供应商在法定质疑期内未按要求补充、完善的，自行承担不利后果。</w:t>
      </w:r>
    </w:p>
    <w:p w14:paraId="5EF839C8">
      <w:pPr>
        <w:pStyle w:val="973"/>
        <w:spacing w:line="360" w:lineRule="auto"/>
        <w:ind w:firstLine="480"/>
        <w:rPr>
          <w:rFonts w:hint="eastAsia" w:ascii="宋体" w:hAnsi="宋体" w:eastAsia="宋体" w:cs="宋体"/>
          <w:b w:val="0"/>
          <w:bCs w:val="0"/>
          <w:color w:val="000000" w:themeColor="text1"/>
          <w:sz w:val="24"/>
          <w:szCs w:val="24"/>
          <w:highlight w:val="none"/>
          <w:lang w:val="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14:textFill>
            <w14:solidFill>
              <w14:schemeClr w14:val="tx1"/>
            </w14:solidFill>
          </w14:textFill>
        </w:rPr>
        <w:t>采购人</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或者</w:t>
      </w:r>
      <w:r>
        <w:rPr>
          <w:rFonts w:hint="eastAsia" w:ascii="宋体" w:hAnsi="宋体" w:eastAsia="宋体" w:cs="宋体"/>
          <w:b w:val="0"/>
          <w:bCs w:val="0"/>
          <w:color w:val="000000" w:themeColor="text1"/>
          <w:sz w:val="24"/>
          <w:szCs w:val="24"/>
          <w:highlight w:val="none"/>
          <w:lang w:val="zh-CN"/>
          <w14:textFill>
            <w14:solidFill>
              <w14:schemeClr w14:val="tx1"/>
            </w14:solidFill>
          </w14:textFill>
        </w:rPr>
        <w:t>采购代理机构有初步证据认为质疑供应商权益未受到损害的，可要求其提供属于潜在供应商或者合法权益受到损害的证明材料。经营主体明显不具有履行合同所必需的设备和专业技术能力的，不属于潜在供应商。</w:t>
      </w:r>
    </w:p>
    <w:p w14:paraId="4E1963E5">
      <w:pPr>
        <w:pStyle w:val="888"/>
        <w:shd w:val="clear" w:color="auto" w:fill="FFFFFF"/>
        <w:snapToGrid w:val="0"/>
        <w:spacing w:before="0" w:beforeAutospacing="0" w:after="0" w:afterAutospacing="0" w:line="360" w:lineRule="auto"/>
        <w:ind w:firstLine="400"/>
        <w:contextualSpacing/>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4.3.</w:t>
      </w:r>
      <w:r>
        <w:rPr>
          <w:rFonts w:hint="eastAsia"/>
          <w:b w:val="0"/>
          <w:bCs w:val="0"/>
          <w:color w:val="000000" w:themeColor="text1"/>
          <w:highlight w:val="none"/>
          <w:lang w:val="en-US" w:eastAsia="zh-CN"/>
          <w14:textFill>
            <w14:solidFill>
              <w14:schemeClr w14:val="tx1"/>
            </w14:solidFill>
          </w14:textFill>
        </w:rPr>
        <w:t>7</w:t>
      </w:r>
      <w:r>
        <w:rPr>
          <w:rFonts w:hint="eastAsia"/>
          <w:b w:val="0"/>
          <w:bCs w:val="0"/>
          <w:color w:val="000000" w:themeColor="text1"/>
          <w:highlight w:val="none"/>
          <w14:textFill>
            <w14:solidFill>
              <w14:schemeClr w14:val="tx1"/>
            </w14:solidFill>
          </w14:textFill>
        </w:rPr>
        <w:t>供应商有下列情形之一的，质疑事项不予处理，由采购人</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或</w:t>
      </w:r>
      <w:r>
        <w:rPr>
          <w:rFonts w:hint="eastAsia" w:cs="宋体"/>
          <w:b w:val="0"/>
          <w:bCs w:val="0"/>
          <w:color w:val="000000" w:themeColor="text1"/>
          <w:sz w:val="24"/>
          <w:szCs w:val="24"/>
          <w:highlight w:val="none"/>
          <w:lang w:val="en-US" w:eastAsia="zh-CN"/>
          <w14:textFill>
            <w14:solidFill>
              <w14:schemeClr w14:val="tx1"/>
            </w14:solidFill>
          </w14:textFill>
        </w:rPr>
        <w:t>者</w:t>
      </w:r>
      <w:r>
        <w:rPr>
          <w:rFonts w:hint="eastAsia"/>
          <w:b w:val="0"/>
          <w:bCs w:val="0"/>
          <w:color w:val="000000" w:themeColor="text1"/>
          <w:highlight w:val="none"/>
          <w14:textFill>
            <w14:solidFill>
              <w14:schemeClr w14:val="tx1"/>
            </w14:solidFill>
          </w14:textFill>
        </w:rPr>
        <w:t>采购代理机构收到质疑函后七个工作日内书面通知质疑供应商：</w:t>
      </w:r>
    </w:p>
    <w:p w14:paraId="624702CE">
      <w:pPr>
        <w:pStyle w:val="888"/>
        <w:shd w:val="clear" w:color="auto" w:fill="FFFFFF"/>
        <w:snapToGrid w:val="0"/>
        <w:spacing w:after="240" w:afterAutospacing="0" w:line="360" w:lineRule="auto"/>
        <w:ind w:firstLine="400"/>
        <w:contextualSpacing/>
        <w:rPr>
          <w:rFonts w:hint="eastAsia"/>
          <w:b w:val="0"/>
          <w:bCs w:val="0"/>
          <w:color w:val="000000" w:themeColor="text1"/>
          <w:highlight w:val="none"/>
          <w14:textFill>
            <w14:solidFill>
              <w14:schemeClr w14:val="tx1"/>
            </w14:solidFill>
          </w14:textFill>
        </w:rPr>
      </w:pPr>
      <w:bookmarkStart w:id="35" w:name="OLE_LINK3"/>
      <w:r>
        <w:rPr>
          <w:rFonts w:hint="eastAsia"/>
          <w:b w:val="0"/>
          <w:bCs w:val="0"/>
          <w:color w:val="000000" w:themeColor="text1"/>
          <w:highlight w:val="none"/>
          <w14:textFill>
            <w14:solidFill>
              <w14:schemeClr w14:val="tx1"/>
            </w14:solidFill>
          </w14:textFill>
        </w:rPr>
        <w:t>（1）</w:t>
      </w:r>
      <w:bookmarkEnd w:id="35"/>
      <w:r>
        <w:rPr>
          <w:rFonts w:hint="eastAsia"/>
          <w:b w:val="0"/>
          <w:bCs w:val="0"/>
          <w:color w:val="000000" w:themeColor="text1"/>
          <w:highlight w:val="none"/>
          <w14:textFill>
            <w14:solidFill>
              <w14:schemeClr w14:val="tx1"/>
            </w14:solidFill>
          </w14:textFill>
        </w:rPr>
        <w:t>潜在供应商未提供依法获取采购文件证据材料，对采购文件提出质疑的；</w:t>
      </w:r>
    </w:p>
    <w:p w14:paraId="1794F7DA">
      <w:pPr>
        <w:pStyle w:val="888"/>
        <w:shd w:val="clear" w:color="auto" w:fill="FFFFFF"/>
        <w:snapToGrid w:val="0"/>
        <w:spacing w:after="240" w:afterAutospacing="0" w:line="360" w:lineRule="auto"/>
        <w:ind w:firstLine="400"/>
        <w:contextualSpacing/>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2</w:t>
      </w:r>
      <w:r>
        <w:rPr>
          <w:rFonts w:hint="eastAsia"/>
          <w:b w:val="0"/>
          <w:bCs w:val="0"/>
          <w:color w:val="000000" w:themeColor="text1"/>
          <w:highlight w:val="none"/>
          <w14:textFill>
            <w14:solidFill>
              <w14:schemeClr w14:val="tx1"/>
            </w14:solidFill>
          </w14:textFill>
        </w:rPr>
        <w:t>）供应商未按采购人、采购代理机构要求提供项目设置的特定资格条件证明材料，对特定资格条件以外的采购文件内容提出质疑的；</w:t>
      </w:r>
    </w:p>
    <w:p w14:paraId="52480FD5">
      <w:pPr>
        <w:pStyle w:val="888"/>
        <w:shd w:val="clear" w:color="auto" w:fill="FFFFFF"/>
        <w:snapToGrid w:val="0"/>
        <w:spacing w:after="240" w:afterAutospacing="0" w:line="360" w:lineRule="auto"/>
        <w:ind w:firstLine="400"/>
        <w:contextualSpacing/>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（3）未提交投标文件，对采购过程、采购结果提出质疑的；</w:t>
      </w:r>
    </w:p>
    <w:p w14:paraId="5B825E45">
      <w:pPr>
        <w:pStyle w:val="888"/>
        <w:shd w:val="clear" w:color="auto" w:fill="FFFFFF"/>
        <w:snapToGrid w:val="0"/>
        <w:spacing w:after="240" w:afterAutospacing="0" w:line="360" w:lineRule="auto"/>
        <w:ind w:firstLine="400"/>
        <w:contextualSpacing/>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（4）未通过资格审查，对评审过程、采购结果提出质疑的；</w:t>
      </w:r>
    </w:p>
    <w:p w14:paraId="050EE933">
      <w:pPr>
        <w:pStyle w:val="888"/>
        <w:shd w:val="clear" w:color="auto" w:fill="FFFFFF"/>
        <w:snapToGrid w:val="0"/>
        <w:spacing w:after="240" w:afterAutospacing="0" w:line="360" w:lineRule="auto"/>
        <w:ind w:firstLine="400"/>
        <w:contextualSpacing/>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（5）未通过符合性审查，对符合性审查后的评审活动、采购结果提出质疑的；</w:t>
      </w:r>
    </w:p>
    <w:p w14:paraId="5897671D">
      <w:pPr>
        <w:pStyle w:val="888"/>
        <w:shd w:val="clear" w:color="auto" w:fill="FFFFFF"/>
        <w:snapToGrid w:val="0"/>
        <w:spacing w:after="240" w:afterAutospacing="0" w:line="360" w:lineRule="auto"/>
        <w:ind w:firstLine="400"/>
        <w:contextualSpacing/>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（6）未通过采购文件规定的方式提出质疑的；</w:t>
      </w:r>
    </w:p>
    <w:p w14:paraId="4AF5DF3D">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（7）提出质疑时间已超出法定质疑期的；</w:t>
      </w:r>
    </w:p>
    <w:p w14:paraId="4CE73625">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（8）采购文件要求供应商在法定质疑期内一次性提出针对同一采购程序环节质疑，再次提出质疑的；</w:t>
      </w:r>
    </w:p>
    <w:p w14:paraId="1FEB4CB2">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（9）质疑函未按采购人、采购代理机构要求补充完善签署、盖章、联系方式、提交合法有效的授权委托书的；</w:t>
      </w:r>
    </w:p>
    <w:p w14:paraId="7D69B166">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（10）质疑供应商未按照采购人、采购代理机构要求提供属于潜在供应商或其合法权益受到损害的事实依据的；</w:t>
      </w:r>
    </w:p>
    <w:p w14:paraId="2CE8FC6B">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（11）以联合体形式参加政府采购活动，联合体成员未共同提出质疑的；</w:t>
      </w:r>
    </w:p>
    <w:p w14:paraId="37218D05">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（12）法律法规或省级以上财政部门规定的其他情形。</w:t>
      </w:r>
    </w:p>
    <w:p w14:paraId="6D22EB86">
      <w:pPr>
        <w:pStyle w:val="888"/>
        <w:shd w:val="clear" w:color="auto" w:fill="FFFFFF"/>
        <w:snapToGrid w:val="0"/>
        <w:spacing w:after="240" w:afterAutospacing="0" w:line="360" w:lineRule="auto"/>
        <w:ind w:firstLine="480" w:firstLineChars="200"/>
        <w:contextualSpacing/>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4.4供应商投诉</w:t>
      </w:r>
    </w:p>
    <w:p w14:paraId="0C8C286E">
      <w:pPr>
        <w:pStyle w:val="888"/>
        <w:shd w:val="clear" w:color="auto" w:fill="FFFFFF"/>
        <w:snapToGrid w:val="0"/>
        <w:spacing w:before="0" w:beforeAutospacing="0" w:after="0" w:afterAutospacing="0" w:line="360" w:lineRule="auto"/>
        <w:ind w:firstLine="480" w:firstLineChars="2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4.4.1质疑供应商对采购人、采购代理机构的答复不满意或者采购人、采购代理机构未在规定的时间内作出答复的，可以在答复期满后十五个工作日内向同级政府采购监督管理部门提出投诉。</w:t>
      </w:r>
    </w:p>
    <w:p w14:paraId="36BAE5D4">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w:t>
      </w:r>
      <w:r>
        <w:rPr>
          <w:rFonts w:hint="eastAsia"/>
          <w:color w:val="000000" w:themeColor="text1"/>
          <w:highlight w:val="none"/>
          <w:lang w:val="zh-CN"/>
          <w14:textFill>
            <w14:solidFill>
              <w14:schemeClr w14:val="tx1"/>
            </w14:solidFill>
          </w14:textFill>
        </w:rPr>
        <w:t>2</w:t>
      </w:r>
      <w:r>
        <w:rPr>
          <w:rFonts w:hint="eastAsia"/>
          <w:color w:val="000000" w:themeColor="text1"/>
          <w:highlight w:val="none"/>
          <w14:textFill>
            <w14:solidFill>
              <w14:schemeClr w14:val="tx1"/>
            </w14:solidFill>
          </w14:textFill>
        </w:rPr>
        <w:t>供应商投诉的事项不得超出已质疑事项的范围，基于质疑答复内容提出的投诉事项除外。</w:t>
      </w:r>
    </w:p>
    <w:p w14:paraId="7C9EB862">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4.4.3供应商投诉应当有明确的请求和必要的证明材料。</w:t>
      </w:r>
    </w:p>
    <w:p w14:paraId="791B1457">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4.4.4 以联合体形式参加政府采购活动的，其投诉应当由组成联合体的所有供应商共同提出。</w:t>
      </w:r>
    </w:p>
    <w:p w14:paraId="0A471E7C">
      <w:pPr>
        <w:pStyle w:val="888"/>
        <w:shd w:val="clear" w:color="auto" w:fill="FFFFFF"/>
        <w:snapToGrid w:val="0"/>
        <w:spacing w:after="240" w:afterAutospacing="0" w:line="360" w:lineRule="auto"/>
        <w:ind w:firstLine="480" w:firstLineChars="2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4.4.5投诉材料</w:t>
      </w:r>
      <w:r>
        <w:rPr>
          <w:rFonts w:hint="eastAsia" w:hAnsi="Courier New"/>
          <w:color w:val="000000" w:themeColor="text1"/>
          <w:highlight w:val="none"/>
          <w14:textFill>
            <w14:solidFill>
              <w14:schemeClr w14:val="tx1"/>
            </w14:solidFill>
          </w14:textFill>
        </w:rPr>
        <w:t>寄送</w:t>
      </w:r>
      <w:r>
        <w:rPr>
          <w:rFonts w:hint="eastAsia"/>
          <w:color w:val="000000" w:themeColor="text1"/>
          <w:highlight w:val="none"/>
          <w14:textFill>
            <w14:solidFill>
              <w14:schemeClr w14:val="tx1"/>
            </w14:solidFill>
          </w14:textFill>
        </w:rPr>
        <w:t>相关信息详见《第一部分  招标公告》。</w:t>
      </w:r>
    </w:p>
    <w:p w14:paraId="6E210E39">
      <w:pPr>
        <w:pStyle w:val="888"/>
        <w:shd w:val="clear" w:color="auto" w:fill="FFFFFF"/>
        <w:snapToGrid w:val="0"/>
        <w:spacing w:after="240" w:afterAutospacing="0" w:line="360" w:lineRule="auto"/>
        <w:ind w:firstLine="480" w:firstLineChars="200"/>
        <w:contextualSpacing/>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投诉书</w:t>
      </w:r>
      <w:r>
        <w:rPr>
          <w:rFonts w:hint="eastAsia" w:ascii="宋体" w:hAnsi="宋体" w:eastAsia="宋体" w:cs="宋体"/>
          <w:color w:val="000000" w:themeColor="text1"/>
          <w:highlight w:val="none"/>
          <w:lang w:val="zh-CN"/>
          <w14:textFill>
            <w14:solidFill>
              <w14:schemeClr w14:val="tx1"/>
            </w14:solidFill>
          </w14:textFill>
        </w:rPr>
        <w:t>使用财政部制定的</w:t>
      </w:r>
      <w:r>
        <w:rPr>
          <w:rFonts w:hint="eastAsia" w:ascii="宋体" w:hAnsi="宋体" w:eastAsia="宋体" w:cs="宋体"/>
          <w:color w:val="000000" w:themeColor="text1"/>
          <w:highlight w:val="none"/>
          <w14:textFill>
            <w14:solidFill>
              <w14:schemeClr w14:val="tx1"/>
            </w14:solidFill>
          </w14:textFill>
        </w:rPr>
        <w:t>投诉书</w:t>
      </w:r>
      <w:r>
        <w:rPr>
          <w:rFonts w:hint="eastAsia" w:ascii="宋体" w:hAnsi="宋体" w:eastAsia="宋体" w:cs="宋体"/>
          <w:color w:val="000000" w:themeColor="text1"/>
          <w:highlight w:val="none"/>
          <w:lang w:val="zh-CN"/>
          <w14:textFill>
            <w14:solidFill>
              <w14:schemeClr w14:val="tx1"/>
            </w14:solidFill>
          </w14:textFill>
        </w:rPr>
        <w:t>范本，该范本可在浙江政府采购网下载专区下载。</w:t>
      </w:r>
    </w:p>
    <w:p w14:paraId="7FA3473D">
      <w:pPr>
        <w:pStyle w:val="133"/>
        <w:snapToGrid w:val="0"/>
        <w:spacing w:before="0"/>
        <w:ind w:firstLine="360"/>
        <w:rPr>
          <w:rFonts w:ascii="宋体" w:hAnsi="宋体" w:cs="宋体"/>
          <w:color w:val="000000" w:themeColor="text1"/>
          <w:sz w:val="18"/>
          <w:szCs w:val="18"/>
          <w:highlight w:val="none"/>
          <w14:textFill>
            <w14:solidFill>
              <w14:schemeClr w14:val="tx1"/>
            </w14:solidFill>
          </w14:textFill>
        </w:rPr>
      </w:pPr>
    </w:p>
    <w:p w14:paraId="535C149B">
      <w:pPr>
        <w:adjustRightInd/>
        <w:spacing w:line="360" w:lineRule="auto"/>
        <w:jc w:val="center"/>
        <w:outlineLvl w:val="1"/>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 xml:space="preserve">      </w:t>
      </w:r>
      <w:bookmarkStart w:id="36" w:name="_Toc20717"/>
      <w:r>
        <w:rPr>
          <w:rFonts w:hint="eastAsia" w:ascii="宋体" w:hAnsi="宋体" w:cs="宋体"/>
          <w:b/>
          <w:color w:val="000000" w:themeColor="text1"/>
          <w:sz w:val="32"/>
          <w:szCs w:val="20"/>
          <w:highlight w:val="none"/>
          <w14:textFill>
            <w14:solidFill>
              <w14:schemeClr w14:val="tx1"/>
            </w14:solidFill>
          </w14:textFill>
        </w:rPr>
        <w:t>二、招标文件的构成、澄清、修改</w:t>
      </w:r>
      <w:bookmarkEnd w:id="36"/>
    </w:p>
    <w:p w14:paraId="4F021950">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5．招标文件的构成</w:t>
      </w:r>
    </w:p>
    <w:p w14:paraId="712563AF">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 招标文件包括下列文件及附件：</w:t>
      </w:r>
    </w:p>
    <w:p w14:paraId="5F5643CE">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5.1.1招标公告；</w:t>
      </w:r>
    </w:p>
    <w:p w14:paraId="4DEBAFD3">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5.1.2投标人须知；</w:t>
      </w:r>
    </w:p>
    <w:p w14:paraId="0CF350EE">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5.1.3采购需求；</w:t>
      </w:r>
    </w:p>
    <w:p w14:paraId="59E98FDB">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5.1.4评标办法；</w:t>
      </w:r>
    </w:p>
    <w:p w14:paraId="0BF1C20B">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5.1.5拟签订的合同文本；</w:t>
      </w:r>
    </w:p>
    <w:p w14:paraId="5DAF0F5F">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5.1.6</w:t>
      </w:r>
      <w:r>
        <w:rPr>
          <w:rFonts w:hint="eastAsia" w:hAnsi="宋体" w:cs="宋体"/>
          <w:color w:val="000000" w:themeColor="text1"/>
          <w:sz w:val="24"/>
          <w:szCs w:val="24"/>
          <w:highlight w:val="none"/>
          <w14:textFill>
            <w14:solidFill>
              <w14:schemeClr w14:val="tx1"/>
            </w14:solidFill>
          </w14:textFill>
        </w:rPr>
        <w:t>应提交的有关格式范例。</w:t>
      </w:r>
    </w:p>
    <w:p w14:paraId="22386EA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5.2与本项目有关的</w:t>
      </w:r>
      <w:r>
        <w:rPr>
          <w:rFonts w:hint="eastAsia" w:ascii="宋体" w:hAnsi="宋体" w:cs="宋体"/>
          <w:bCs/>
          <w:color w:val="000000" w:themeColor="text1"/>
          <w:sz w:val="24"/>
          <w:highlight w:val="none"/>
          <w14:textFill>
            <w14:solidFill>
              <w14:schemeClr w14:val="tx1"/>
            </w14:solidFill>
          </w14:textFill>
        </w:rPr>
        <w:t>澄清或者修改的内容为招标文件的组成部分</w:t>
      </w:r>
      <w:r>
        <w:rPr>
          <w:rFonts w:hint="eastAsia" w:ascii="宋体" w:hAnsi="宋体" w:cs="宋体"/>
          <w:color w:val="000000" w:themeColor="text1"/>
          <w:sz w:val="24"/>
          <w:highlight w:val="none"/>
          <w14:textFill>
            <w14:solidFill>
              <w14:schemeClr w14:val="tx1"/>
            </w14:solidFill>
          </w14:textFill>
        </w:rPr>
        <w:t>。</w:t>
      </w:r>
    </w:p>
    <w:p w14:paraId="59FC6FD0">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6. 招标文件的澄清、修改</w:t>
      </w:r>
    </w:p>
    <w:p w14:paraId="0B0B6616">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6.1已获取招标文件的潜在投标人，若有问题需要澄清，应于投标截止时间前，以书面形式向采购代理机构提出。</w:t>
      </w:r>
    </w:p>
    <w:p w14:paraId="329353B8">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233E482">
      <w:pPr>
        <w:pStyle w:val="2"/>
        <w:rPr>
          <w:rFonts w:hAnsi="宋体" w:cs="宋体"/>
          <w:color w:val="000000" w:themeColor="text1"/>
          <w:sz w:val="18"/>
          <w:szCs w:val="18"/>
          <w:highlight w:val="none"/>
          <w:lang w:val="en-US"/>
          <w14:textFill>
            <w14:solidFill>
              <w14:schemeClr w14:val="tx1"/>
            </w14:solidFill>
          </w14:textFill>
        </w:rPr>
      </w:pPr>
      <w:r>
        <w:rPr>
          <w:rFonts w:hint="eastAsia" w:hAnsi="宋体" w:cs="宋体"/>
          <w:color w:val="000000" w:themeColor="text1"/>
          <w:szCs w:val="24"/>
          <w:highlight w:val="none"/>
          <w:lang w:val="en-US"/>
          <w14:textFill>
            <w14:solidFill>
              <w14:schemeClr w14:val="tx1"/>
            </w14:solidFill>
          </w14:textFill>
        </w:rPr>
        <w:t xml:space="preserve">    </w:t>
      </w:r>
    </w:p>
    <w:p w14:paraId="15F21F27">
      <w:pPr>
        <w:adjustRightInd/>
        <w:spacing w:line="360" w:lineRule="auto"/>
        <w:jc w:val="center"/>
        <w:outlineLvl w:val="1"/>
        <w:rPr>
          <w:rFonts w:ascii="宋体" w:hAnsi="宋体" w:cs="宋体"/>
          <w:b/>
          <w:color w:val="000000" w:themeColor="text1"/>
          <w:sz w:val="30"/>
          <w:szCs w:val="20"/>
          <w:highlight w:val="none"/>
          <w14:textFill>
            <w14:solidFill>
              <w14:schemeClr w14:val="tx1"/>
            </w14:solidFill>
          </w14:textFill>
        </w:rPr>
      </w:pPr>
      <w:bookmarkStart w:id="37" w:name="_Toc6708"/>
      <w:r>
        <w:rPr>
          <w:rFonts w:hint="eastAsia" w:ascii="宋体" w:hAnsi="宋体" w:cs="宋体"/>
          <w:b/>
          <w:color w:val="000000" w:themeColor="text1"/>
          <w:sz w:val="30"/>
          <w:szCs w:val="20"/>
          <w:highlight w:val="none"/>
          <w14:textFill>
            <w14:solidFill>
              <w14:schemeClr w14:val="tx1"/>
            </w14:solidFill>
          </w14:textFill>
        </w:rPr>
        <w:t>三、投标</w:t>
      </w:r>
      <w:bookmarkEnd w:id="37"/>
    </w:p>
    <w:p w14:paraId="58D473CE">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7. 招标文件的获取</w:t>
      </w:r>
    </w:p>
    <w:p w14:paraId="5EE20C73">
      <w:pPr>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详见招标公告中获取招标文件的时间期限、地点、方式及招标文件售价。</w:t>
      </w:r>
    </w:p>
    <w:p w14:paraId="6FDDE017">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8.开标前答疑会或现场考察</w:t>
      </w:r>
    </w:p>
    <w:p w14:paraId="1EB1105D">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采购人组织潜在投标人现场考察或者召开开标前答疑会的，潜在投标人按第二部分投标人须知前附表的规定参加现场考察或者开标前答疑会。</w:t>
      </w:r>
    </w:p>
    <w:p w14:paraId="078AAC50">
      <w:pPr>
        <w:pStyle w:val="32"/>
        <w:spacing w:line="360" w:lineRule="auto"/>
        <w:rPr>
          <w:rFonts w:hAnsi="宋体" w:cs="宋体"/>
          <w:b/>
          <w:color w:val="000000" w:themeColor="text1"/>
          <w:szCs w:val="24"/>
          <w:highlight w:val="none"/>
          <w14:textFill>
            <w14:solidFill>
              <w14:schemeClr w14:val="tx1"/>
            </w14:solidFill>
          </w14:textFill>
        </w:rPr>
      </w:pPr>
      <w:r>
        <w:rPr>
          <w:rFonts w:hint="eastAsia" w:hAnsi="宋体" w:cs="宋体"/>
          <w:b/>
          <w:color w:val="000000" w:themeColor="text1"/>
          <w:kern w:val="28"/>
          <w:sz w:val="24"/>
          <w:szCs w:val="24"/>
          <w:highlight w:val="none"/>
          <w14:textFill>
            <w14:solidFill>
              <w14:schemeClr w14:val="tx1"/>
            </w14:solidFill>
          </w14:textFill>
        </w:rPr>
        <w:t>9.投标保证金</w:t>
      </w:r>
    </w:p>
    <w:p w14:paraId="7FF4DBFF">
      <w:pPr>
        <w:pStyle w:val="6"/>
        <w:spacing w:line="360" w:lineRule="auto"/>
        <w:ind w:firstLine="470" w:firstLineChars="196"/>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本项目不需缴纳投标保证金。</w:t>
      </w:r>
    </w:p>
    <w:p w14:paraId="29453726">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10. 投标文件的语言</w:t>
      </w:r>
    </w:p>
    <w:p w14:paraId="1E208C11">
      <w:pPr>
        <w:autoSpaceDE w:val="0"/>
        <w:autoSpaceDN w:val="0"/>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投标文件及投标人与采购有关的来往通知、函件和文件均应使用中文。</w:t>
      </w:r>
    </w:p>
    <w:p w14:paraId="063233F7">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11. 投标文件的组成</w:t>
      </w:r>
    </w:p>
    <w:p w14:paraId="713802FA">
      <w:pPr>
        <w:snapToGrid w:val="0"/>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11.1</w:t>
      </w:r>
      <w:r>
        <w:rPr>
          <w:rFonts w:hint="eastAsia" w:ascii="宋体" w:hAnsi="宋体" w:cs="宋体"/>
          <w:b/>
          <w:color w:val="000000" w:themeColor="text1"/>
          <w:sz w:val="24"/>
          <w:highlight w:val="none"/>
          <w14:textFill>
            <w14:solidFill>
              <w14:schemeClr w14:val="tx1"/>
            </w14:solidFill>
          </w14:textFill>
        </w:rPr>
        <w:t>资格文件</w:t>
      </w:r>
      <w:r>
        <w:rPr>
          <w:rFonts w:hint="eastAsia" w:ascii="宋体" w:hAnsi="宋体" w:cs="宋体"/>
          <w:color w:val="000000" w:themeColor="text1"/>
          <w:sz w:val="24"/>
          <w:highlight w:val="none"/>
          <w14:textFill>
            <w14:solidFill>
              <w14:schemeClr w14:val="tx1"/>
            </w14:solidFill>
          </w14:textFill>
        </w:rPr>
        <w:t>：</w:t>
      </w:r>
    </w:p>
    <w:p w14:paraId="10BF48A7">
      <w:pPr>
        <w:snapToGrid w:val="0"/>
        <w:spacing w:line="360" w:lineRule="auto"/>
        <w:ind w:left="479" w:leftChars="228"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11.1.1</w:t>
      </w:r>
      <w:r>
        <w:rPr>
          <w:rFonts w:hint="eastAsia" w:ascii="宋体" w:hAnsi="宋体" w:eastAsia="宋体" w:cs="宋体"/>
          <w:color w:val="000000" w:themeColor="text1"/>
          <w:sz w:val="24"/>
          <w:highlight w:val="none"/>
          <w14:textFill>
            <w14:solidFill>
              <w14:schemeClr w14:val="tx1"/>
            </w14:solidFill>
          </w14:textFill>
        </w:rPr>
        <w:t>营业执照等证明材料</w:t>
      </w:r>
      <w:r>
        <w:rPr>
          <w:rFonts w:hint="eastAsia" w:ascii="宋体" w:hAnsi="宋体" w:cs="宋体"/>
          <w:color w:val="000000" w:themeColor="text1"/>
          <w:sz w:val="24"/>
          <w:highlight w:val="none"/>
          <w14:textFill>
            <w14:solidFill>
              <w14:schemeClr w14:val="tx1"/>
            </w14:solidFill>
          </w14:textFill>
        </w:rPr>
        <w:t>；</w:t>
      </w:r>
    </w:p>
    <w:p w14:paraId="03BA5787">
      <w:pPr>
        <w:snapToGrid w:val="0"/>
        <w:spacing w:line="360" w:lineRule="auto"/>
        <w:ind w:firstLine="960" w:firstLineChars="4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注：法人或者其他组织投标的须提供营业执照（或事业法人登记证或其他登记证明材料）扫描件，自然人投标的提供身份证明扫描件</w:t>
      </w:r>
      <w:r>
        <w:rPr>
          <w:rFonts w:hint="eastAsia" w:ascii="宋体" w:hAnsi="宋体" w:eastAsia="宋体" w:cs="宋体"/>
          <w:color w:val="000000" w:themeColor="text1"/>
          <w:sz w:val="24"/>
          <w:highlight w:val="none"/>
          <w:lang w:eastAsia="zh-CN"/>
          <w14:textFill>
            <w14:solidFill>
              <w14:schemeClr w14:val="tx1"/>
            </w14:solidFill>
          </w14:textFill>
        </w:rPr>
        <w:t>。</w:t>
      </w:r>
    </w:p>
    <w:p w14:paraId="307E3209">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11.1.2符合参加政府采购活动应当具备的一般条件的承诺函；</w:t>
      </w:r>
    </w:p>
    <w:p w14:paraId="06AB78C9">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ascii="宋体" w:hAnsi="宋体" w:cs="宋体"/>
          <w:color w:val="000000" w:themeColor="text1"/>
          <w:sz w:val="24"/>
          <w:highlight w:val="none"/>
          <w14:textFill>
            <w14:solidFill>
              <w14:schemeClr w14:val="tx1"/>
            </w14:solidFill>
          </w14:textFill>
        </w:rPr>
        <w:t>1.1.</w:t>
      </w:r>
      <w:bookmarkStart w:id="38" w:name="_Hlk101259339"/>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14:textFill>
            <w14:solidFill>
              <w14:schemeClr w14:val="tx1"/>
            </w14:solidFill>
          </w14:textFill>
        </w:rPr>
        <w:t>联合协议</w:t>
      </w:r>
      <w:bookmarkEnd w:id="38"/>
      <w:r>
        <w:rPr>
          <w:rFonts w:hint="eastAsia" w:ascii="宋体" w:hAnsi="宋体" w:cs="宋体"/>
          <w:snapToGrid w:val="0"/>
          <w:color w:val="000000" w:themeColor="text1"/>
          <w:kern w:val="28"/>
          <w:sz w:val="24"/>
          <w:szCs w:val="20"/>
          <w:highlight w:val="none"/>
          <w14:textFill>
            <w14:solidFill>
              <w14:schemeClr w14:val="tx1"/>
            </w14:solidFill>
          </w14:textFill>
        </w:rPr>
        <w:t>（如适用)；</w:t>
      </w:r>
    </w:p>
    <w:p w14:paraId="0DCB3618">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11.1.4落实政府采购政策需满足的资格要求</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无。</w:t>
      </w:r>
    </w:p>
    <w:p w14:paraId="36308527">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11.1.5本项目的特定资</w:t>
      </w:r>
      <w:r>
        <w:rPr>
          <w:rFonts w:hint="eastAsia" w:ascii="宋体" w:hAnsi="宋体" w:eastAsia="宋体" w:cs="宋体"/>
          <w:color w:val="000000" w:themeColor="text1"/>
          <w:sz w:val="24"/>
          <w:highlight w:val="none"/>
          <w14:textFill>
            <w14:solidFill>
              <w14:schemeClr w14:val="tx1"/>
            </w14:solidFill>
          </w14:textFill>
        </w:rPr>
        <w:t>格要求</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无。</w:t>
      </w:r>
    </w:p>
    <w:p w14:paraId="5EA67A89">
      <w:pPr>
        <w:pStyle w:val="2"/>
        <w:rPr>
          <w:rFonts w:ascii="宋体" w:hAnsi="宋体" w:cs="宋体"/>
          <w:b/>
          <w:bCs/>
          <w:color w:val="000000" w:themeColor="text1"/>
          <w:sz w:val="24"/>
          <w:highlight w:val="none"/>
          <w:lang w:val="zh-CN"/>
          <w14:textFill>
            <w14:solidFill>
              <w14:schemeClr w14:val="tx1"/>
            </w14:solidFill>
          </w14:textFill>
        </w:rPr>
      </w:pPr>
      <w:r>
        <w:rPr>
          <w:rFonts w:hint="eastAsia" w:hAnsi="宋体" w:cs="宋体"/>
          <w:color w:val="000000" w:themeColor="text1"/>
          <w:highlight w:val="none"/>
          <w:lang w:val="en-US"/>
          <w14:textFill>
            <w14:solidFill>
              <w14:schemeClr w14:val="tx1"/>
            </w14:solidFill>
          </w14:textFill>
        </w:rPr>
        <w:t xml:space="preserve">        11.1.6</w:t>
      </w:r>
      <w:r>
        <w:rPr>
          <w:rFonts w:hint="eastAsia" w:hAnsi="宋体"/>
          <w:color w:val="000000" w:themeColor="text1"/>
          <w:kern w:val="0"/>
          <w:highlight w:val="none"/>
          <w14:textFill>
            <w14:solidFill>
              <w14:schemeClr w14:val="tx1"/>
            </w14:solidFill>
          </w14:textFill>
        </w:rPr>
        <w:t>业务专用章使用说明函（如适用）。</w:t>
      </w:r>
    </w:p>
    <w:p w14:paraId="4CF36F4D">
      <w:pPr>
        <w:snapToGrid w:val="0"/>
        <w:spacing w:line="360" w:lineRule="auto"/>
        <w:ind w:firstLine="482" w:firstLineChars="200"/>
        <w:rPr>
          <w:rFonts w:ascii="宋体" w:hAnsi="宋体" w:cs="宋体"/>
          <w:b/>
          <w:bCs/>
          <w:color w:val="000000" w:themeColor="text1"/>
          <w:sz w:val="24"/>
          <w:highlight w:val="none"/>
          <w:lang w:val="zh-CN"/>
          <w14:textFill>
            <w14:solidFill>
              <w14:schemeClr w14:val="tx1"/>
            </w14:solidFill>
          </w14:textFill>
        </w:rPr>
      </w:pPr>
      <w:r>
        <w:rPr>
          <w:rFonts w:hint="eastAsia" w:ascii="宋体" w:hAnsi="宋体" w:cs="宋体"/>
          <w:b/>
          <w:bCs/>
          <w:color w:val="000000" w:themeColor="text1"/>
          <w:sz w:val="24"/>
          <w:highlight w:val="none"/>
          <w:lang w:val="zh-CN"/>
          <w14:textFill>
            <w14:solidFill>
              <w14:schemeClr w14:val="tx1"/>
            </w14:solidFill>
          </w14:textFill>
        </w:rPr>
        <w:t>11.</w:t>
      </w:r>
      <w:r>
        <w:rPr>
          <w:rFonts w:hint="eastAsia" w:ascii="宋体" w:hAnsi="宋体" w:cs="宋体"/>
          <w:b/>
          <w:bCs/>
          <w:color w:val="000000" w:themeColor="text1"/>
          <w:sz w:val="24"/>
          <w:highlight w:val="none"/>
          <w14:textFill>
            <w14:solidFill>
              <w14:schemeClr w14:val="tx1"/>
            </w14:solidFill>
          </w14:textFill>
        </w:rPr>
        <w:t>2</w:t>
      </w:r>
      <w:r>
        <w:rPr>
          <w:rFonts w:hint="eastAsia" w:ascii="宋体" w:hAnsi="宋体" w:cs="宋体"/>
          <w:b/>
          <w:bCs/>
          <w:color w:val="000000" w:themeColor="text1"/>
          <w:sz w:val="24"/>
          <w:highlight w:val="none"/>
          <w:lang w:val="zh-CN"/>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商务技术</w:t>
      </w:r>
      <w:r>
        <w:rPr>
          <w:rFonts w:hint="eastAsia" w:ascii="宋体" w:hAnsi="宋体" w:cs="宋体"/>
          <w:b/>
          <w:bCs/>
          <w:color w:val="000000" w:themeColor="text1"/>
          <w:sz w:val="24"/>
          <w:highlight w:val="none"/>
          <w:lang w:val="zh-CN"/>
          <w14:textFill>
            <w14:solidFill>
              <w14:schemeClr w14:val="tx1"/>
            </w14:solidFill>
          </w14:textFill>
        </w:rPr>
        <w:t>文件：</w:t>
      </w:r>
    </w:p>
    <w:p w14:paraId="4606CD73">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11.2.1投标函</w:t>
      </w:r>
    </w:p>
    <w:p w14:paraId="18BA569B">
      <w:pPr>
        <w:snapToGrid w:val="0"/>
        <w:spacing w:line="360" w:lineRule="auto"/>
        <w:ind w:left="958" w:leftChars="456"/>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11.2.2授权委托书或法定代表人（单位负责人、自然人本人）身份证明</w:t>
      </w:r>
      <w:r>
        <w:rPr>
          <w:rFonts w:hint="eastAsia" w:ascii="宋体" w:hAnsi="宋体" w:cs="宋体"/>
          <w:color w:val="000000" w:themeColor="text1"/>
          <w:highlight w:val="none"/>
          <w14:textFill>
            <w14:solidFill>
              <w14:schemeClr w14:val="tx1"/>
            </w14:solidFill>
          </w14:textFill>
        </w:rPr>
        <w:t>；</w:t>
      </w:r>
    </w:p>
    <w:p w14:paraId="21BBF2FD">
      <w:pPr>
        <w:snapToGrid w:val="0"/>
        <w:spacing w:line="360" w:lineRule="auto"/>
        <w:ind w:left="958" w:leftChars="45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11.2.3分包意向协议</w:t>
      </w:r>
      <w:r>
        <w:rPr>
          <w:rFonts w:hint="eastAsia" w:ascii="宋体" w:hAnsi="宋体" w:cs="宋体"/>
          <w:snapToGrid w:val="0"/>
          <w:color w:val="000000" w:themeColor="text1"/>
          <w:kern w:val="28"/>
          <w:sz w:val="24"/>
          <w:szCs w:val="20"/>
          <w:highlight w:val="none"/>
          <w14:textFill>
            <w14:solidFill>
              <w14:schemeClr w14:val="tx1"/>
            </w14:solidFill>
          </w14:textFill>
        </w:rPr>
        <w:t>（</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如</w:t>
      </w:r>
      <w:r>
        <w:rPr>
          <w:rFonts w:hint="eastAsia" w:ascii="宋体" w:hAnsi="宋体" w:cs="宋体"/>
          <w:snapToGrid w:val="0"/>
          <w:color w:val="000000" w:themeColor="text1"/>
          <w:kern w:val="28"/>
          <w:sz w:val="24"/>
          <w:szCs w:val="20"/>
          <w:highlight w:val="none"/>
          <w14:textFill>
            <w14:solidFill>
              <w14:schemeClr w14:val="tx1"/>
            </w14:solidFill>
          </w14:textFill>
        </w:rPr>
        <w:t>适用)</w:t>
      </w:r>
    </w:p>
    <w:p w14:paraId="24A50224">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11.2.4符合性审查资料</w:t>
      </w:r>
    </w:p>
    <w:p w14:paraId="33164A6D">
      <w:pPr>
        <w:snapToGrid w:val="0"/>
        <w:spacing w:line="360" w:lineRule="auto"/>
        <w:ind w:firstLine="960" w:firstLineChars="4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hint="eastAsia" w:ascii="宋体" w:hAnsi="宋体" w:cs="宋体"/>
          <w:color w:val="000000" w:themeColor="text1"/>
          <w:sz w:val="24"/>
          <w:highlight w:val="none"/>
          <w:lang w:val="zh-CN"/>
          <w14:textFill>
            <w14:solidFill>
              <w14:schemeClr w14:val="tx1"/>
            </w14:solidFill>
          </w14:textFill>
        </w:rPr>
        <w:t>.5政府采购供应商廉洁自律承诺书</w:t>
      </w:r>
    </w:p>
    <w:p w14:paraId="30142B4F">
      <w:pPr>
        <w:snapToGrid w:val="0"/>
        <w:spacing w:line="360" w:lineRule="auto"/>
        <w:ind w:firstLine="960" w:firstLineChars="4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11.2.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lang w:val="zh-CN"/>
          <w14:textFill>
            <w14:solidFill>
              <w14:schemeClr w14:val="tx1"/>
            </w14:solidFill>
          </w14:textFill>
        </w:rPr>
        <w:t>商务技术偏离表</w:t>
      </w:r>
    </w:p>
    <w:p w14:paraId="724017A2">
      <w:pPr>
        <w:snapToGrid w:val="0"/>
        <w:spacing w:line="360" w:lineRule="auto"/>
        <w:ind w:firstLine="960" w:firstLineChars="4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11.2.</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lang w:val="zh-CN"/>
          <w14:textFill>
            <w14:solidFill>
              <w14:schemeClr w14:val="tx1"/>
            </w14:solidFill>
          </w14:textFill>
        </w:rPr>
        <w:t>评</w:t>
      </w:r>
      <w:r>
        <w:rPr>
          <w:rFonts w:hint="eastAsia" w:ascii="宋体" w:hAnsi="宋体" w:cs="宋体"/>
          <w:color w:val="000000" w:themeColor="text1"/>
          <w:sz w:val="24"/>
          <w:highlight w:val="none"/>
          <w:lang w:val="en-US"/>
          <w14:textFill>
            <w14:solidFill>
              <w14:schemeClr w14:val="tx1"/>
            </w14:solidFill>
          </w14:textFill>
        </w:rPr>
        <w:t>标标准相应的商务技术资料；</w:t>
      </w:r>
    </w:p>
    <w:p w14:paraId="4FC90E9D">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（11.2.</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-1）</w:t>
      </w:r>
      <w:r>
        <w:rPr>
          <w:rFonts w:hint="eastAsia" w:ascii="宋体" w:hAnsi="宋体" w:eastAsia="宋体" w:cs="宋体"/>
          <w:color w:val="000000" w:themeColor="text1"/>
          <w:sz w:val="24"/>
          <w:highlight w:val="none"/>
          <w:lang w:val="en-US"/>
          <w14:textFill>
            <w14:solidFill>
              <w14:schemeClr w14:val="tx1"/>
            </w14:solidFill>
          </w14:textFill>
        </w:rPr>
        <w:t>项目需求及现状分析</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050AE88D">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（11.2.</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-2）重点难点分析</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122965EA">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（11.2.</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-3）重点难点</w:t>
      </w:r>
      <w:r>
        <w:rPr>
          <w:rFonts w:hint="eastAsia" w:ascii="宋体" w:hAnsi="宋体" w:eastAsia="宋体" w:cs="宋体"/>
          <w:color w:val="000000" w:themeColor="text1"/>
          <w:sz w:val="24"/>
          <w:highlight w:val="none"/>
          <w:lang w:val="en-US" w:eastAsia="zh-CN"/>
          <w14:textFill>
            <w14:solidFill>
              <w14:schemeClr w14:val="tx1"/>
            </w14:solidFill>
          </w14:textFill>
        </w:rPr>
        <w:t>解决方案；</w:t>
      </w:r>
    </w:p>
    <w:p w14:paraId="6C78DC97">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（11.2.</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项目实施</w:t>
      </w:r>
      <w:r>
        <w:rPr>
          <w:rFonts w:hint="eastAsia" w:ascii="宋体" w:hAnsi="宋体" w:eastAsia="宋体" w:cs="宋体"/>
          <w:color w:val="000000" w:themeColor="text1"/>
          <w:sz w:val="24"/>
          <w:highlight w:val="none"/>
          <w:lang w:val="zh-CN" w:eastAsia="zh-CN"/>
          <w14:textFill>
            <w14:solidFill>
              <w14:schemeClr w14:val="tx1"/>
            </w14:solidFill>
          </w14:textFill>
        </w:rPr>
        <w:t>方案</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21625DE1">
      <w:pPr>
        <w:snapToGrid w:val="0"/>
        <w:spacing w:line="360" w:lineRule="auto"/>
        <w:ind w:firstLine="960" w:firstLineChars="400"/>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（11.2.</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lang w:val="zh-CN" w:eastAsia="zh-CN"/>
          <w14:textFill>
            <w14:solidFill>
              <w14:schemeClr w14:val="tx1"/>
            </w14:solidFill>
          </w14:textFill>
        </w:rPr>
        <w:t>）拟派实施团队</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4EEC847F">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（11.2.</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质量保证措施</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2B9A21A5">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（11.2.</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）验收方案</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5FD00195">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（11.2.</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保密方案</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40B5A0E9">
      <w:pPr>
        <w:snapToGrid w:val="0"/>
        <w:spacing w:line="360" w:lineRule="auto"/>
        <w:ind w:firstLine="960" w:firstLineChars="400"/>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（11.2.</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文档管理方案；</w:t>
      </w:r>
    </w:p>
    <w:p w14:paraId="43A0AB2B">
      <w:pPr>
        <w:snapToGrid w:val="0"/>
        <w:spacing w:line="360" w:lineRule="auto"/>
        <w:ind w:firstLine="960" w:firstLineChars="400"/>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（11.2.</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技术支持方案</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062231C1">
      <w:pPr>
        <w:snapToGrid w:val="0"/>
        <w:spacing w:line="360" w:lineRule="auto"/>
        <w:ind w:firstLine="482" w:firstLineChars="200"/>
        <w:rPr>
          <w:rFonts w:ascii="宋体" w:hAnsi="宋体" w:cs="宋体"/>
          <w:color w:val="000000" w:themeColor="text1"/>
          <w:sz w:val="24"/>
          <w:highlight w:val="none"/>
          <w:u w:val="single"/>
          <w:lang w:val="zh-CN"/>
          <w14:textFill>
            <w14:solidFill>
              <w14:schemeClr w14:val="tx1"/>
            </w14:solidFill>
          </w14:textFill>
        </w:rPr>
      </w:pPr>
      <w:r>
        <w:rPr>
          <w:rFonts w:hint="eastAsia" w:ascii="宋体" w:hAnsi="宋体" w:cs="宋体"/>
          <w:b/>
          <w:bCs/>
          <w:color w:val="000000" w:themeColor="text1"/>
          <w:kern w:val="0"/>
          <w:sz w:val="24"/>
          <w:highlight w:val="none"/>
          <w:lang w:val="zh-CN"/>
          <w14:textFill>
            <w14:solidFill>
              <w14:schemeClr w14:val="tx1"/>
            </w14:solidFill>
          </w14:textFill>
        </w:rPr>
        <w:t>11.</w:t>
      </w:r>
      <w:r>
        <w:rPr>
          <w:rFonts w:hint="eastAsia" w:ascii="宋体" w:hAnsi="宋体" w:cs="宋体"/>
          <w:b/>
          <w:bCs/>
          <w:color w:val="000000" w:themeColor="text1"/>
          <w:kern w:val="0"/>
          <w:sz w:val="24"/>
          <w:highlight w:val="none"/>
          <w14:textFill>
            <w14:solidFill>
              <w14:schemeClr w14:val="tx1"/>
            </w14:solidFill>
          </w14:textFill>
        </w:rPr>
        <w:t>3</w:t>
      </w:r>
      <w:r>
        <w:rPr>
          <w:rFonts w:hint="eastAsia" w:ascii="宋体" w:hAnsi="宋体" w:cs="宋体"/>
          <w:b/>
          <w:color w:val="000000" w:themeColor="text1"/>
          <w:sz w:val="24"/>
          <w:highlight w:val="none"/>
          <w14:textFill>
            <w14:solidFill>
              <w14:schemeClr w14:val="tx1"/>
            </w14:solidFill>
          </w14:textFill>
        </w:rPr>
        <w:t>报价文件：</w:t>
      </w:r>
      <w:r>
        <w:rPr>
          <w:rFonts w:hint="eastAsia" w:ascii="宋体" w:hAnsi="宋体" w:cs="宋体"/>
          <w:color w:val="000000" w:themeColor="text1"/>
          <w:sz w:val="24"/>
          <w:highlight w:val="none"/>
          <w14:textFill>
            <w14:solidFill>
              <w14:schemeClr w14:val="tx1"/>
            </w14:solidFill>
          </w14:textFill>
        </w:rPr>
        <w:t xml:space="preserve"> </w:t>
      </w:r>
    </w:p>
    <w:p w14:paraId="00085D01">
      <w:pPr>
        <w:snapToGrid w:val="0"/>
        <w:spacing w:line="360" w:lineRule="auto"/>
        <w:ind w:firstLine="720" w:firstLineChars="3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11.3.1开标一览表；</w:t>
      </w:r>
    </w:p>
    <w:p w14:paraId="728B0E43">
      <w:pPr>
        <w:snapToGrid w:val="0"/>
        <w:spacing w:line="360" w:lineRule="auto"/>
        <w:ind w:firstLine="720" w:firstLineChars="300"/>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11.3.2投标报价明细表</w:t>
      </w:r>
      <w:r>
        <w:rPr>
          <w:rFonts w:hint="eastAsia" w:ascii="宋体" w:hAnsi="宋体" w:cs="宋体"/>
          <w:color w:val="000000" w:themeColor="text1"/>
          <w:sz w:val="24"/>
          <w:highlight w:val="none"/>
          <w:lang w:eastAsia="zh-CN"/>
          <w14:textFill>
            <w14:solidFill>
              <w14:schemeClr w14:val="tx1"/>
            </w14:solidFill>
          </w14:textFill>
        </w:rPr>
        <w:t>；</w:t>
      </w:r>
    </w:p>
    <w:p w14:paraId="5419A858">
      <w:pPr>
        <w:snapToGrid w:val="0"/>
        <w:spacing w:line="360" w:lineRule="auto"/>
        <w:ind w:firstLine="720" w:firstLineChars="300"/>
        <w:rPr>
          <w:rFonts w:hint="eastAsia" w:ascii="宋体" w:hAnsi="宋体" w:cs="宋体"/>
          <w:color w:val="000000" w:themeColor="text1"/>
          <w:sz w:val="24"/>
          <w:highlight w:val="none"/>
          <w:lang w:val="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en-US"/>
          <w14:textFill>
            <w14:solidFill>
              <w14:schemeClr w14:val="tx1"/>
            </w14:solidFill>
          </w14:textFill>
        </w:rPr>
        <w:t>中小企业声明函（如有）；</w:t>
      </w:r>
    </w:p>
    <w:p w14:paraId="3BB6F81D">
      <w:pPr>
        <w:snapToGrid w:val="0"/>
        <w:spacing w:line="360" w:lineRule="auto"/>
        <w:ind w:firstLine="720" w:firstLineChars="300"/>
        <w:rPr>
          <w:rFonts w:hint="eastAsia" w:ascii="宋体" w:hAnsi="宋体" w:cs="宋体"/>
          <w:color w:val="000000" w:themeColor="text1"/>
          <w:sz w:val="24"/>
          <w:highlight w:val="none"/>
          <w:lang w:val="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lang w:val="en-US"/>
          <w14:textFill>
            <w14:solidFill>
              <w14:schemeClr w14:val="tx1"/>
            </w14:solidFill>
          </w14:textFill>
        </w:rPr>
        <w:t>残疾人福利性单位声明函(如有）；</w:t>
      </w:r>
    </w:p>
    <w:p w14:paraId="1673CE43">
      <w:pPr>
        <w:snapToGrid w:val="0"/>
        <w:spacing w:line="360" w:lineRule="auto"/>
        <w:ind w:firstLine="720" w:firstLineChars="3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lang w:val="en-US"/>
          <w14:textFill>
            <w14:solidFill>
              <w14:schemeClr w14:val="tx1"/>
            </w14:solidFill>
          </w14:textFill>
        </w:rPr>
        <w:t>由省级以上监狱管理局、戒毒管理局（含新疆生产建设兵团）出具的属于监狱企业的证明文件（如有）</w:t>
      </w:r>
      <w:r>
        <w:rPr>
          <w:rFonts w:hint="eastAsia" w:ascii="宋体" w:hAnsi="宋体" w:cs="宋体"/>
          <w:color w:val="000000" w:themeColor="text1"/>
          <w:sz w:val="24"/>
          <w:highlight w:val="none"/>
          <w:lang w:val="en-US" w:eastAsia="zh-CN"/>
          <w14:textFill>
            <w14:solidFill>
              <w14:schemeClr w14:val="tx1"/>
            </w14:solidFill>
          </w14:textFill>
        </w:rPr>
        <w:t>；</w:t>
      </w:r>
    </w:p>
    <w:p w14:paraId="3C838761">
      <w:pPr>
        <w:spacing w:line="360" w:lineRule="auto"/>
        <w:ind w:firstLine="723" w:firstLineChars="3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投标文件含有采购人不能接受的附加条件的，投标无效；</w:t>
      </w:r>
    </w:p>
    <w:p w14:paraId="24AED868">
      <w:pPr>
        <w:spacing w:line="360" w:lineRule="auto"/>
        <w:ind w:firstLine="723" w:firstLineChars="3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投标人提供虚假材料投标的，投标无效。</w:t>
      </w:r>
    </w:p>
    <w:p w14:paraId="20DB5722">
      <w:pPr>
        <w:spacing w:line="360" w:lineRule="auto"/>
        <w:ind w:firstLine="723" w:firstLineChars="300"/>
        <w:rPr>
          <w:rFonts w:ascii="宋体" w:hAnsi="宋体" w:cs="宋体"/>
          <w:b/>
          <w:color w:val="000000" w:themeColor="text1"/>
          <w:sz w:val="24"/>
          <w:szCs w:val="21"/>
          <w:highlight w:val="none"/>
          <w14:textFill>
            <w14:solidFill>
              <w14:schemeClr w14:val="tx1"/>
            </w14:solidFill>
          </w14:textFill>
        </w:rPr>
      </w:pPr>
      <w:r>
        <w:rPr>
          <w:rFonts w:hint="eastAsia"/>
          <w:b/>
          <w:color w:val="000000" w:themeColor="text1"/>
          <w:sz w:val="24"/>
          <w:highlight w:val="none"/>
          <w:shd w:val="clear" w:color="auto" w:fill="FFFFFF"/>
          <w14:textFill>
            <w14:solidFill>
              <w14:schemeClr w14:val="tx1"/>
            </w14:solidFill>
          </w14:textFill>
        </w:rPr>
        <w:t>投标人应对投标文件中材料的真实性、合法性负责。投标人可事先在公开官网查询、核对相关证书和报告内容，确保投标文件资料准确无误。</w:t>
      </w:r>
    </w:p>
    <w:p w14:paraId="1315032F">
      <w:pPr>
        <w:snapToGrid w:val="0"/>
        <w:spacing w:line="360" w:lineRule="auto"/>
        <w:rPr>
          <w:rFonts w:ascii="宋体" w:hAnsi="宋体" w:cs="宋体"/>
          <w:b/>
          <w:color w:val="000000" w:themeColor="text1"/>
          <w:sz w:val="24"/>
          <w:highlight w:val="none"/>
          <w14:textFill>
            <w14:solidFill>
              <w14:schemeClr w14:val="tx1"/>
            </w14:solidFill>
          </w14:textFill>
        </w:rPr>
      </w:pPr>
      <w:bookmarkStart w:id="39" w:name="_Toc14413"/>
      <w:r>
        <w:rPr>
          <w:rFonts w:hint="eastAsia" w:ascii="宋体" w:hAnsi="宋体" w:cs="宋体"/>
          <w:b/>
          <w:color w:val="000000" w:themeColor="text1"/>
          <w:sz w:val="24"/>
          <w:highlight w:val="none"/>
          <w14:textFill>
            <w14:solidFill>
              <w14:schemeClr w14:val="tx1"/>
            </w14:solidFill>
          </w14:textFill>
        </w:rPr>
        <w:t>12</w:t>
      </w:r>
      <w:r>
        <w:rPr>
          <w:rFonts w:hint="eastAsia" w:ascii="宋体" w:hAnsi="宋体" w:cs="宋体"/>
          <w:b/>
          <w:color w:val="000000" w:themeColor="text1"/>
          <w:sz w:val="24"/>
          <w:highlight w:val="none"/>
          <w:lang w:val="zh-CN"/>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投标文件的编制</w:t>
      </w:r>
      <w:bookmarkEnd w:id="39"/>
    </w:p>
    <w:p w14:paraId="28A5C055">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632CBDE8">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12.2投标人进行电子投标应安装客户端软件—“政采云电子交易客户端”，并按照招标文件和电子交易平台的要求编制并加密投标文件。投标人未按规定加密的投标文件，电子交易平台将拒收并提示。</w:t>
      </w:r>
    </w:p>
    <w:p w14:paraId="334FDFD7">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12.3使用“政采云电子交易客户端”需要提前申领CA数字证书，申领流程请自行前往“浙江政府采购网-下载专区-电子交易客户端-CA驱动和申领流程”进行查阅。</w:t>
      </w:r>
    </w:p>
    <w:p w14:paraId="3BB9F236">
      <w:pPr>
        <w:snapToGrid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13.投标文件的签署、盖章</w:t>
      </w:r>
    </w:p>
    <w:p w14:paraId="4C616B4B">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13.1投标文件按照招标文件第六部分格式要</w:t>
      </w:r>
      <w:r>
        <w:rPr>
          <w:rFonts w:hint="eastAsia" w:ascii="宋体" w:hAnsi="宋体" w:cs="宋体"/>
          <w:color w:val="000000" w:themeColor="text1"/>
          <w:highlight w:val="none"/>
          <w14:textFill>
            <w14:solidFill>
              <w14:schemeClr w14:val="tx1"/>
            </w14:solidFill>
          </w14:textFill>
        </w:rPr>
        <w:t>求进行签署、盖章。</w:t>
      </w:r>
    </w:p>
    <w:p w14:paraId="14CAE303">
      <w:pPr>
        <w:pStyle w:val="133"/>
        <w:snapToGrid w:val="0"/>
        <w:spacing w:before="0"/>
        <w:ind w:firstLine="480"/>
        <w:rPr>
          <w:rFonts w:ascii="宋体" w:hAnsi="宋体" w:cs="宋体"/>
          <w:b/>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
          <w:color w:val="000000" w:themeColor="text1"/>
          <w:highlight w:val="none"/>
          <w14:textFill>
            <w14:solidFill>
              <w14:schemeClr w14:val="tx1"/>
            </w14:solidFill>
          </w14:textFill>
        </w:rPr>
        <w:t>投标人的投标文件未按照招标文件要求签署、盖章的，其投标无效</w:t>
      </w:r>
      <w:r>
        <w:rPr>
          <w:rFonts w:hint="eastAsia" w:ascii="宋体" w:hAnsi="宋体" w:cs="宋体"/>
          <w:color w:val="000000" w:themeColor="text1"/>
          <w:szCs w:val="24"/>
          <w:highlight w:val="none"/>
          <w14:textFill>
            <w14:solidFill>
              <w14:schemeClr w14:val="tx1"/>
            </w14:solidFill>
          </w14:textFill>
        </w:rPr>
        <w:t>。</w:t>
      </w:r>
    </w:p>
    <w:p w14:paraId="4EA8FEE3">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13.2为确保网上操作合法、有效和安全，投标人应当在投标截止时间前完成在“政府采购云平台”的身份认证，确保在电子投标过程中能够对相关数据电文进行加密和使用电子签章。</w:t>
      </w:r>
    </w:p>
    <w:p w14:paraId="14B73292">
      <w:pPr>
        <w:pStyle w:val="133"/>
        <w:snapToGrid w:val="0"/>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13.3招标文件对投标文件签署、盖章的要求适用于电子签章。</w:t>
      </w:r>
    </w:p>
    <w:p w14:paraId="1450312F">
      <w:pPr>
        <w:pStyle w:val="133"/>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14. 投标文件的提交、补充、修改、撤回</w:t>
      </w:r>
    </w:p>
    <w:p w14:paraId="2BF9DA29">
      <w:pPr>
        <w:pStyle w:val="133"/>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8A86F06">
      <w:pPr>
        <w:pStyle w:val="133"/>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14.2电子交易平台收到投标文件，将妥善保存并即时向供应商发出确认回执通知。在投标截止时间前，除供应商补充、修改或者撤回投标文件外，任何单位和个人不得解密或提取投标文件。</w:t>
      </w:r>
    </w:p>
    <w:p w14:paraId="047E5F9B">
      <w:pPr>
        <w:pStyle w:val="133"/>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14.3采购人、采购代理机构可以视情况延长投标文件提交的截止时间。在上述情况下，采购代理机构与投标人以前在投标截止期方面的全部权利、责任和义务，将适用于延长至新的投标截止期。</w:t>
      </w:r>
    </w:p>
    <w:p w14:paraId="7C868DD8">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15.备份投标文件</w:t>
      </w:r>
    </w:p>
    <w:p w14:paraId="6ACF6B2F">
      <w:pPr>
        <w:pStyle w:val="32"/>
        <w:spacing w:line="360" w:lineRule="auto"/>
        <w:ind w:firstLine="360" w:firstLineChars="150"/>
        <w:rPr>
          <w:rFonts w:hAnsi="宋体" w:cs="宋体"/>
          <w:b/>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15.1投标人在电子交易平台传输递交投标文件后，还可以在投标截止时间前直接提交或者以邮寄方式递交备份投标文件1份，</w:t>
      </w:r>
      <w:r>
        <w:rPr>
          <w:rFonts w:hint="eastAsia" w:hAnsi="宋体" w:cs="宋体"/>
          <w:b/>
          <w:color w:val="000000" w:themeColor="text1"/>
          <w:sz w:val="24"/>
          <w:szCs w:val="24"/>
          <w:highlight w:val="none"/>
          <w14:textFill>
            <w14:solidFill>
              <w14:schemeClr w14:val="tx1"/>
            </w14:solidFill>
          </w14:textFill>
        </w:rPr>
        <w:t>但采购人、采购代理机构不强制投标人提交备份投标文件。</w:t>
      </w:r>
    </w:p>
    <w:p w14:paraId="3D82E5CD">
      <w:pPr>
        <w:pStyle w:val="32"/>
        <w:spacing w:line="360" w:lineRule="auto"/>
        <w:ind w:firstLine="480" w:firstLineChars="200"/>
        <w:rPr>
          <w:rFonts w:hAnsi="宋体" w:cs="宋体"/>
          <w:b/>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15.2备份投标文件须在“政采云投标客户端”制作生成，并储存在</w:t>
      </w:r>
      <w:r>
        <w:rPr>
          <w:rFonts w:hint="eastAsia" w:hAnsi="宋体" w:cs="宋体"/>
          <w:color w:val="000000" w:themeColor="text1"/>
          <w:kern w:val="28"/>
          <w:sz w:val="24"/>
          <w:highlight w:val="none"/>
          <w14:textFill>
            <w14:solidFill>
              <w14:schemeClr w14:val="tx1"/>
            </w14:solidFill>
          </w14:textFill>
        </w:rPr>
        <w:t>U盘存储</w:t>
      </w:r>
      <w:r>
        <w:rPr>
          <w:rFonts w:hint="eastAsia" w:hAnsi="宋体" w:cs="宋体"/>
          <w:color w:val="000000" w:themeColor="text1"/>
          <w:sz w:val="24"/>
          <w:highlight w:val="none"/>
          <w14:textFill>
            <w14:solidFill>
              <w14:schemeClr w14:val="tx1"/>
            </w14:solidFill>
          </w14:textFill>
        </w:rPr>
        <w:t>介质</w:t>
      </w:r>
      <w:r>
        <w:rPr>
          <w:rFonts w:hint="eastAsia" w:hAnsi="宋体" w:cs="宋体"/>
          <w:color w:val="000000" w:themeColor="text1"/>
          <w:sz w:val="24"/>
          <w:szCs w:val="24"/>
          <w:highlight w:val="none"/>
          <w14:textFill>
            <w14:solidFill>
              <w14:schemeClr w14:val="tx1"/>
            </w14:solidFill>
          </w14:textFill>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000000" w:themeColor="text1"/>
          <w:sz w:val="24"/>
          <w:highlight w:val="none"/>
          <w14:textFill>
            <w14:solidFill>
              <w14:schemeClr w14:val="tx1"/>
            </w14:solidFill>
          </w14:textFill>
        </w:rPr>
        <w:t>不符合上述制作、</w:t>
      </w:r>
      <w:r>
        <w:rPr>
          <w:rFonts w:hint="eastAsia" w:hAnsi="宋体" w:cs="宋体"/>
          <w:b/>
          <w:color w:val="000000" w:themeColor="text1"/>
          <w:sz w:val="24"/>
          <w:szCs w:val="24"/>
          <w:highlight w:val="none"/>
          <w14:textFill>
            <w14:solidFill>
              <w14:schemeClr w14:val="tx1"/>
            </w14:solidFill>
          </w14:textFill>
        </w:rPr>
        <w:t>存储、密封规定的备份投标文件将被视为无效或者被拒绝接收。</w:t>
      </w:r>
    </w:p>
    <w:p w14:paraId="41C43AA1">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15.3直接提交备份投标文件的，投标人应于投标截止时间前在招标文件第二部分投标人须知前附表载明地点将备份投标文件提交给采购代理机构，采购代理机构将拒绝接受逾期送达的备份投标文件。</w:t>
      </w:r>
    </w:p>
    <w:p w14:paraId="49042D85">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15.4以邮寄方式递交备份投标文件的，投标人应先将备份投标文件按要求密封和标记，再进行邮件外包装后邮寄。备份投标文件须在招标文件第二部分投标人须知前附表规定截止时间之前送达到规定的地点</w:t>
      </w:r>
      <w:r>
        <w:rPr>
          <w:rFonts w:hint="eastAsia" w:hAnsi="宋体" w:cs="宋体"/>
          <w:snapToGrid/>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14:textFill>
            <w14:solidFill>
              <w14:schemeClr w14:val="tx1"/>
            </w14:solidFill>
          </w14:textFill>
        </w:rPr>
        <w:t>送达时间以签收人签收时间为准。采购代理机构将拒绝接受逾期送达的备份投标文件。邮寄过程中，电子备份投标文件发生泄露、遗失、损坏或延期送达等情况的，由投标人自行负责。</w:t>
      </w:r>
    </w:p>
    <w:p w14:paraId="74D4F003">
      <w:pPr>
        <w:pStyle w:val="32"/>
        <w:spacing w:line="360" w:lineRule="auto"/>
        <w:ind w:firstLine="479" w:firstLineChars="199"/>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15.5投标人仅提交备份投标文件，未在电子交易平台传输递交投标文件的，投标无效。</w:t>
      </w:r>
    </w:p>
    <w:p w14:paraId="64E99E3F">
      <w:pPr>
        <w:pStyle w:val="133"/>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16.投标文件的无效处理</w:t>
      </w:r>
    </w:p>
    <w:p w14:paraId="3D471565">
      <w:pPr>
        <w:pStyle w:val="24"/>
        <w:spacing w:line="360" w:lineRule="auto"/>
        <w:ind w:firstLine="360" w:firstLineChars="15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有招标文件第四部分</w:t>
      </w:r>
      <w:r>
        <w:rPr>
          <w:rFonts w:cs="宋体"/>
          <w:color w:val="000000" w:themeColor="text1"/>
          <w:highlight w:val="none"/>
          <w14:textFill>
            <w14:solidFill>
              <w14:schemeClr w14:val="tx1"/>
            </w14:solidFill>
          </w14:textFill>
        </w:rPr>
        <w:t>4.2规定</w:t>
      </w:r>
      <w:r>
        <w:rPr>
          <w:rFonts w:hint="eastAsia" w:cs="宋体"/>
          <w:color w:val="000000" w:themeColor="text1"/>
          <w:szCs w:val="21"/>
          <w:highlight w:val="none"/>
          <w14:textFill>
            <w14:solidFill>
              <w14:schemeClr w14:val="tx1"/>
            </w14:solidFill>
          </w14:textFill>
        </w:rPr>
        <w:t>的情形之一的，投标无效：</w:t>
      </w:r>
    </w:p>
    <w:p w14:paraId="11D89001">
      <w:pPr>
        <w:pStyle w:val="133"/>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17.投标有效期</w:t>
      </w:r>
    </w:p>
    <w:p w14:paraId="3E58033F">
      <w:pPr>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17.1投标有效期为从提交投标文件的截止之日起90天。</w:t>
      </w:r>
    </w:p>
    <w:p w14:paraId="1AC5BF9A">
      <w:pPr>
        <w:spacing w:line="360" w:lineRule="auto"/>
        <w:ind w:firstLine="420" w:firstLineChars="200"/>
        <w:rPr>
          <w:rFonts w:ascii="宋体" w:hAnsi="宋体" w:cs="宋体"/>
          <w:b/>
          <w:color w:val="000000" w:themeColor="text1"/>
          <w:sz w:val="24"/>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
          <w:color w:val="000000" w:themeColor="text1"/>
          <w:sz w:val="24"/>
          <w:szCs w:val="20"/>
          <w:highlight w:val="none"/>
          <w14:textFill>
            <w14:solidFill>
              <w14:schemeClr w14:val="tx1"/>
            </w14:solidFill>
          </w14:textFill>
        </w:rPr>
        <w:t>投标人的投标文件中承</w:t>
      </w:r>
      <w:r>
        <w:rPr>
          <w:rFonts w:hint="eastAsia" w:ascii="宋体" w:hAnsi="宋体" w:cs="宋体"/>
          <w:b/>
          <w:color w:val="000000" w:themeColor="text1"/>
          <w:sz w:val="24"/>
          <w:szCs w:val="21"/>
          <w:highlight w:val="none"/>
          <w14:textFill>
            <w14:solidFill>
              <w14:schemeClr w14:val="tx1"/>
            </w14:solidFill>
          </w14:textFill>
        </w:rPr>
        <w:t>诺的投标有效期少于招标文件中载明的投标有效期的，投标无效。</w:t>
      </w:r>
    </w:p>
    <w:p w14:paraId="792A66D7">
      <w:pPr>
        <w:pStyle w:val="133"/>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17.2投标文件合格投递后，自投标截止日期起，在投标有效期内有效。</w:t>
      </w:r>
    </w:p>
    <w:p w14:paraId="00CD2574">
      <w:pPr>
        <w:pStyle w:val="133"/>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17.3在原定投标有效期满之前，如果出现特殊情况，采购代理机构可以以书面形式通知投标人延长投标有效期。投标人同意延长的，不得要求或被允许修改其投标文件，投标人拒绝延长的，其投标无效。</w:t>
      </w:r>
    </w:p>
    <w:p w14:paraId="3AF334C6">
      <w:pPr>
        <w:pStyle w:val="133"/>
        <w:spacing w:before="0"/>
        <w:ind w:firstLine="643"/>
        <w:rPr>
          <w:rFonts w:ascii="宋体" w:hAnsi="宋体" w:cs="宋体"/>
          <w:b/>
          <w:color w:val="000000" w:themeColor="text1"/>
          <w:sz w:val="32"/>
          <w:highlight w:val="none"/>
          <w14:textFill>
            <w14:solidFill>
              <w14:schemeClr w14:val="tx1"/>
            </w14:solidFill>
          </w14:textFill>
        </w:rPr>
      </w:pPr>
    </w:p>
    <w:p w14:paraId="0FDA61AE">
      <w:pPr>
        <w:pStyle w:val="133"/>
        <w:spacing w:before="0"/>
        <w:ind w:firstLine="1928" w:firstLineChars="600"/>
        <w:outlineLvl w:val="1"/>
        <w:rPr>
          <w:rFonts w:ascii="宋体" w:hAnsi="宋体" w:cs="宋体"/>
          <w:b/>
          <w:color w:val="000000" w:themeColor="text1"/>
          <w:sz w:val="32"/>
          <w:highlight w:val="none"/>
          <w14:textFill>
            <w14:solidFill>
              <w14:schemeClr w14:val="tx1"/>
            </w14:solidFill>
          </w14:textFill>
        </w:rPr>
      </w:pPr>
      <w:bookmarkStart w:id="40" w:name="_Toc24357"/>
      <w:r>
        <w:rPr>
          <w:rFonts w:hint="eastAsia" w:ascii="宋体" w:hAnsi="宋体" w:cs="宋体"/>
          <w:b/>
          <w:color w:val="000000" w:themeColor="text1"/>
          <w:sz w:val="32"/>
          <w:highlight w:val="none"/>
          <w14:textFill>
            <w14:solidFill>
              <w14:schemeClr w14:val="tx1"/>
            </w14:solidFill>
          </w14:textFill>
        </w:rPr>
        <w:t>四、开标、资格审查与信用信息查询</w:t>
      </w:r>
      <w:bookmarkEnd w:id="40"/>
    </w:p>
    <w:p w14:paraId="0534DA33">
      <w:pPr>
        <w:pStyle w:val="557"/>
        <w:spacing w:before="0" w:line="360" w:lineRule="auto"/>
        <w:ind w:left="0" w:firstLine="241" w:firstLineChars="1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18.开标</w:t>
      </w:r>
      <w:r>
        <w:rPr>
          <w:rFonts w:hint="eastAsia" w:ascii="宋体" w:hAnsi="宋体" w:cs="宋体"/>
          <w:color w:val="000000" w:themeColor="text1"/>
          <w:sz w:val="24"/>
          <w:highlight w:val="none"/>
          <w14:textFill>
            <w14:solidFill>
              <w14:schemeClr w14:val="tx1"/>
            </w14:solidFill>
          </w14:textFill>
        </w:rPr>
        <w:t xml:space="preserve"> </w:t>
      </w:r>
    </w:p>
    <w:p w14:paraId="7E052840">
      <w:pPr>
        <w:pStyle w:val="557"/>
        <w:spacing w:before="0" w:line="360" w:lineRule="auto"/>
        <w:ind w:left="0"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18.1采购代理机构按照招标文件规定的时间通过电子交易平台组织开标，所有投标人均应当准时在线参加。投标人不足3家的，不得开标。</w:t>
      </w:r>
    </w:p>
    <w:p w14:paraId="09509665">
      <w:pPr>
        <w:pStyle w:val="557"/>
        <w:spacing w:before="0" w:line="360" w:lineRule="auto"/>
        <w:ind w:left="0" w:firstLine="240" w:firstLineChars="1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18.2开标时，电子交易平台按开标时间自动提取所有投标文件。采购代理机构依托电子交易平台发起开始解密指令，投标人按照平台提示和招标文件的规定在半小时内完成在线解密。</w:t>
      </w:r>
    </w:p>
    <w:p w14:paraId="5CCD0F15">
      <w:pPr>
        <w:pStyle w:val="557"/>
        <w:spacing w:before="0" w:line="360" w:lineRule="auto"/>
        <w:ind w:left="0" w:firstLine="241" w:firstLineChars="100"/>
        <w:contextualSpacing/>
        <w:rPr>
          <w:rFonts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18.3投标</w:t>
      </w:r>
      <w:r>
        <w:rPr>
          <w:rFonts w:hint="eastAsia" w:ascii="宋体" w:hAnsi="宋体" w:cs="宋体"/>
          <w:b/>
          <w:color w:val="000000" w:themeColor="text1"/>
          <w:sz w:val="24"/>
          <w:highlight w:val="none"/>
          <w14:textFill>
            <w14:solidFill>
              <w14:schemeClr w14:val="tx1"/>
            </w14:solidFill>
          </w14:textFill>
        </w:rPr>
        <w:t>文件未按时解密，投标人提供了备份投标文件的，以备份投标文件作为依据，否则视为投标文件撤回。投标文件已按时解密的，备份投标文件自动失效。</w:t>
      </w:r>
    </w:p>
    <w:p w14:paraId="59A9785C">
      <w:pPr>
        <w:widowControl/>
        <w:snapToGrid w:val="0"/>
        <w:spacing w:line="360" w:lineRule="auto"/>
        <w:jc w:val="left"/>
        <w:rPr>
          <w:rFonts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szCs w:val="20"/>
          <w:highlight w:val="none"/>
          <w14:textFill>
            <w14:solidFill>
              <w14:schemeClr w14:val="tx1"/>
            </w14:solidFill>
          </w14:textFill>
        </w:rPr>
        <w:t>19.资格审查</w:t>
      </w:r>
    </w:p>
    <w:p w14:paraId="4F91358F">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19.1</w:t>
      </w:r>
      <w:r>
        <w:rPr>
          <w:rFonts w:hint="eastAsia" w:ascii="宋体" w:hAnsi="宋体" w:cs="宋体"/>
          <w:color w:val="000000" w:themeColor="text1"/>
          <w:sz w:val="24"/>
          <w:highlight w:val="none"/>
          <w14:textFill>
            <w14:solidFill>
              <w14:schemeClr w14:val="tx1"/>
            </w14:solidFill>
          </w14:textFill>
        </w:rPr>
        <w:t>采购人或采购代理机构依据法律法规和招标文件的规定，对投标人的资格进行审查。</w:t>
      </w:r>
    </w:p>
    <w:p w14:paraId="3890E3EB">
      <w:pPr>
        <w:pStyle w:val="133"/>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19.2投标人未按照招标文件要求提供与</w:t>
      </w:r>
      <w:r>
        <w:rPr>
          <w:rFonts w:hint="eastAsia" w:ascii="宋体" w:hAnsi="宋体" w:cs="宋体"/>
          <w:color w:val="000000" w:themeColor="text1"/>
          <w:highlight w:val="none"/>
          <w14:textFill>
            <w14:solidFill>
              <w14:schemeClr w14:val="tx1"/>
            </w14:solidFill>
          </w14:textFill>
        </w:rPr>
        <w:t>资格条件相应的</w:t>
      </w:r>
      <w:r>
        <w:rPr>
          <w:rFonts w:hint="eastAsia" w:ascii="宋体" w:hAnsi="宋体" w:cs="宋体"/>
          <w:color w:val="000000" w:themeColor="text1"/>
          <w:kern w:val="0"/>
          <w:szCs w:val="24"/>
          <w:highlight w:val="none"/>
          <w14:textFill>
            <w14:solidFill>
              <w14:schemeClr w14:val="tx1"/>
            </w14:solidFill>
          </w14:textFill>
        </w:rPr>
        <w:t>有效资格证明材料的，视为</w:t>
      </w:r>
      <w:r>
        <w:rPr>
          <w:rFonts w:hint="eastAsia" w:ascii="宋体" w:hAnsi="宋体" w:cs="宋体"/>
          <w:color w:val="000000" w:themeColor="text1"/>
          <w:highlight w:val="none"/>
          <w14:textFill>
            <w14:solidFill>
              <w14:schemeClr w14:val="tx1"/>
            </w14:solidFill>
          </w14:textFill>
        </w:rPr>
        <w:t>投标人不具备招标文件中规定的资格要求，其投标无效。</w:t>
      </w:r>
    </w:p>
    <w:p w14:paraId="1E2A147B">
      <w:pPr>
        <w:pStyle w:val="133"/>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w:t>
      </w:r>
      <w:r>
        <w:rPr>
          <w:rFonts w:hint="eastAsia" w:ascii="宋体" w:hAnsi="宋体" w:cs="宋体"/>
          <w:color w:val="000000" w:themeColor="text1"/>
          <w:highlight w:val="none"/>
          <w14:textFill>
            <w14:solidFill>
              <w14:schemeClr w14:val="tx1"/>
            </w14:solidFill>
          </w14:textFill>
        </w:rPr>
        <w:t>3对未通过资格审查的投标人，采购人或采购代理机构告知其未通过的原因。</w:t>
      </w:r>
    </w:p>
    <w:p w14:paraId="56AEF248">
      <w:pPr>
        <w:pStyle w:val="133"/>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w:t>
      </w:r>
      <w:r>
        <w:rPr>
          <w:rFonts w:hint="eastAsia" w:ascii="宋体" w:hAnsi="宋体" w:cs="宋体"/>
          <w:color w:val="000000" w:themeColor="text1"/>
          <w:highlight w:val="none"/>
          <w14:textFill>
            <w14:solidFill>
              <w14:schemeClr w14:val="tx1"/>
            </w14:solidFill>
          </w14:textFill>
        </w:rPr>
        <w:t>4合格投标人不足3家的，不再评标。</w:t>
      </w:r>
    </w:p>
    <w:p w14:paraId="52E168A9">
      <w:pPr>
        <w:pStyle w:val="133"/>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20.信用信息查询</w:t>
      </w:r>
    </w:p>
    <w:p w14:paraId="4002C79D">
      <w:pPr>
        <w:pStyle w:val="133"/>
        <w:spacing w:before="0"/>
        <w:ind w:firstLine="495" w:firstLineChars="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20.1信用信息查询渠道及截止时间：采购代理机构将在资格审查时通过“信用中国”网站(www.creditchina.gov.cn)、中国政府采购网(www.ccgp.gov.cn)渠道查询投标人接受资格审查时的信用记录。</w:t>
      </w:r>
    </w:p>
    <w:p w14:paraId="6D6A2E74">
      <w:pPr>
        <w:pStyle w:val="133"/>
        <w:spacing w:before="0"/>
        <w:ind w:firstLine="495" w:firstLineChars="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20.2信用信息查询记录和证据留存的具体方式：现场查询的投标人的信用记录、查询结果经确认后将与采购文件一起存档。</w:t>
      </w:r>
    </w:p>
    <w:p w14:paraId="57CC4753">
      <w:pPr>
        <w:pStyle w:val="133"/>
        <w:spacing w:before="0"/>
        <w:ind w:firstLine="495" w:firstLineChars="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20.3信用信息的使用规则：经查询列入失信被执行人名单、重大税收违法失信主体、政府采购严重违法失信行为记录名单的投标人将被拒绝参与政府采购活动。</w:t>
      </w:r>
    </w:p>
    <w:p w14:paraId="3EF436CE">
      <w:pPr>
        <w:pStyle w:val="133"/>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000000" w:themeColor="text1"/>
          <w:highlight w:val="none"/>
          <w14:textFill>
            <w14:solidFill>
              <w14:schemeClr w14:val="tx1"/>
            </w14:solidFill>
          </w14:textFill>
        </w:rPr>
        <w:t>。</w:t>
      </w:r>
    </w:p>
    <w:p w14:paraId="6F801FC2">
      <w:pPr>
        <w:pStyle w:val="133"/>
        <w:spacing w:before="0"/>
        <w:ind w:firstLine="0" w:firstLineChars="0"/>
        <w:rPr>
          <w:rFonts w:ascii="宋体" w:hAnsi="宋体" w:cs="宋体"/>
          <w:color w:val="000000" w:themeColor="text1"/>
          <w:kern w:val="0"/>
          <w:szCs w:val="24"/>
          <w:highlight w:val="none"/>
          <w14:textFill>
            <w14:solidFill>
              <w14:schemeClr w14:val="tx1"/>
            </w14:solidFill>
          </w14:textFill>
        </w:rPr>
      </w:pPr>
    </w:p>
    <w:p w14:paraId="05FE7F16">
      <w:pPr>
        <w:snapToGrid w:val="0"/>
        <w:spacing w:line="360" w:lineRule="auto"/>
        <w:jc w:val="center"/>
        <w:outlineLvl w:val="1"/>
        <w:rPr>
          <w:rFonts w:ascii="宋体" w:hAnsi="宋体" w:cs="宋体"/>
          <w:b/>
          <w:color w:val="000000" w:themeColor="text1"/>
          <w:sz w:val="36"/>
          <w:szCs w:val="36"/>
          <w:highlight w:val="none"/>
          <w14:textFill>
            <w14:solidFill>
              <w14:schemeClr w14:val="tx1"/>
            </w14:solidFill>
          </w14:textFill>
        </w:rPr>
      </w:pPr>
      <w:bookmarkStart w:id="41" w:name="_Toc23139"/>
      <w:r>
        <w:rPr>
          <w:rFonts w:hint="eastAsia" w:ascii="宋体" w:hAnsi="宋体" w:cs="宋体"/>
          <w:b/>
          <w:color w:val="000000" w:themeColor="text1"/>
          <w:sz w:val="36"/>
          <w:szCs w:val="36"/>
          <w:highlight w:val="none"/>
          <w14:textFill>
            <w14:solidFill>
              <w14:schemeClr w14:val="tx1"/>
            </w14:solidFill>
          </w14:textFill>
        </w:rPr>
        <w:t>五、评标</w:t>
      </w:r>
      <w:bookmarkEnd w:id="41"/>
    </w:p>
    <w:p w14:paraId="6ADDDD69">
      <w:pPr>
        <w:spacing w:line="360" w:lineRule="auto"/>
        <w:rPr>
          <w:rFonts w:ascii="宋体" w:hAnsi="宋体" w:cs="宋体"/>
          <w:color w:val="000000" w:themeColor="text1"/>
          <w:sz w:val="24"/>
          <w:highlight w:val="none"/>
          <w14:textFill>
            <w14:solidFill>
              <w14:schemeClr w14:val="tx1"/>
            </w14:solidFill>
          </w14:textFill>
        </w:rPr>
      </w:pPr>
      <w:bookmarkStart w:id="42" w:name="_Toc91899903"/>
      <w:r>
        <w:rPr>
          <w:rFonts w:hint="eastAsia" w:ascii="宋体" w:hAnsi="宋体" w:cs="宋体"/>
          <w:b/>
          <w:bCs w:val="0"/>
          <w:color w:val="000000" w:themeColor="text1"/>
          <w:sz w:val="24"/>
          <w:highlight w:val="none"/>
          <w14:textFill>
            <w14:solidFill>
              <w14:schemeClr w14:val="tx1"/>
            </w14:solidFill>
          </w14:textFill>
        </w:rPr>
        <w:t>21.</w:t>
      </w:r>
      <w:r>
        <w:rPr>
          <w:rFonts w:hint="eastAsia" w:ascii="宋体" w:hAnsi="宋体" w:cs="宋体"/>
          <w:bCs/>
          <w:color w:val="000000" w:themeColor="text1"/>
          <w:sz w:val="24"/>
          <w:highlight w:val="none"/>
          <w14:textFill>
            <w14:solidFill>
              <w14:schemeClr w14:val="tx1"/>
            </w14:solidFill>
          </w14:textFill>
        </w:rPr>
        <w:t>评</w:t>
      </w:r>
      <w:r>
        <w:rPr>
          <w:rFonts w:hint="eastAsia" w:ascii="宋体" w:hAnsi="宋体" w:cs="宋体"/>
          <w:color w:val="000000" w:themeColor="text1"/>
          <w:sz w:val="24"/>
          <w:highlight w:val="none"/>
          <w14:textFill>
            <w14:solidFill>
              <w14:schemeClr w14:val="tx1"/>
            </w14:solidFill>
          </w14:textFill>
        </w:rPr>
        <w:t>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p>
    <w:p w14:paraId="0A151B1F">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详见招标文件第四部分评标办法。</w:t>
      </w:r>
    </w:p>
    <w:p w14:paraId="25BBFCAC">
      <w:pPr>
        <w:spacing w:line="360" w:lineRule="auto"/>
        <w:rPr>
          <w:rFonts w:ascii="宋体" w:hAnsi="宋体" w:cs="宋体"/>
          <w:b/>
          <w:color w:val="000000" w:themeColor="text1"/>
          <w:sz w:val="24"/>
          <w:highlight w:val="none"/>
          <w14:textFill>
            <w14:solidFill>
              <w14:schemeClr w14:val="tx1"/>
            </w14:solidFill>
          </w14:textFill>
        </w:rPr>
      </w:pPr>
    </w:p>
    <w:p w14:paraId="2D3AE8F3">
      <w:pPr>
        <w:snapToGrid w:val="0"/>
        <w:spacing w:line="360" w:lineRule="auto"/>
        <w:jc w:val="center"/>
        <w:outlineLvl w:val="1"/>
        <w:rPr>
          <w:rFonts w:ascii="宋体" w:hAnsi="宋体" w:cs="宋体"/>
          <w:b/>
          <w:color w:val="000000" w:themeColor="text1"/>
          <w:sz w:val="36"/>
          <w:szCs w:val="36"/>
          <w:highlight w:val="none"/>
          <w14:textFill>
            <w14:solidFill>
              <w14:schemeClr w14:val="tx1"/>
            </w14:solidFill>
          </w14:textFill>
        </w:rPr>
      </w:pPr>
      <w:bookmarkStart w:id="43" w:name="_Toc32708"/>
      <w:r>
        <w:rPr>
          <w:rFonts w:hint="eastAsia" w:ascii="宋体" w:hAnsi="宋体" w:cs="宋体"/>
          <w:b/>
          <w:color w:val="000000" w:themeColor="text1"/>
          <w:sz w:val="36"/>
          <w:szCs w:val="36"/>
          <w:highlight w:val="none"/>
          <w14:textFill>
            <w14:solidFill>
              <w14:schemeClr w14:val="tx1"/>
            </w14:solidFill>
          </w14:textFill>
        </w:rPr>
        <w:t>六、定 标</w:t>
      </w:r>
      <w:bookmarkEnd w:id="43"/>
    </w:p>
    <w:p w14:paraId="53626465">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22. 确定中标供应商</w:t>
      </w:r>
    </w:p>
    <w:p w14:paraId="27D42F76">
      <w:pPr>
        <w:pStyle w:val="133"/>
        <w:snapToGrid w:val="0"/>
        <w:spacing w:before="0"/>
        <w:ind w:firstLine="480"/>
        <w:rPr>
          <w:rFonts w:ascii="宋体" w:hAnsi="宋体" w:cs="宋体"/>
          <w:b/>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hint="eastAsia" w:ascii="宋体" w:hAnsi="宋体" w:cs="宋体"/>
          <w:color w:val="000000" w:themeColor="text1"/>
          <w:szCs w:val="24"/>
          <w:highlight w:val="none"/>
          <w:lang w:val="en-US" w:eastAsia="zh-CN"/>
          <w14:textFill>
            <w14:solidFill>
              <w14:schemeClr w14:val="tx1"/>
            </w14:solidFill>
          </w14:textFill>
        </w:rPr>
        <w:t>5</w:t>
      </w:r>
      <w:r>
        <w:rPr>
          <w:rFonts w:hint="eastAsia" w:ascii="宋体" w:hAnsi="宋体" w:cs="宋体"/>
          <w:color w:val="000000" w:themeColor="text1"/>
          <w:szCs w:val="24"/>
          <w:highlight w:val="none"/>
          <w14:textFill>
            <w14:solidFill>
              <w14:schemeClr w14:val="tx1"/>
            </w14:solidFill>
          </w14:textFill>
        </w:rPr>
        <w:t>个工作日内在线确定中标或者成交供应商。中标、成交通知书和中标、成交结果公告应当在规定时间内同时发出。</w:t>
      </w:r>
    </w:p>
    <w:p w14:paraId="46F8D1F7">
      <w:pPr>
        <w:pStyle w:val="133"/>
        <w:numPr>
          <w:ilvl w:val="0"/>
          <w:numId w:val="1"/>
        </w:numPr>
        <w:snapToGrid w:val="0"/>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中标通知与中标结果公告</w:t>
      </w:r>
    </w:p>
    <w:p w14:paraId="2B281BE2">
      <w:pPr>
        <w:pStyle w:val="133"/>
        <w:snapToGrid w:val="0"/>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23.1自中标人确定之日起</w:t>
      </w:r>
      <w:r>
        <w:rPr>
          <w:rFonts w:hint="eastAsia" w:ascii="宋体" w:hAnsi="宋体" w:cs="宋体"/>
          <w:color w:val="000000" w:themeColor="text1"/>
          <w:szCs w:val="24"/>
          <w:highlight w:val="none"/>
          <w:lang w:val="en-US" w:eastAsia="zh-CN"/>
          <w14:textFill>
            <w14:solidFill>
              <w14:schemeClr w14:val="tx1"/>
            </w14:solidFill>
          </w14:textFill>
        </w:rPr>
        <w:t>2</w:t>
      </w:r>
      <w:r>
        <w:rPr>
          <w:rFonts w:hint="eastAsia" w:ascii="宋体" w:hAnsi="宋体" w:cs="宋体"/>
          <w:color w:val="000000" w:themeColor="text1"/>
          <w:szCs w:val="24"/>
          <w:highlight w:val="none"/>
          <w14:textFill>
            <w14:solidFill>
              <w14:schemeClr w14:val="tx1"/>
            </w14:solidFill>
          </w14:textFill>
        </w:rPr>
        <w:t>个工作日内，采购代理机构向中标人发出中标通知书，同时编制发布采购结果公告。采购代理机构也可以以纸质形式进行中标通知。</w:t>
      </w:r>
    </w:p>
    <w:p w14:paraId="18026C32">
      <w:pPr>
        <w:pStyle w:val="133"/>
        <w:snapToGrid w:val="0"/>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23.2中标结果公告内容包括采购人及其委托的采购代理机构的名称、地址、联系方式，项目名称和项目编号，中标人名称、地址和中标金额，主要中标标的的名称</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中标公告期限以及评审专家名单</w:t>
      </w:r>
      <w:r>
        <w:rPr>
          <w:rFonts w:hint="eastAsia" w:ascii="宋体" w:hAnsi="宋体" w:cs="宋体"/>
          <w:color w:val="000000" w:themeColor="text1"/>
          <w:szCs w:val="24"/>
          <w:highlight w:val="none"/>
          <w:lang w:val="en-US" w:eastAsia="zh-CN"/>
          <w14:textFill>
            <w14:solidFill>
              <w14:schemeClr w14:val="tx1"/>
            </w14:solidFill>
          </w14:textFill>
        </w:rPr>
        <w:t>等</w:t>
      </w:r>
      <w:r>
        <w:rPr>
          <w:rFonts w:hint="eastAsia" w:ascii="宋体" w:hAnsi="宋体" w:cs="宋体"/>
          <w:color w:val="000000" w:themeColor="text1"/>
          <w:szCs w:val="24"/>
          <w:highlight w:val="none"/>
          <w14:textFill>
            <w14:solidFill>
              <w14:schemeClr w14:val="tx1"/>
            </w14:solidFill>
          </w14:textFill>
        </w:rPr>
        <w:t>。</w:t>
      </w:r>
    </w:p>
    <w:p w14:paraId="0A123AD6">
      <w:pPr>
        <w:pStyle w:val="133"/>
        <w:snapToGrid w:val="0"/>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23.3公告期限为1个工作日。</w:t>
      </w:r>
    </w:p>
    <w:p w14:paraId="021C719A">
      <w:pPr>
        <w:snapToGrid w:val="0"/>
        <w:spacing w:line="360" w:lineRule="auto"/>
        <w:ind w:left="120" w:leftChars="57" w:firstLine="482" w:firstLineChars="150"/>
        <w:jc w:val="center"/>
        <w:rPr>
          <w:rFonts w:ascii="宋体" w:hAnsi="宋体" w:cs="宋体"/>
          <w:b/>
          <w:color w:val="000000" w:themeColor="text1"/>
          <w:sz w:val="32"/>
          <w:highlight w:val="none"/>
          <w14:textFill>
            <w14:solidFill>
              <w14:schemeClr w14:val="tx1"/>
            </w14:solidFill>
          </w14:textFill>
        </w:rPr>
      </w:pPr>
    </w:p>
    <w:p w14:paraId="45796C2B">
      <w:pPr>
        <w:snapToGrid w:val="0"/>
        <w:spacing w:line="360" w:lineRule="auto"/>
        <w:ind w:left="120" w:leftChars="57" w:firstLine="482" w:firstLineChars="150"/>
        <w:jc w:val="center"/>
        <w:outlineLvl w:val="1"/>
        <w:rPr>
          <w:rFonts w:ascii="宋体" w:hAnsi="宋体" w:cs="宋体"/>
          <w:b/>
          <w:color w:val="000000" w:themeColor="text1"/>
          <w:sz w:val="32"/>
          <w:highlight w:val="none"/>
          <w14:textFill>
            <w14:solidFill>
              <w14:schemeClr w14:val="tx1"/>
            </w14:solidFill>
          </w14:textFill>
        </w:rPr>
      </w:pPr>
      <w:bookmarkStart w:id="44" w:name="_Toc22272"/>
      <w:r>
        <w:rPr>
          <w:rFonts w:hint="eastAsia" w:ascii="宋体" w:hAnsi="宋体" w:cs="宋体"/>
          <w:b/>
          <w:color w:val="000000" w:themeColor="text1"/>
          <w:sz w:val="32"/>
          <w:highlight w:val="none"/>
          <w14:textFill>
            <w14:solidFill>
              <w14:schemeClr w14:val="tx1"/>
            </w14:solidFill>
          </w14:textFill>
        </w:rPr>
        <w:t>七、合同授予</w:t>
      </w:r>
      <w:bookmarkEnd w:id="44"/>
    </w:p>
    <w:p w14:paraId="225170F5">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24. 合同主要条款详见第五部分拟签订的合同文本。</w:t>
      </w:r>
    </w:p>
    <w:p w14:paraId="7CD7914B">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25. 合同的签订</w:t>
      </w:r>
    </w:p>
    <w:p w14:paraId="5D122DBD">
      <w:pPr>
        <w:pStyle w:val="133"/>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25.1 采购人与中标供应商应当在中标通知书发出之日起三十日内，按照招标文件及中标供应商的投标文件确定的事项签订政府采购合同，并在合同签订之日起2个工作日内依法发布合同公告。</w:t>
      </w:r>
    </w:p>
    <w:p w14:paraId="029EB13B">
      <w:pPr>
        <w:pStyle w:val="133"/>
        <w:snapToGrid w:val="0"/>
        <w:spacing w:before="0"/>
        <w:ind w:firstLine="48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val="zh-CN"/>
          <w14:textFill>
            <w14:solidFill>
              <w14:schemeClr w14:val="tx1"/>
            </w14:solidFill>
          </w14:textFill>
        </w:rPr>
        <w:t>25.2中标人按规定的日期、时间、地点，由法定代表人或其授权代表与采购人代表签订合同。如中标人为联合体的，由联合体成员各方法定代表人或其授权代表与采购人代表签订合同。</w:t>
      </w:r>
    </w:p>
    <w:p w14:paraId="16E42E23">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25.3如签订合同并生效后，供应商无故拒绝或延期，除按照合同条款处理外，列入不良行为记录一次，并给予通报。</w:t>
      </w:r>
    </w:p>
    <w:p w14:paraId="2D558A1B">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25.4中标供应商拒绝与采购人签订合同的，采购人可以按照评审报告推荐的中标或者成交候选人名单排序，确定下一候选人为中标供应商，也可以重新开展政府采购活动。</w:t>
      </w:r>
    </w:p>
    <w:p w14:paraId="7E73D864">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26. 履约保证金（如有）</w:t>
      </w:r>
    </w:p>
    <w:p w14:paraId="31F4D900">
      <w:pPr>
        <w:tabs>
          <w:tab w:val="left" w:pos="0"/>
        </w:tabs>
        <w:spacing w:line="360" w:lineRule="auto"/>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拟签订的合同文本如要求中标供应商提交履约保证金的，供应商应当以支票、汇票、本票或者金融机构、担保机构出具的保函等非现金形式提交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w:t>
      </w:r>
    </w:p>
    <w:p w14:paraId="248C94E2">
      <w:pPr>
        <w:pStyle w:val="4"/>
        <w:ind w:left="0" w:firstLine="480" w:firstLineChars="200"/>
        <w:rPr>
          <w:rFonts w:ascii="宋体" w:hAnsi="宋体" w:eastAsia="宋体" w:cs="宋体"/>
          <w:b w:val="0"/>
          <w:bCs w:val="0"/>
          <w:snapToGrid w:val="0"/>
          <w:color w:val="000000" w:themeColor="text1"/>
          <w:kern w:val="28"/>
          <w:sz w:val="24"/>
          <w:highlight w:val="none"/>
          <w14:textFill>
            <w14:solidFill>
              <w14:schemeClr w14:val="tx1"/>
            </w14:solidFill>
          </w14:textFill>
        </w:rPr>
      </w:pPr>
      <w:bookmarkStart w:id="45" w:name="_Toc5410"/>
      <w:r>
        <w:rPr>
          <w:rFonts w:hint="eastAsia" w:ascii="宋体" w:hAnsi="宋体" w:eastAsia="宋体" w:cs="宋体"/>
          <w:b w:val="0"/>
          <w:bCs w:val="0"/>
          <w:snapToGrid w:val="0"/>
          <w:color w:val="000000" w:themeColor="text1"/>
          <w:kern w:val="28"/>
          <w:sz w:val="24"/>
          <w:highlight w:val="none"/>
          <w14:textFill>
            <w14:solidFill>
              <w14:schemeClr w14:val="tx1"/>
            </w14:solidFill>
          </w14:textFill>
        </w:rPr>
        <w:t>供应商</w:t>
      </w:r>
      <w:r>
        <w:rPr>
          <w:rFonts w:hint="eastAsia" w:ascii="宋体" w:hAnsi="宋体" w:eastAsia="宋体" w:cs="宋体"/>
          <w:b w:val="0"/>
          <w:bCs w:val="0"/>
          <w:snapToGrid w:val="0"/>
          <w:color w:val="000000" w:themeColor="text1"/>
          <w:kern w:val="28"/>
          <w:sz w:val="24"/>
          <w:highlight w:val="none"/>
          <w:lang w:val="en-US"/>
          <w14:textFill>
            <w14:solidFill>
              <w14:schemeClr w14:val="tx1"/>
            </w14:solidFill>
          </w14:textFill>
        </w:rPr>
        <w:t>可</w:t>
      </w:r>
      <w:r>
        <w:rPr>
          <w:rFonts w:hint="eastAsia" w:ascii="宋体" w:hAnsi="宋体" w:eastAsia="宋体" w:cs="宋体"/>
          <w:b w:val="0"/>
          <w:bCs w:val="0"/>
          <w:snapToGrid w:val="0"/>
          <w:color w:val="000000" w:themeColor="text1"/>
          <w:kern w:val="28"/>
          <w:sz w:val="24"/>
          <w:highlight w:val="none"/>
          <w14:textFill>
            <w14:solidFill>
              <w14:schemeClr w14:val="tx1"/>
            </w14:solidFill>
          </w14:textFill>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bookmarkEnd w:id="45"/>
    </w:p>
    <w:p w14:paraId="28CFB1B2">
      <w:pPr>
        <w:rPr>
          <w:color w:val="000000" w:themeColor="text1"/>
          <w:highlight w:val="none"/>
          <w14:textFill>
            <w14:solidFill>
              <w14:schemeClr w14:val="tx1"/>
            </w14:solidFill>
          </w14:textFill>
        </w:rPr>
      </w:pPr>
    </w:p>
    <w:p w14:paraId="039BEBFB">
      <w:pPr>
        <w:rPr>
          <w:rFonts w:ascii="宋体" w:hAnsi="宋体" w:cs="宋体"/>
          <w:b/>
          <w:color w:val="000000" w:themeColor="text1"/>
          <w:sz w:val="32"/>
          <w:highlight w:val="none"/>
          <w14:textFill>
            <w14:solidFill>
              <w14:schemeClr w14:val="tx1"/>
            </w14:solidFill>
          </w14:textFill>
        </w:rPr>
      </w:pPr>
      <w:bookmarkStart w:id="46" w:name="_Toc362"/>
    </w:p>
    <w:p w14:paraId="1C291A3B">
      <w:pPr>
        <w:snapToGrid w:val="0"/>
        <w:spacing w:line="360" w:lineRule="auto"/>
        <w:jc w:val="center"/>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八、电子交易活动的中止</w:t>
      </w:r>
      <w:bookmarkEnd w:id="46"/>
    </w:p>
    <w:p w14:paraId="75D95FE9">
      <w:pPr>
        <w:pStyle w:val="133"/>
        <w:snapToGrid w:val="0"/>
        <w:spacing w:before="0"/>
        <w:ind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27</w:t>
      </w:r>
      <w:r>
        <w:rPr>
          <w:rFonts w:hint="eastAsia" w:ascii="宋体" w:hAnsi="宋体" w:cs="宋体"/>
          <w:b/>
          <w:color w:val="000000" w:themeColor="text1"/>
          <w:szCs w:val="24"/>
          <w:highlight w:val="none"/>
          <w14:textFill>
            <w14:solidFill>
              <w14:schemeClr w14:val="tx1"/>
            </w14:solidFill>
          </w14:textFill>
        </w:rPr>
        <w:t>. 电子交易活动的中止。</w:t>
      </w:r>
      <w:r>
        <w:rPr>
          <w:rFonts w:hint="eastAsia" w:ascii="宋体" w:hAnsi="宋体" w:cs="宋体"/>
          <w:color w:val="000000" w:themeColor="text1"/>
          <w:highlight w:val="none"/>
          <w14:textFill>
            <w14:solidFill>
              <w14:schemeClr w14:val="tx1"/>
            </w14:solidFill>
          </w14:textFill>
        </w:rPr>
        <w:t>采购过程中出现以下情形，导致电子交易平台无法正常运行，或者无法保证电子交易的公平、公正和安全时，采购代理机构可中止电子交易活动：</w:t>
      </w:r>
    </w:p>
    <w:p w14:paraId="019FBFD1">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27.1电子交易平台发生故障而无法登录访问的； </w:t>
      </w:r>
    </w:p>
    <w:p w14:paraId="7BFCD010">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27.2电子交易平台应用或数据库出现错误，不能进行正常操作的；</w:t>
      </w:r>
    </w:p>
    <w:p w14:paraId="0C3D89F3">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27.3电子交易平台发现严重安全漏洞，有潜在泄密危险的；</w:t>
      </w:r>
    </w:p>
    <w:p w14:paraId="586901DF">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27.4病毒发作导致不能进行正常操作的； </w:t>
      </w:r>
    </w:p>
    <w:p w14:paraId="6412F9B1">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27.5其他无法保证电子交易的公平、公正和安全的情况。</w:t>
      </w:r>
    </w:p>
    <w:p w14:paraId="70DEAAAE">
      <w:pPr>
        <w:pStyle w:val="133"/>
        <w:snapToGrid w:val="0"/>
        <w:spacing w:before="0"/>
        <w:ind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28.出现以上情形，不影响采购公平、公正性的，采购组织机构可以待上述情形消除后继续组织电子交易活动，也可以决定某些环节以纸质形式进行；影响或可能影响采购公平、公正性的，应当重新采购。</w:t>
      </w:r>
    </w:p>
    <w:p w14:paraId="48AD1DED">
      <w:pPr>
        <w:tabs>
          <w:tab w:val="left" w:pos="0"/>
        </w:tabs>
        <w:spacing w:line="360" w:lineRule="auto"/>
        <w:ind w:firstLine="480"/>
        <w:rPr>
          <w:rFonts w:ascii="宋体" w:hAnsi="宋体" w:cs="宋体"/>
          <w:color w:val="000000" w:themeColor="text1"/>
          <w:sz w:val="24"/>
          <w:highlight w:val="none"/>
          <w14:textFill>
            <w14:solidFill>
              <w14:schemeClr w14:val="tx1"/>
            </w14:solidFill>
          </w14:textFill>
        </w:rPr>
      </w:pPr>
    </w:p>
    <w:p w14:paraId="129E7C4B">
      <w:pPr>
        <w:snapToGrid w:val="0"/>
        <w:spacing w:line="360" w:lineRule="auto"/>
        <w:ind w:left="120" w:leftChars="57" w:firstLine="482" w:firstLineChars="150"/>
        <w:jc w:val="center"/>
        <w:outlineLvl w:val="1"/>
        <w:rPr>
          <w:rFonts w:ascii="宋体" w:hAnsi="宋体" w:cs="宋体"/>
          <w:b/>
          <w:color w:val="000000" w:themeColor="text1"/>
          <w:sz w:val="32"/>
          <w:highlight w:val="none"/>
          <w14:textFill>
            <w14:solidFill>
              <w14:schemeClr w14:val="tx1"/>
            </w14:solidFill>
          </w14:textFill>
        </w:rPr>
      </w:pPr>
      <w:bookmarkStart w:id="47" w:name="_Toc12798"/>
      <w:r>
        <w:rPr>
          <w:rFonts w:hint="eastAsia" w:ascii="宋体" w:hAnsi="宋体" w:cs="宋体"/>
          <w:b/>
          <w:color w:val="000000" w:themeColor="text1"/>
          <w:sz w:val="32"/>
          <w:highlight w:val="none"/>
          <w14:textFill>
            <w14:solidFill>
              <w14:schemeClr w14:val="tx1"/>
            </w14:solidFill>
          </w14:textFill>
        </w:rPr>
        <w:t>九、验收</w:t>
      </w:r>
      <w:bookmarkEnd w:id="47"/>
    </w:p>
    <w:p w14:paraId="7DA39FFC">
      <w:pPr>
        <w:pStyle w:val="24"/>
        <w:spacing w:line="360" w:lineRule="auto"/>
        <w:ind w:firstLine="0" w:firstLineChars="0"/>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w:t>
      </w:r>
      <w:r>
        <w:rPr>
          <w:rFonts w:hint="eastAsia" w:cs="宋体"/>
          <w:b/>
          <w:color w:val="000000" w:themeColor="text1"/>
          <w:highlight w:val="none"/>
          <w:lang w:val="en-US" w:eastAsia="zh-CN"/>
          <w14:textFill>
            <w14:solidFill>
              <w14:schemeClr w14:val="tx1"/>
            </w14:solidFill>
          </w14:textFill>
        </w:rPr>
        <w:t>8</w:t>
      </w:r>
      <w:r>
        <w:rPr>
          <w:rFonts w:hint="eastAsia" w:cs="宋体"/>
          <w:b/>
          <w:color w:val="000000" w:themeColor="text1"/>
          <w:highlight w:val="none"/>
          <w14:textFill>
            <w14:solidFill>
              <w14:schemeClr w14:val="tx1"/>
            </w14:solidFill>
          </w14:textFill>
        </w:rPr>
        <w:t>.验收</w:t>
      </w:r>
    </w:p>
    <w:p w14:paraId="7B18D6D3">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color w:val="000000" w:themeColor="text1"/>
          <w:kern w:val="0"/>
          <w:sz w:val="24"/>
          <w:highlight w:val="none"/>
          <w:lang w:val="en-US" w:eastAsia="zh-CN"/>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5F651CA">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color w:val="000000" w:themeColor="text1"/>
          <w:kern w:val="0"/>
          <w:sz w:val="24"/>
          <w:highlight w:val="none"/>
          <w:lang w:val="en-US" w:eastAsia="zh-CN"/>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.2采购人可以邀请参加本项目的其他投标人或者第三方机构参与验收。参与验收的投标人或者第三方机构的意见作为验收书的参考资料一并存档。</w:t>
      </w:r>
    </w:p>
    <w:p w14:paraId="5D2CDE35">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color w:val="000000" w:themeColor="text1"/>
          <w:kern w:val="0"/>
          <w:sz w:val="24"/>
          <w:highlight w:val="none"/>
          <w:lang w:val="en-US" w:eastAsia="zh-CN"/>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789A1DA">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sectPr>
          <w:headerReference r:id="rId4" w:type="first"/>
          <w:footerReference r:id="rId6" w:type="first"/>
          <w:headerReference r:id="rId3" w:type="default"/>
          <w:footerReference r:id="rId5" w:type="default"/>
          <w:pgSz w:w="11905" w:h="16838"/>
          <w:pgMar w:top="1134" w:right="1417" w:bottom="1134" w:left="1417" w:header="851" w:footer="992" w:gutter="0"/>
          <w:pgBorders>
            <w:top w:val="none" w:sz="0" w:space="0"/>
            <w:left w:val="none" w:sz="0" w:space="0"/>
            <w:bottom w:val="none" w:sz="0" w:space="0"/>
            <w:right w:val="none" w:sz="0" w:space="0"/>
          </w:pgBorders>
          <w:cols w:space="0" w:num="1"/>
          <w:titlePg/>
          <w:docGrid w:linePitch="312" w:charSpace="0"/>
        </w:sect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color w:val="000000" w:themeColor="text1"/>
          <w:kern w:val="0"/>
          <w:sz w:val="24"/>
          <w:highlight w:val="none"/>
          <w:lang w:val="en-US" w:eastAsia="zh-CN"/>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4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42"/>
      <w:bookmarkStart w:id="48" w:name="_Hlt75236011"/>
      <w:bookmarkEnd w:id="48"/>
      <w:bookmarkStart w:id="49" w:name="_Hlt68072998"/>
      <w:bookmarkEnd w:id="49"/>
      <w:bookmarkStart w:id="50" w:name="_Hlt75236101"/>
      <w:bookmarkEnd w:id="50"/>
      <w:bookmarkStart w:id="51" w:name="_Hlt74729768"/>
      <w:bookmarkEnd w:id="51"/>
      <w:bookmarkStart w:id="52" w:name="_Hlt68403820"/>
      <w:bookmarkEnd w:id="52"/>
      <w:bookmarkStart w:id="53" w:name="_Hlt74714665"/>
      <w:bookmarkEnd w:id="53"/>
      <w:bookmarkStart w:id="54" w:name="_Hlt74707468"/>
      <w:bookmarkEnd w:id="54"/>
      <w:bookmarkStart w:id="55" w:name="_Hlt74730295"/>
      <w:bookmarkEnd w:id="55"/>
      <w:bookmarkStart w:id="56" w:name="_Hlt68057669"/>
      <w:bookmarkEnd w:id="56"/>
      <w:bookmarkStart w:id="57" w:name="_Hlt68073093"/>
      <w:bookmarkEnd w:id="57"/>
      <w:bookmarkStart w:id="58" w:name="_Hlt68072990"/>
      <w:bookmarkEnd w:id="58"/>
      <w:bookmarkStart w:id="59" w:name="_Hlt75236290"/>
      <w:bookmarkEnd w:id="59"/>
    </w:p>
    <w:bookmarkEnd w:id="29"/>
    <w:bookmarkEnd w:id="30"/>
    <w:p w14:paraId="7A7BB9DF">
      <w:pPr>
        <w:spacing w:line="360" w:lineRule="auto"/>
        <w:jc w:val="center"/>
        <w:outlineLvl w:val="0"/>
        <w:rPr>
          <w:rFonts w:ascii="宋体" w:hAnsi="宋体" w:cs="宋体"/>
          <w:b/>
          <w:color w:val="000000" w:themeColor="text1"/>
          <w:sz w:val="36"/>
          <w:szCs w:val="36"/>
          <w:highlight w:val="none"/>
          <w14:textFill>
            <w14:solidFill>
              <w14:schemeClr w14:val="tx1"/>
            </w14:solidFill>
          </w14:textFill>
        </w:rPr>
      </w:pPr>
      <w:bookmarkStart w:id="60" w:name="_Toc9424"/>
      <w:bookmarkStart w:id="61" w:name="_Toc17321"/>
      <w:bookmarkStart w:id="62" w:name="第四部分"/>
      <w:r>
        <w:rPr>
          <w:rFonts w:hint="eastAsia" w:ascii="宋体" w:hAnsi="宋体" w:cs="宋体"/>
          <w:b/>
          <w:color w:val="000000" w:themeColor="text1"/>
          <w:sz w:val="36"/>
          <w:szCs w:val="36"/>
          <w:highlight w:val="none"/>
          <w14:textFill>
            <w14:solidFill>
              <w14:schemeClr w14:val="tx1"/>
            </w14:solidFill>
          </w14:textFill>
        </w:rPr>
        <w:t>第三部分   采购需求</w:t>
      </w:r>
      <w:bookmarkEnd w:id="60"/>
      <w:bookmarkEnd w:id="61"/>
    </w:p>
    <w:p w14:paraId="4925E944">
      <w:pPr>
        <w:pStyle w:val="62"/>
        <w:keepNext w:val="0"/>
        <w:keepLines w:val="0"/>
        <w:pageBreakBefore w:val="0"/>
        <w:kinsoku/>
        <w:wordWrap/>
        <w:overflowPunct/>
        <w:topLinePunct w:val="0"/>
        <w:bidi w:val="0"/>
        <w:adjustRightInd w:val="0"/>
        <w:snapToGrid/>
        <w:spacing w:line="360" w:lineRule="auto"/>
        <w:ind w:left="0" w:leftChars="0" w:firstLine="0" w:firstLineChars="0"/>
        <w:rPr>
          <w:rFonts w:hint="eastAsia" w:asciiTheme="majorEastAsia" w:hAnsiTheme="majorEastAsia" w:eastAsiaTheme="majorEastAsia" w:cstheme="majorEastAsia"/>
          <w:b/>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1"/>
          <w:szCs w:val="21"/>
          <w:highlight w:val="none"/>
          <w14:textFill>
            <w14:solidFill>
              <w14:schemeClr w14:val="tx1"/>
            </w14:solidFill>
          </w14:textFill>
        </w:rPr>
        <w:t>一</w:t>
      </w:r>
      <w:r>
        <w:rPr>
          <w:rFonts w:hint="eastAsia" w:asciiTheme="majorEastAsia" w:hAnsiTheme="majorEastAsia" w:eastAsiaTheme="majorEastAsia" w:cstheme="majorEastAsia"/>
          <w:b/>
          <w:bCs/>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t>服务</w:t>
      </w:r>
      <w:r>
        <w:rPr>
          <w:rFonts w:hint="eastAsia" w:asciiTheme="majorEastAsia" w:hAnsiTheme="majorEastAsia" w:eastAsiaTheme="majorEastAsia" w:cstheme="majorEastAsia"/>
          <w:b/>
          <w:bCs/>
          <w:color w:val="000000" w:themeColor="text1"/>
          <w:sz w:val="21"/>
          <w:szCs w:val="21"/>
          <w:highlight w:val="none"/>
          <w14:textFill>
            <w14:solidFill>
              <w14:schemeClr w14:val="tx1"/>
            </w14:solidFill>
          </w14:textFill>
        </w:rPr>
        <w:t>需求</w:t>
      </w:r>
    </w:p>
    <w:p w14:paraId="393440E6">
      <w:pPr>
        <w:keepNext w:val="0"/>
        <w:keepLines w:val="0"/>
        <w:pageBreakBefore w:val="0"/>
        <w:kinsoku/>
        <w:wordWrap/>
        <w:overflowPunct/>
        <w:topLinePunct w:val="0"/>
        <w:bidi w:val="0"/>
        <w:adjustRightInd w:val="0"/>
        <w:snapToGrid/>
        <w:spacing w:line="360" w:lineRule="auto"/>
        <w:ind w:left="0" w:firstLine="422" w:firstLineChars="20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项目背景</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w:t>
      </w:r>
    </w:p>
    <w:p w14:paraId="377541A6">
      <w:pPr>
        <w:keepNext w:val="0"/>
        <w:keepLines w:val="0"/>
        <w:pageBreakBefore w:val="0"/>
        <w:kinsoku/>
        <w:wordWrap/>
        <w:overflowPunct/>
        <w:topLinePunct w:val="0"/>
        <w:bidi w:val="0"/>
        <w:adjustRightInd w:val="0"/>
        <w:snapToGrid/>
        <w:spacing w:line="360" w:lineRule="auto"/>
        <w:ind w:left="0"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目前</w:t>
      </w:r>
      <w:r>
        <w:rPr>
          <w:rFonts w:hint="eastAsia" w:ascii="宋体" w:hAnsi="宋体" w:eastAsia="宋体" w:cs="宋体"/>
          <w:color w:val="000000" w:themeColor="text1"/>
          <w:szCs w:val="21"/>
          <w:highlight w:val="none"/>
          <w:lang w:val="en-US" w:eastAsia="zh-CN"/>
          <w14:textFill>
            <w14:solidFill>
              <w14:schemeClr w14:val="tx1"/>
            </w14:solidFill>
          </w14:textFill>
        </w:rPr>
        <w:t>我院计划筹建核医学科，需要在各个工作环节处都配备差异化的站点软件，将完整的核医学诊断流程进行全面管理，并针对技术质控过程提供管理和统计工具，建立成包括了患者信息、检查图像、诊断报告、病史信息、注射信息、随访信息的大型综合资料库，从而成为核医学科强化质控管理和资料管理的有力工具。系统须提供与EC原机相类似的图像融合处理工作站，满足科室大量患者检查、多个医生同时工作的需求，以提高科室工作效率与工作质量。</w:t>
      </w:r>
    </w:p>
    <w:p w14:paraId="0241F50E">
      <w:pPr>
        <w:pStyle w:val="24"/>
        <w:keepNext w:val="0"/>
        <w:keepLines w:val="0"/>
        <w:pageBreakBefore w:val="0"/>
        <w:kinsoku/>
        <w:wordWrap/>
        <w:overflowPunct/>
        <w:topLinePunct w:val="0"/>
        <w:bidi w:val="0"/>
        <w:adjustRightInd w:val="0"/>
        <w:snapToGrid/>
        <w:spacing w:line="360" w:lineRule="auto"/>
        <w:ind w:left="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p>
    <w:p w14:paraId="6F0A3D2A">
      <w:pPr>
        <w:keepNext w:val="0"/>
        <w:keepLines w:val="0"/>
        <w:pageBreakBefore w:val="0"/>
        <w:kinsoku/>
        <w:wordWrap/>
        <w:overflowPunct/>
        <w:topLinePunct w:val="0"/>
        <w:bidi w:val="0"/>
        <w:adjustRightInd w:val="0"/>
        <w:snapToGrid/>
        <w:spacing w:line="360" w:lineRule="auto"/>
        <w:ind w:left="0" w:firstLine="422" w:firstLineChars="20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（二）项目</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目标</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w:t>
      </w:r>
    </w:p>
    <w:p w14:paraId="7C5FE2E5">
      <w:pPr>
        <w:keepNext w:val="0"/>
        <w:keepLines w:val="0"/>
        <w:pageBreakBefore w:val="0"/>
        <w:kinsoku/>
        <w:wordWrap/>
        <w:overflowPunct/>
        <w:topLinePunct w:val="0"/>
        <w:bidi w:val="0"/>
        <w:adjustRightInd w:val="0"/>
        <w:snapToGrid/>
        <w:spacing w:line="360" w:lineRule="auto"/>
        <w:ind w:left="0" w:firstLine="420" w:firstLineChars="200"/>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为实现核医学信息的集中管理，通过建立更完整的核医学信息管理系统，将核医学信息集中管理，避免信息的重复录入和管理是提高工作效率的有效方式。</w:t>
      </w:r>
    </w:p>
    <w:p w14:paraId="714F7C9F">
      <w:pPr>
        <w:keepNext w:val="0"/>
        <w:keepLines w:val="0"/>
        <w:pageBreakBefore w:val="0"/>
        <w:kinsoku/>
        <w:wordWrap/>
        <w:overflowPunct/>
        <w:topLinePunct w:val="0"/>
        <w:bidi w:val="0"/>
        <w:adjustRightInd w:val="0"/>
        <w:snapToGrid/>
        <w:spacing w:line="360" w:lineRule="auto"/>
        <w:ind w:left="0" w:firstLine="420" w:firstLineChars="200"/>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核医学信息管理系统需要覆盖核医学科的检查流程、治疗流程，将与核医学相关的全部资料信息进行统一的管理，各工作站点分工合作，互相协同，资源共享，从而为核医学科建立起完整的综合信息管理平台。</w:t>
      </w:r>
    </w:p>
    <w:p w14:paraId="71F33759">
      <w:pPr>
        <w:pStyle w:val="63"/>
        <w:rPr>
          <w:rFonts w:hint="eastAsia"/>
          <w:color w:val="000000" w:themeColor="text1"/>
          <w:highlight w:val="none"/>
          <w:lang w:val="en-US" w:eastAsia="zh-CN"/>
          <w14:textFill>
            <w14:solidFill>
              <w14:schemeClr w14:val="tx1"/>
            </w14:solidFill>
          </w14:textFill>
        </w:rPr>
      </w:pPr>
    </w:p>
    <w:p w14:paraId="43709D29">
      <w:pPr>
        <w:keepNext w:val="0"/>
        <w:keepLines w:val="0"/>
        <w:pageBreakBefore w:val="0"/>
        <w:numPr>
          <w:ilvl w:val="0"/>
          <w:numId w:val="2"/>
        </w:numPr>
        <w:kinsoku/>
        <w:wordWrap/>
        <w:overflowPunct/>
        <w:topLinePunct w:val="0"/>
        <w:bidi w:val="0"/>
        <w:adjustRightInd w:val="0"/>
        <w:snapToGrid/>
        <w:spacing w:line="360" w:lineRule="auto"/>
        <w:ind w:left="0" w:firstLine="422" w:firstLineChars="20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建设范围</w:t>
      </w:r>
    </w:p>
    <w:p w14:paraId="0D063179">
      <w:pPr>
        <w:keepNext w:val="0"/>
        <w:keepLines w:val="0"/>
        <w:pageBreakBefore w:val="0"/>
        <w:kinsoku/>
        <w:wordWrap/>
        <w:overflowPunct/>
        <w:topLinePunct w:val="0"/>
        <w:bidi w:val="0"/>
        <w:adjustRightInd w:val="0"/>
        <w:snapToGrid/>
        <w:spacing w:line="360" w:lineRule="auto"/>
        <w:ind w:left="0" w:firstLine="420" w:firstLineChars="200"/>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本项目主要是在北仑区人民医院内部使用，覆盖范围是全院所有科室。</w:t>
      </w:r>
    </w:p>
    <w:p w14:paraId="71D1025D">
      <w:pPr>
        <w:keepNext w:val="0"/>
        <w:keepLines w:val="0"/>
        <w:pageBreakBefore w:val="0"/>
        <w:numPr>
          <w:ilvl w:val="0"/>
          <w:numId w:val="0"/>
        </w:numPr>
        <w:kinsoku/>
        <w:wordWrap/>
        <w:overflowPunct/>
        <w:topLinePunct w:val="0"/>
        <w:bidi w:val="0"/>
        <w:adjustRightInd w:val="0"/>
        <w:snapToGrid/>
        <w:spacing w:line="360" w:lineRule="auto"/>
        <w:ind w:leftChars="20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p>
    <w:p w14:paraId="7A443299">
      <w:pPr>
        <w:keepNext w:val="0"/>
        <w:keepLines w:val="0"/>
        <w:pageBreakBefore w:val="0"/>
        <w:numPr>
          <w:ilvl w:val="0"/>
          <w:numId w:val="2"/>
        </w:numPr>
        <w:kinsoku/>
        <w:wordWrap/>
        <w:overflowPunct/>
        <w:topLinePunct w:val="0"/>
        <w:bidi w:val="0"/>
        <w:adjustRightInd w:val="0"/>
        <w:snapToGrid/>
        <w:spacing w:line="360" w:lineRule="auto"/>
        <w:ind w:left="0" w:firstLine="422" w:firstLineChars="20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招标内容清单</w:t>
      </w:r>
    </w:p>
    <w:tbl>
      <w:tblPr>
        <w:tblStyle w:val="64"/>
        <w:tblW w:w="4998" w:type="pct"/>
        <w:tblInd w:w="0" w:type="dxa"/>
        <w:tblLayout w:type="autofit"/>
        <w:tblCellMar>
          <w:top w:w="0" w:type="dxa"/>
          <w:left w:w="108" w:type="dxa"/>
          <w:bottom w:w="0" w:type="dxa"/>
          <w:right w:w="108" w:type="dxa"/>
        </w:tblCellMar>
      </w:tblPr>
      <w:tblGrid>
        <w:gridCol w:w="1112"/>
        <w:gridCol w:w="3469"/>
        <w:gridCol w:w="2405"/>
        <w:gridCol w:w="2297"/>
      </w:tblGrid>
      <w:tr w14:paraId="7D73DA11">
        <w:tblPrEx>
          <w:tblCellMar>
            <w:top w:w="0" w:type="dxa"/>
            <w:left w:w="108" w:type="dxa"/>
            <w:bottom w:w="0" w:type="dxa"/>
            <w:right w:w="108" w:type="dxa"/>
          </w:tblCellMar>
        </w:tblPrEx>
        <w:trPr>
          <w:trHeight w:val="23" w:hRule="atLeast"/>
        </w:trPr>
        <w:tc>
          <w:tcPr>
            <w:tcW w:w="599" w:type="pct"/>
            <w:tcBorders>
              <w:top w:val="single" w:color="000000" w:sz="4" w:space="0"/>
              <w:left w:val="single" w:color="000000" w:sz="4" w:space="0"/>
              <w:bottom w:val="single" w:color="000000" w:sz="4" w:space="0"/>
              <w:right w:val="single" w:color="000000" w:sz="4" w:space="0"/>
            </w:tcBorders>
            <w:vAlign w:val="center"/>
          </w:tcPr>
          <w:p w14:paraId="2CAFDA89">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68" w:type="pct"/>
            <w:tcBorders>
              <w:top w:val="single" w:color="000000" w:sz="4" w:space="0"/>
              <w:left w:val="single" w:color="000000" w:sz="4" w:space="0"/>
              <w:bottom w:val="single" w:color="000000" w:sz="4" w:space="0"/>
              <w:right w:val="single" w:color="000000" w:sz="4" w:space="0"/>
            </w:tcBorders>
            <w:vAlign w:val="center"/>
          </w:tcPr>
          <w:p w14:paraId="6FEE5141">
            <w:pPr>
              <w:pStyle w:val="972"/>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功能</w:t>
            </w:r>
            <w:r>
              <w:rPr>
                <w:rFonts w:hint="eastAsia" w:ascii="宋体" w:hAnsi="宋体" w:eastAsia="宋体" w:cs="宋体"/>
                <w:color w:val="000000" w:themeColor="text1"/>
                <w:sz w:val="21"/>
                <w:szCs w:val="21"/>
                <w:highlight w:val="none"/>
                <w:lang w:val="en-US" w:eastAsia="zh-CN"/>
                <w14:textFill>
                  <w14:solidFill>
                    <w14:schemeClr w14:val="tx1"/>
                  </w14:solidFill>
                </w14:textFill>
              </w:rPr>
              <w:t>要求</w:t>
            </w:r>
          </w:p>
        </w:tc>
        <w:tc>
          <w:tcPr>
            <w:tcW w:w="1295" w:type="pct"/>
            <w:tcBorders>
              <w:top w:val="single" w:color="000000" w:sz="4" w:space="0"/>
              <w:left w:val="single" w:color="000000" w:sz="4" w:space="0"/>
              <w:bottom w:val="single" w:color="000000" w:sz="4" w:space="0"/>
              <w:right w:val="single" w:color="000000" w:sz="4" w:space="0"/>
            </w:tcBorders>
            <w:vAlign w:val="center"/>
          </w:tcPr>
          <w:p w14:paraId="3089DA46">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237" w:type="pct"/>
            <w:tcBorders>
              <w:top w:val="single" w:color="000000" w:sz="4" w:space="0"/>
              <w:left w:val="single" w:color="000000" w:sz="4" w:space="0"/>
              <w:bottom w:val="single" w:color="000000" w:sz="4" w:space="0"/>
              <w:right w:val="single" w:color="000000" w:sz="4" w:space="0"/>
            </w:tcBorders>
            <w:vAlign w:val="center"/>
          </w:tcPr>
          <w:p w14:paraId="64D429F1">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r>
      <w:tr w14:paraId="2077123A">
        <w:tblPrEx>
          <w:tblCellMar>
            <w:top w:w="0" w:type="dxa"/>
            <w:left w:w="108" w:type="dxa"/>
            <w:bottom w:w="0" w:type="dxa"/>
            <w:right w:w="108" w:type="dxa"/>
          </w:tblCellMar>
        </w:tblPrEx>
        <w:trPr>
          <w:trHeight w:val="23" w:hRule="atLeast"/>
        </w:trPr>
        <w:tc>
          <w:tcPr>
            <w:tcW w:w="599" w:type="pct"/>
            <w:tcBorders>
              <w:top w:val="single" w:color="000000" w:sz="4" w:space="0"/>
              <w:left w:val="single" w:color="000000" w:sz="4" w:space="0"/>
              <w:bottom w:val="single" w:color="000000" w:sz="4" w:space="0"/>
              <w:right w:val="single" w:color="000000" w:sz="4" w:space="0"/>
            </w:tcBorders>
            <w:vAlign w:val="center"/>
          </w:tcPr>
          <w:p w14:paraId="6E2D289C">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868" w:type="pct"/>
            <w:tcBorders>
              <w:top w:val="single" w:color="000000" w:sz="4" w:space="0"/>
              <w:left w:val="single" w:color="000000" w:sz="4" w:space="0"/>
              <w:bottom w:val="single" w:color="000000" w:sz="4" w:space="0"/>
              <w:right w:val="single" w:color="000000" w:sz="4" w:space="0"/>
            </w:tcBorders>
            <w:vAlign w:val="center"/>
          </w:tcPr>
          <w:p w14:paraId="2C18B67C">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预约登记</w:t>
            </w:r>
          </w:p>
        </w:tc>
        <w:tc>
          <w:tcPr>
            <w:tcW w:w="1295" w:type="pct"/>
            <w:tcBorders>
              <w:top w:val="single" w:color="000000" w:sz="4" w:space="0"/>
              <w:left w:val="single" w:color="000000" w:sz="4" w:space="0"/>
              <w:bottom w:val="single" w:color="000000" w:sz="4" w:space="0"/>
              <w:right w:val="single" w:color="000000" w:sz="4" w:space="0"/>
            </w:tcBorders>
            <w:vAlign w:val="center"/>
          </w:tcPr>
          <w:p w14:paraId="068A84F3">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37" w:type="pct"/>
            <w:tcBorders>
              <w:top w:val="single" w:color="000000" w:sz="4" w:space="0"/>
              <w:left w:val="single" w:color="000000" w:sz="4" w:space="0"/>
              <w:bottom w:val="single" w:color="000000" w:sz="4" w:space="0"/>
              <w:right w:val="single" w:color="000000" w:sz="4" w:space="0"/>
            </w:tcBorders>
            <w:vAlign w:val="center"/>
          </w:tcPr>
          <w:p w14:paraId="0E49BAEA">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r>
      <w:tr w14:paraId="61B8AA78">
        <w:tblPrEx>
          <w:tblCellMar>
            <w:top w:w="0" w:type="dxa"/>
            <w:left w:w="108" w:type="dxa"/>
            <w:bottom w:w="0" w:type="dxa"/>
            <w:right w:w="108" w:type="dxa"/>
          </w:tblCellMar>
        </w:tblPrEx>
        <w:trPr>
          <w:trHeight w:val="23" w:hRule="atLeast"/>
        </w:trPr>
        <w:tc>
          <w:tcPr>
            <w:tcW w:w="599" w:type="pct"/>
            <w:tcBorders>
              <w:top w:val="single" w:color="000000" w:sz="4" w:space="0"/>
              <w:left w:val="single" w:color="000000" w:sz="4" w:space="0"/>
              <w:bottom w:val="single" w:color="000000" w:sz="4" w:space="0"/>
              <w:right w:val="single" w:color="000000" w:sz="4" w:space="0"/>
            </w:tcBorders>
            <w:vAlign w:val="center"/>
          </w:tcPr>
          <w:p w14:paraId="60FBFD3E">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868" w:type="pct"/>
            <w:tcBorders>
              <w:top w:val="single" w:color="000000" w:sz="4" w:space="0"/>
              <w:left w:val="single" w:color="000000" w:sz="4" w:space="0"/>
              <w:bottom w:val="single" w:color="000000" w:sz="4" w:space="0"/>
              <w:right w:val="single" w:color="000000" w:sz="4" w:space="0"/>
            </w:tcBorders>
            <w:vAlign w:val="center"/>
          </w:tcPr>
          <w:p w14:paraId="3A52104B">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病史问诊</w:t>
            </w:r>
          </w:p>
        </w:tc>
        <w:tc>
          <w:tcPr>
            <w:tcW w:w="1295" w:type="pct"/>
            <w:tcBorders>
              <w:top w:val="single" w:color="000000" w:sz="4" w:space="0"/>
              <w:left w:val="single" w:color="000000" w:sz="4" w:space="0"/>
              <w:bottom w:val="single" w:color="000000" w:sz="4" w:space="0"/>
              <w:right w:val="single" w:color="000000" w:sz="4" w:space="0"/>
            </w:tcBorders>
            <w:vAlign w:val="center"/>
          </w:tcPr>
          <w:p w14:paraId="3B94A282">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37" w:type="pct"/>
            <w:tcBorders>
              <w:top w:val="single" w:color="000000" w:sz="4" w:space="0"/>
              <w:left w:val="single" w:color="000000" w:sz="4" w:space="0"/>
              <w:bottom w:val="single" w:color="000000" w:sz="4" w:space="0"/>
              <w:right w:val="single" w:color="000000" w:sz="4" w:space="0"/>
            </w:tcBorders>
            <w:vAlign w:val="center"/>
          </w:tcPr>
          <w:p w14:paraId="65CCB344">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r>
      <w:tr w14:paraId="2C3EF487">
        <w:tblPrEx>
          <w:tblCellMar>
            <w:top w:w="0" w:type="dxa"/>
            <w:left w:w="108" w:type="dxa"/>
            <w:bottom w:w="0" w:type="dxa"/>
            <w:right w:w="108" w:type="dxa"/>
          </w:tblCellMar>
        </w:tblPrEx>
        <w:trPr>
          <w:trHeight w:val="23" w:hRule="atLeast"/>
        </w:trPr>
        <w:tc>
          <w:tcPr>
            <w:tcW w:w="599" w:type="pct"/>
            <w:tcBorders>
              <w:top w:val="single" w:color="000000" w:sz="4" w:space="0"/>
              <w:left w:val="single" w:color="000000" w:sz="4" w:space="0"/>
              <w:bottom w:val="single" w:color="000000" w:sz="4" w:space="0"/>
              <w:right w:val="single" w:color="000000" w:sz="4" w:space="0"/>
            </w:tcBorders>
            <w:vAlign w:val="center"/>
          </w:tcPr>
          <w:p w14:paraId="54D42E2A">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868" w:type="pct"/>
            <w:tcBorders>
              <w:top w:val="single" w:color="000000" w:sz="4" w:space="0"/>
              <w:left w:val="single" w:color="000000" w:sz="4" w:space="0"/>
              <w:bottom w:val="single" w:color="000000" w:sz="4" w:space="0"/>
              <w:right w:val="single" w:color="000000" w:sz="4" w:space="0"/>
            </w:tcBorders>
            <w:vAlign w:val="center"/>
          </w:tcPr>
          <w:p w14:paraId="062B16F1">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技师检查</w:t>
            </w:r>
          </w:p>
        </w:tc>
        <w:tc>
          <w:tcPr>
            <w:tcW w:w="1295" w:type="pct"/>
            <w:tcBorders>
              <w:top w:val="single" w:color="000000" w:sz="4" w:space="0"/>
              <w:left w:val="single" w:color="000000" w:sz="4" w:space="0"/>
              <w:bottom w:val="single" w:color="000000" w:sz="4" w:space="0"/>
              <w:right w:val="single" w:color="000000" w:sz="4" w:space="0"/>
            </w:tcBorders>
            <w:vAlign w:val="center"/>
          </w:tcPr>
          <w:p w14:paraId="74F13E31">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37" w:type="pct"/>
            <w:tcBorders>
              <w:top w:val="single" w:color="000000" w:sz="4" w:space="0"/>
              <w:left w:val="single" w:color="000000" w:sz="4" w:space="0"/>
              <w:bottom w:val="single" w:color="000000" w:sz="4" w:space="0"/>
              <w:right w:val="single" w:color="000000" w:sz="4" w:space="0"/>
            </w:tcBorders>
            <w:vAlign w:val="center"/>
          </w:tcPr>
          <w:p w14:paraId="5703E758">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r>
      <w:tr w14:paraId="69AB82FD">
        <w:tblPrEx>
          <w:tblCellMar>
            <w:top w:w="0" w:type="dxa"/>
            <w:left w:w="108" w:type="dxa"/>
            <w:bottom w:w="0" w:type="dxa"/>
            <w:right w:w="108" w:type="dxa"/>
          </w:tblCellMar>
        </w:tblPrEx>
        <w:trPr>
          <w:trHeight w:val="23" w:hRule="atLeast"/>
        </w:trPr>
        <w:tc>
          <w:tcPr>
            <w:tcW w:w="599" w:type="pct"/>
            <w:tcBorders>
              <w:top w:val="single" w:color="000000" w:sz="4" w:space="0"/>
              <w:left w:val="single" w:color="000000" w:sz="4" w:space="0"/>
              <w:bottom w:val="single" w:color="000000" w:sz="4" w:space="0"/>
              <w:right w:val="single" w:color="000000" w:sz="4" w:space="0"/>
            </w:tcBorders>
            <w:vAlign w:val="center"/>
          </w:tcPr>
          <w:p w14:paraId="1EC49062">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868" w:type="pct"/>
            <w:tcBorders>
              <w:top w:val="single" w:color="000000" w:sz="4" w:space="0"/>
              <w:left w:val="single" w:color="000000" w:sz="4" w:space="0"/>
              <w:bottom w:val="single" w:color="000000" w:sz="4" w:space="0"/>
              <w:right w:val="single" w:color="000000" w:sz="4" w:space="0"/>
            </w:tcBorders>
            <w:noWrap/>
            <w:vAlign w:val="center"/>
          </w:tcPr>
          <w:p w14:paraId="26BDB9ED">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报告编辑</w:t>
            </w:r>
          </w:p>
        </w:tc>
        <w:tc>
          <w:tcPr>
            <w:tcW w:w="1295" w:type="pct"/>
            <w:tcBorders>
              <w:top w:val="single" w:color="000000" w:sz="4" w:space="0"/>
              <w:left w:val="single" w:color="000000" w:sz="4" w:space="0"/>
              <w:bottom w:val="single" w:color="000000" w:sz="4" w:space="0"/>
              <w:right w:val="single" w:color="000000" w:sz="4" w:space="0"/>
            </w:tcBorders>
            <w:vAlign w:val="center"/>
          </w:tcPr>
          <w:p w14:paraId="37CC29FC">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37" w:type="pct"/>
            <w:tcBorders>
              <w:top w:val="single" w:color="000000" w:sz="4" w:space="0"/>
              <w:left w:val="single" w:color="000000" w:sz="4" w:space="0"/>
              <w:bottom w:val="single" w:color="000000" w:sz="4" w:space="0"/>
              <w:right w:val="single" w:color="000000" w:sz="4" w:space="0"/>
            </w:tcBorders>
            <w:vAlign w:val="center"/>
          </w:tcPr>
          <w:p w14:paraId="284E165C">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r>
      <w:tr w14:paraId="59DA23A1">
        <w:tblPrEx>
          <w:tblCellMar>
            <w:top w:w="0" w:type="dxa"/>
            <w:left w:w="108" w:type="dxa"/>
            <w:bottom w:w="0" w:type="dxa"/>
            <w:right w:w="108" w:type="dxa"/>
          </w:tblCellMar>
        </w:tblPrEx>
        <w:trPr>
          <w:trHeight w:val="23" w:hRule="atLeast"/>
        </w:trPr>
        <w:tc>
          <w:tcPr>
            <w:tcW w:w="599" w:type="pct"/>
            <w:tcBorders>
              <w:top w:val="single" w:color="000000" w:sz="4" w:space="0"/>
              <w:left w:val="single" w:color="000000" w:sz="4" w:space="0"/>
              <w:bottom w:val="single" w:color="000000" w:sz="4" w:space="0"/>
              <w:right w:val="single" w:color="000000" w:sz="4" w:space="0"/>
            </w:tcBorders>
            <w:vAlign w:val="center"/>
          </w:tcPr>
          <w:p w14:paraId="22B5B3EE">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868" w:type="pct"/>
            <w:tcBorders>
              <w:top w:val="single" w:color="000000" w:sz="4" w:space="0"/>
              <w:left w:val="single" w:color="000000" w:sz="4" w:space="0"/>
              <w:bottom w:val="single" w:color="000000" w:sz="4" w:space="0"/>
              <w:right w:val="single" w:color="000000" w:sz="4" w:space="0"/>
            </w:tcBorders>
            <w:vAlign w:val="center"/>
          </w:tcPr>
          <w:p w14:paraId="75BA0C0F">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图像融合处理管理</w:t>
            </w:r>
          </w:p>
        </w:tc>
        <w:tc>
          <w:tcPr>
            <w:tcW w:w="1295" w:type="pct"/>
            <w:tcBorders>
              <w:top w:val="single" w:color="000000" w:sz="4" w:space="0"/>
              <w:left w:val="single" w:color="000000" w:sz="4" w:space="0"/>
              <w:bottom w:val="single" w:color="000000" w:sz="4" w:space="0"/>
              <w:right w:val="single" w:color="000000" w:sz="4" w:space="0"/>
            </w:tcBorders>
            <w:vAlign w:val="center"/>
          </w:tcPr>
          <w:p w14:paraId="465A381B">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37" w:type="pct"/>
            <w:tcBorders>
              <w:top w:val="single" w:color="000000" w:sz="4" w:space="0"/>
              <w:left w:val="single" w:color="000000" w:sz="4" w:space="0"/>
              <w:bottom w:val="single" w:color="000000" w:sz="4" w:space="0"/>
              <w:right w:val="single" w:color="000000" w:sz="4" w:space="0"/>
            </w:tcBorders>
            <w:vAlign w:val="center"/>
          </w:tcPr>
          <w:p w14:paraId="47396A83">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r>
      <w:tr w14:paraId="2A19471E">
        <w:tblPrEx>
          <w:tblCellMar>
            <w:top w:w="0" w:type="dxa"/>
            <w:left w:w="108" w:type="dxa"/>
            <w:bottom w:w="0" w:type="dxa"/>
            <w:right w:w="108" w:type="dxa"/>
          </w:tblCellMar>
        </w:tblPrEx>
        <w:trPr>
          <w:trHeight w:val="23" w:hRule="atLeast"/>
        </w:trPr>
        <w:tc>
          <w:tcPr>
            <w:tcW w:w="599" w:type="pct"/>
            <w:tcBorders>
              <w:top w:val="single" w:color="000000" w:sz="4" w:space="0"/>
              <w:left w:val="single" w:color="000000" w:sz="4" w:space="0"/>
              <w:bottom w:val="single" w:color="000000" w:sz="4" w:space="0"/>
              <w:right w:val="single" w:color="000000" w:sz="4" w:space="0"/>
            </w:tcBorders>
            <w:vAlign w:val="center"/>
          </w:tcPr>
          <w:p w14:paraId="05186627">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868" w:type="pct"/>
            <w:tcBorders>
              <w:top w:val="single" w:color="000000" w:sz="4" w:space="0"/>
              <w:left w:val="single" w:color="000000" w:sz="4" w:space="0"/>
              <w:bottom w:val="single" w:color="000000" w:sz="4" w:space="0"/>
              <w:right w:val="single" w:color="000000" w:sz="4" w:space="0"/>
            </w:tcBorders>
            <w:vAlign w:val="center"/>
          </w:tcPr>
          <w:p w14:paraId="513AB11B">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药品管理</w:t>
            </w:r>
          </w:p>
        </w:tc>
        <w:tc>
          <w:tcPr>
            <w:tcW w:w="1295" w:type="pct"/>
            <w:tcBorders>
              <w:top w:val="single" w:color="000000" w:sz="4" w:space="0"/>
              <w:left w:val="single" w:color="000000" w:sz="4" w:space="0"/>
              <w:bottom w:val="single" w:color="000000" w:sz="4" w:space="0"/>
              <w:right w:val="single" w:color="000000" w:sz="4" w:space="0"/>
            </w:tcBorders>
            <w:vAlign w:val="center"/>
          </w:tcPr>
          <w:p w14:paraId="6C057A51">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37" w:type="pct"/>
            <w:tcBorders>
              <w:top w:val="single" w:color="000000" w:sz="4" w:space="0"/>
              <w:left w:val="single" w:color="000000" w:sz="4" w:space="0"/>
              <w:bottom w:val="single" w:color="000000" w:sz="4" w:space="0"/>
              <w:right w:val="single" w:color="000000" w:sz="4" w:space="0"/>
            </w:tcBorders>
            <w:vAlign w:val="center"/>
          </w:tcPr>
          <w:p w14:paraId="1C655584">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r>
      <w:tr w14:paraId="25F96479">
        <w:tblPrEx>
          <w:tblCellMar>
            <w:top w:w="0" w:type="dxa"/>
            <w:left w:w="108" w:type="dxa"/>
            <w:bottom w:w="0" w:type="dxa"/>
            <w:right w:w="108" w:type="dxa"/>
          </w:tblCellMar>
        </w:tblPrEx>
        <w:trPr>
          <w:trHeight w:val="23" w:hRule="atLeast"/>
        </w:trPr>
        <w:tc>
          <w:tcPr>
            <w:tcW w:w="599" w:type="pct"/>
            <w:tcBorders>
              <w:top w:val="single" w:color="000000" w:sz="4" w:space="0"/>
              <w:left w:val="single" w:color="000000" w:sz="4" w:space="0"/>
              <w:bottom w:val="single" w:color="000000" w:sz="4" w:space="0"/>
              <w:right w:val="single" w:color="000000" w:sz="4" w:space="0"/>
            </w:tcBorders>
            <w:vAlign w:val="center"/>
          </w:tcPr>
          <w:p w14:paraId="4039C586">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868" w:type="pct"/>
            <w:tcBorders>
              <w:top w:val="single" w:color="000000" w:sz="4" w:space="0"/>
              <w:left w:val="single" w:color="000000" w:sz="4" w:space="0"/>
              <w:bottom w:val="single" w:color="000000" w:sz="4" w:space="0"/>
              <w:right w:val="single" w:color="000000" w:sz="4" w:space="0"/>
            </w:tcBorders>
            <w:noWrap/>
            <w:vAlign w:val="center"/>
          </w:tcPr>
          <w:p w14:paraId="7282A701">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核素治疗</w:t>
            </w:r>
          </w:p>
        </w:tc>
        <w:tc>
          <w:tcPr>
            <w:tcW w:w="1295" w:type="pct"/>
            <w:tcBorders>
              <w:top w:val="single" w:color="000000" w:sz="4" w:space="0"/>
              <w:left w:val="single" w:color="000000" w:sz="4" w:space="0"/>
              <w:bottom w:val="single" w:color="000000" w:sz="4" w:space="0"/>
              <w:right w:val="single" w:color="000000" w:sz="4" w:space="0"/>
            </w:tcBorders>
            <w:vAlign w:val="center"/>
          </w:tcPr>
          <w:p w14:paraId="72AB8375">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37" w:type="pct"/>
            <w:tcBorders>
              <w:top w:val="single" w:color="000000" w:sz="4" w:space="0"/>
              <w:left w:val="single" w:color="000000" w:sz="4" w:space="0"/>
              <w:bottom w:val="single" w:color="000000" w:sz="4" w:space="0"/>
              <w:right w:val="single" w:color="000000" w:sz="4" w:space="0"/>
            </w:tcBorders>
            <w:vAlign w:val="center"/>
          </w:tcPr>
          <w:p w14:paraId="5DD19E15">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r>
      <w:tr w14:paraId="71492723">
        <w:tblPrEx>
          <w:tblCellMar>
            <w:top w:w="0" w:type="dxa"/>
            <w:left w:w="108" w:type="dxa"/>
            <w:bottom w:w="0" w:type="dxa"/>
            <w:right w:w="108" w:type="dxa"/>
          </w:tblCellMar>
        </w:tblPrEx>
        <w:trPr>
          <w:trHeight w:val="23" w:hRule="atLeast"/>
        </w:trPr>
        <w:tc>
          <w:tcPr>
            <w:tcW w:w="599" w:type="pct"/>
            <w:tcBorders>
              <w:top w:val="single" w:color="000000" w:sz="4" w:space="0"/>
              <w:left w:val="single" w:color="000000" w:sz="4" w:space="0"/>
              <w:bottom w:val="single" w:color="000000" w:sz="4" w:space="0"/>
              <w:right w:val="single" w:color="000000" w:sz="4" w:space="0"/>
            </w:tcBorders>
            <w:vAlign w:val="center"/>
          </w:tcPr>
          <w:p w14:paraId="7977008E">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868" w:type="pct"/>
            <w:tcBorders>
              <w:top w:val="single" w:color="000000" w:sz="4" w:space="0"/>
              <w:left w:val="single" w:color="000000" w:sz="4" w:space="0"/>
              <w:bottom w:val="single" w:color="000000" w:sz="4" w:space="0"/>
              <w:right w:val="single" w:color="000000" w:sz="4" w:space="0"/>
            </w:tcBorders>
            <w:vAlign w:val="center"/>
          </w:tcPr>
          <w:p w14:paraId="7CD7E2A6">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综合查询</w:t>
            </w:r>
          </w:p>
        </w:tc>
        <w:tc>
          <w:tcPr>
            <w:tcW w:w="1295" w:type="pct"/>
            <w:tcBorders>
              <w:top w:val="single" w:color="000000" w:sz="4" w:space="0"/>
              <w:left w:val="single" w:color="000000" w:sz="4" w:space="0"/>
              <w:bottom w:val="single" w:color="000000" w:sz="4" w:space="0"/>
              <w:right w:val="single" w:color="000000" w:sz="4" w:space="0"/>
            </w:tcBorders>
            <w:vAlign w:val="center"/>
          </w:tcPr>
          <w:p w14:paraId="2A49F9B0">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37" w:type="pct"/>
            <w:tcBorders>
              <w:top w:val="single" w:color="000000" w:sz="4" w:space="0"/>
              <w:left w:val="single" w:color="000000" w:sz="4" w:space="0"/>
              <w:bottom w:val="single" w:color="000000" w:sz="4" w:space="0"/>
              <w:right w:val="single" w:color="000000" w:sz="4" w:space="0"/>
            </w:tcBorders>
            <w:vAlign w:val="center"/>
          </w:tcPr>
          <w:p w14:paraId="4D51A269">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r>
      <w:tr w14:paraId="2A52F765">
        <w:tblPrEx>
          <w:tblCellMar>
            <w:top w:w="0" w:type="dxa"/>
            <w:left w:w="108" w:type="dxa"/>
            <w:bottom w:w="0" w:type="dxa"/>
            <w:right w:w="108" w:type="dxa"/>
          </w:tblCellMar>
        </w:tblPrEx>
        <w:trPr>
          <w:trHeight w:val="23" w:hRule="atLeast"/>
        </w:trPr>
        <w:tc>
          <w:tcPr>
            <w:tcW w:w="599" w:type="pct"/>
            <w:tcBorders>
              <w:top w:val="single" w:color="000000" w:sz="4" w:space="0"/>
              <w:left w:val="single" w:color="000000" w:sz="4" w:space="0"/>
              <w:bottom w:val="single" w:color="000000" w:sz="4" w:space="0"/>
              <w:right w:val="single" w:color="000000" w:sz="4" w:space="0"/>
            </w:tcBorders>
            <w:vAlign w:val="center"/>
          </w:tcPr>
          <w:p w14:paraId="12D9807F">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1868" w:type="pct"/>
            <w:tcBorders>
              <w:top w:val="single" w:color="000000" w:sz="4" w:space="0"/>
              <w:left w:val="single" w:color="000000" w:sz="4" w:space="0"/>
              <w:bottom w:val="single" w:color="000000" w:sz="4" w:space="0"/>
              <w:right w:val="single" w:color="000000" w:sz="4" w:space="0"/>
            </w:tcBorders>
            <w:vAlign w:val="center"/>
          </w:tcPr>
          <w:p w14:paraId="4CC7B775">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病例管理</w:t>
            </w:r>
          </w:p>
        </w:tc>
        <w:tc>
          <w:tcPr>
            <w:tcW w:w="1295" w:type="pct"/>
            <w:tcBorders>
              <w:top w:val="single" w:color="000000" w:sz="4" w:space="0"/>
              <w:left w:val="single" w:color="000000" w:sz="4" w:space="0"/>
              <w:bottom w:val="single" w:color="000000" w:sz="4" w:space="0"/>
              <w:right w:val="single" w:color="000000" w:sz="4" w:space="0"/>
            </w:tcBorders>
            <w:vAlign w:val="center"/>
          </w:tcPr>
          <w:p w14:paraId="54352553">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37" w:type="pct"/>
            <w:tcBorders>
              <w:top w:val="single" w:color="000000" w:sz="4" w:space="0"/>
              <w:left w:val="single" w:color="000000" w:sz="4" w:space="0"/>
              <w:bottom w:val="single" w:color="000000" w:sz="4" w:space="0"/>
              <w:right w:val="single" w:color="000000" w:sz="4" w:space="0"/>
            </w:tcBorders>
            <w:vAlign w:val="center"/>
          </w:tcPr>
          <w:p w14:paraId="60DF4F21">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r>
      <w:tr w14:paraId="3269B9B6">
        <w:tblPrEx>
          <w:tblCellMar>
            <w:top w:w="0" w:type="dxa"/>
            <w:left w:w="108" w:type="dxa"/>
            <w:bottom w:w="0" w:type="dxa"/>
            <w:right w:w="108" w:type="dxa"/>
          </w:tblCellMar>
        </w:tblPrEx>
        <w:trPr>
          <w:trHeight w:val="23" w:hRule="atLeast"/>
        </w:trPr>
        <w:tc>
          <w:tcPr>
            <w:tcW w:w="599" w:type="pct"/>
            <w:tcBorders>
              <w:top w:val="single" w:color="000000" w:sz="4" w:space="0"/>
              <w:left w:val="single" w:color="000000" w:sz="4" w:space="0"/>
              <w:bottom w:val="single" w:color="000000" w:sz="4" w:space="0"/>
              <w:right w:val="single" w:color="000000" w:sz="4" w:space="0"/>
            </w:tcBorders>
            <w:vAlign w:val="center"/>
          </w:tcPr>
          <w:p w14:paraId="392F899D">
            <w:pPr>
              <w:pStyle w:val="972"/>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868" w:type="pct"/>
            <w:tcBorders>
              <w:top w:val="single" w:color="000000" w:sz="4" w:space="0"/>
              <w:left w:val="single" w:color="000000" w:sz="4" w:space="0"/>
              <w:bottom w:val="single" w:color="000000" w:sz="4" w:space="0"/>
              <w:right w:val="single" w:color="000000" w:sz="4" w:space="0"/>
            </w:tcBorders>
            <w:vAlign w:val="center"/>
          </w:tcPr>
          <w:p w14:paraId="1873F492">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系统管理</w:t>
            </w:r>
          </w:p>
        </w:tc>
        <w:tc>
          <w:tcPr>
            <w:tcW w:w="1295" w:type="pct"/>
            <w:tcBorders>
              <w:top w:val="single" w:color="000000" w:sz="4" w:space="0"/>
              <w:left w:val="single" w:color="000000" w:sz="4" w:space="0"/>
              <w:bottom w:val="single" w:color="000000" w:sz="4" w:space="0"/>
              <w:right w:val="single" w:color="000000" w:sz="4" w:space="0"/>
            </w:tcBorders>
            <w:vAlign w:val="center"/>
          </w:tcPr>
          <w:p w14:paraId="00C66A89">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37" w:type="pct"/>
            <w:tcBorders>
              <w:top w:val="single" w:color="000000" w:sz="4" w:space="0"/>
              <w:left w:val="single" w:color="000000" w:sz="4" w:space="0"/>
              <w:bottom w:val="single" w:color="000000" w:sz="4" w:space="0"/>
              <w:right w:val="single" w:color="000000" w:sz="4" w:space="0"/>
            </w:tcBorders>
            <w:vAlign w:val="center"/>
          </w:tcPr>
          <w:p w14:paraId="566618E3">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r>
      <w:tr w14:paraId="3A50B8D0">
        <w:tblPrEx>
          <w:tblCellMar>
            <w:top w:w="0" w:type="dxa"/>
            <w:left w:w="108" w:type="dxa"/>
            <w:bottom w:w="0" w:type="dxa"/>
            <w:right w:w="108" w:type="dxa"/>
          </w:tblCellMar>
        </w:tblPrEx>
        <w:trPr>
          <w:trHeight w:val="23" w:hRule="atLeast"/>
        </w:trPr>
        <w:tc>
          <w:tcPr>
            <w:tcW w:w="599" w:type="pct"/>
            <w:tcBorders>
              <w:top w:val="single" w:color="000000" w:sz="4" w:space="0"/>
              <w:left w:val="single" w:color="000000" w:sz="4" w:space="0"/>
              <w:bottom w:val="single" w:color="000000" w:sz="4" w:space="0"/>
              <w:right w:val="single" w:color="000000" w:sz="4" w:space="0"/>
            </w:tcBorders>
            <w:vAlign w:val="center"/>
          </w:tcPr>
          <w:p w14:paraId="3480AF6A">
            <w:pPr>
              <w:pStyle w:val="972"/>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p>
        </w:tc>
        <w:tc>
          <w:tcPr>
            <w:tcW w:w="1868" w:type="pct"/>
            <w:tcBorders>
              <w:top w:val="single" w:color="000000" w:sz="4" w:space="0"/>
              <w:left w:val="single" w:color="000000" w:sz="4" w:space="0"/>
              <w:bottom w:val="single" w:color="000000" w:sz="4" w:space="0"/>
              <w:right w:val="single" w:color="000000" w:sz="4" w:space="0"/>
            </w:tcBorders>
            <w:vAlign w:val="center"/>
          </w:tcPr>
          <w:p w14:paraId="21B7CFB0">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影像存档</w:t>
            </w:r>
          </w:p>
        </w:tc>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4AAE">
            <w:pPr>
              <w:pStyle w:val="972"/>
              <w:spacing w:line="360" w:lineRule="auto"/>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8B0A5">
            <w:pPr>
              <w:pStyle w:val="972"/>
              <w:spacing w:line="360" w:lineRule="auto"/>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r>
    </w:tbl>
    <w:p w14:paraId="2D29922D">
      <w:pPr>
        <w:rPr>
          <w:rFonts w:hint="eastAsia"/>
          <w:color w:val="000000" w:themeColor="text1"/>
          <w:highlight w:val="none"/>
          <w:lang w:val="en-US" w:eastAsia="zh-CN"/>
          <w14:textFill>
            <w14:solidFill>
              <w14:schemeClr w14:val="tx1"/>
            </w14:solidFill>
          </w14:textFill>
        </w:rPr>
      </w:pPr>
    </w:p>
    <w:p w14:paraId="3A4B5349">
      <w:pP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p w14:paraId="199BAB5B">
      <w:pPr>
        <w:keepNext w:val="0"/>
        <w:keepLines w:val="0"/>
        <w:pageBreakBefore w:val="0"/>
        <w:numPr>
          <w:ilvl w:val="0"/>
          <w:numId w:val="2"/>
        </w:numPr>
        <w:kinsoku/>
        <w:wordWrap/>
        <w:overflowPunct/>
        <w:topLinePunct w:val="0"/>
        <w:bidi w:val="0"/>
        <w:adjustRightInd w:val="0"/>
        <w:snapToGrid/>
        <w:spacing w:line="360" w:lineRule="auto"/>
        <w:ind w:left="0" w:firstLine="422" w:firstLineChars="20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具体需求</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及</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功能</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要求</w:t>
      </w:r>
    </w:p>
    <w:tbl>
      <w:tblPr>
        <w:tblStyle w:val="6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7106"/>
        <w:gridCol w:w="1352"/>
      </w:tblGrid>
      <w:tr w14:paraId="73B4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447BF9B9">
            <w:pPr>
              <w:keepNext w:val="0"/>
              <w:keepLines w:val="0"/>
              <w:pageBreakBefore w:val="0"/>
              <w:kinsoku/>
              <w:wordWrap/>
              <w:overflowPunct/>
              <w:topLinePunct w:val="0"/>
              <w:autoSpaceDE/>
              <w:autoSpaceDN/>
              <w:bidi w:val="0"/>
              <w:adjustRightInd/>
              <w:snapToGrid/>
              <w:spacing w:after="0" w:line="360" w:lineRule="auto"/>
              <w:jc w:val="left"/>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3827" w:type="pct"/>
            <w:vAlign w:val="center"/>
          </w:tcPr>
          <w:p w14:paraId="1C757FA7">
            <w:pPr>
              <w:keepNext w:val="0"/>
              <w:keepLines w:val="0"/>
              <w:pageBreakBefore w:val="0"/>
              <w:kinsoku/>
              <w:wordWrap/>
              <w:overflowPunct/>
              <w:topLinePunct w:val="0"/>
              <w:autoSpaceDE/>
              <w:autoSpaceDN/>
              <w:bidi w:val="0"/>
              <w:adjustRightInd/>
              <w:snapToGrid/>
              <w:spacing w:after="0" w:line="360" w:lineRule="auto"/>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具体需求及功能要求</w:t>
            </w:r>
          </w:p>
        </w:tc>
        <w:tc>
          <w:tcPr>
            <w:tcW w:w="728" w:type="pct"/>
            <w:vAlign w:val="center"/>
          </w:tcPr>
          <w:p w14:paraId="0CE2AF3C">
            <w:pPr>
              <w:keepNext w:val="0"/>
              <w:keepLines w:val="0"/>
              <w:pageBreakBefore w:val="0"/>
              <w:kinsoku/>
              <w:wordWrap/>
              <w:overflowPunct/>
              <w:topLinePunct w:val="0"/>
              <w:autoSpaceDE/>
              <w:autoSpaceDN/>
              <w:bidi w:val="0"/>
              <w:adjustRightInd/>
              <w:snapToGrid/>
              <w:spacing w:after="0" w:line="360" w:lineRule="auto"/>
              <w:jc w:val="cente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投标响应</w:t>
            </w:r>
          </w:p>
        </w:tc>
      </w:tr>
      <w:tr w14:paraId="49FD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41D7C443">
            <w:pPr>
              <w:pStyle w:val="972"/>
              <w:keepNext w:val="0"/>
              <w:keepLines w:val="0"/>
              <w:pageBreakBefore w:val="0"/>
              <w:numPr>
                <w:ilvl w:val="0"/>
                <w:numId w:val="3"/>
              </w:numPr>
              <w:kinsoku/>
              <w:wordWrap/>
              <w:overflowPunct/>
              <w:topLinePunct w:val="0"/>
              <w:autoSpaceDE/>
              <w:autoSpaceDN/>
              <w:bidi w:val="0"/>
              <w:adjustRightInd/>
              <w:snapToGrid/>
              <w:spacing w:line="360" w:lineRule="auto"/>
              <w:ind w:left="425" w:leftChars="0" w:hanging="425" w:firstLineChars="0"/>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56EDDEE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预约登记</w:t>
            </w:r>
          </w:p>
        </w:tc>
        <w:tc>
          <w:tcPr>
            <w:tcW w:w="728" w:type="pct"/>
            <w:vAlign w:val="center"/>
          </w:tcPr>
          <w:p w14:paraId="0ED71DC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p>
        </w:tc>
      </w:tr>
      <w:tr w14:paraId="1E32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6337DB0D">
            <w:pPr>
              <w:pStyle w:val="972"/>
              <w:keepNext w:val="0"/>
              <w:keepLines w:val="0"/>
              <w:pageBreakBefore w:val="0"/>
              <w:numPr>
                <w:ilvl w:val="1"/>
                <w:numId w:val="3"/>
              </w:numPr>
              <w:kinsoku/>
              <w:wordWrap/>
              <w:overflowPunct/>
              <w:topLinePunct w:val="0"/>
              <w:autoSpaceDE/>
              <w:autoSpaceDN/>
              <w:bidi w:val="0"/>
              <w:adjustRightInd/>
              <w:snapToGrid/>
              <w:spacing w:line="360" w:lineRule="auto"/>
              <w:ind w:left="567" w:leftChars="0" w:hanging="567" w:firstLineChars="0"/>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1B9BC93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预约分诊模块</w:t>
            </w:r>
          </w:p>
        </w:tc>
        <w:tc>
          <w:tcPr>
            <w:tcW w:w="728" w:type="pct"/>
            <w:vAlign w:val="center"/>
          </w:tcPr>
          <w:p w14:paraId="5C34E82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01DE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40CA8BF8">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583159D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预约分诊包含预约、登记、申请列表、预约列表、登记列表、报告列表、过号列表、取消检查列表、和登记情况等不同的查看页面；</w:t>
            </w:r>
          </w:p>
        </w:tc>
        <w:tc>
          <w:tcPr>
            <w:tcW w:w="728" w:type="pct"/>
            <w:vAlign w:val="center"/>
          </w:tcPr>
          <w:p w14:paraId="3ECC8EC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F3E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5EB67C7A">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7EFE798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对网上的电子申请能够方便地安排检查时间、录入检查信息，对纸张申请能直接录入并安排时间；</w:t>
            </w:r>
          </w:p>
        </w:tc>
        <w:tc>
          <w:tcPr>
            <w:tcW w:w="728" w:type="pct"/>
            <w:vAlign w:val="center"/>
          </w:tcPr>
          <w:p w14:paraId="5EEDDF9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568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6274BB00">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71CA8E7D">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可以直接从HIS方提取病人的基本信息。直接录入检查项目等信息；也可以输入病人姓名或者以首拼的形式提取病人基本信息。直接录入检查项目等信息；</w:t>
            </w:r>
          </w:p>
        </w:tc>
        <w:tc>
          <w:tcPr>
            <w:tcW w:w="728" w:type="pct"/>
            <w:vAlign w:val="center"/>
          </w:tcPr>
          <w:p w14:paraId="0D90F73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000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4BECACB2">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02576CBB">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预约队列能够按照不同时间段进行号源预约，当前时间段约满后不可再约；也可为急诊、VIP患者预留号源；</w:t>
            </w:r>
          </w:p>
        </w:tc>
        <w:tc>
          <w:tcPr>
            <w:tcW w:w="728" w:type="pct"/>
            <w:vAlign w:val="center"/>
          </w:tcPr>
          <w:p w14:paraId="2D8DB67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955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348F46A1">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1C82CE0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选号模式支持自动分配和手动分配两种方式；</w:t>
            </w:r>
          </w:p>
        </w:tc>
        <w:tc>
          <w:tcPr>
            <w:tcW w:w="728" w:type="pct"/>
            <w:vAlign w:val="center"/>
          </w:tcPr>
          <w:p w14:paraId="4113315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1A1B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550A220A">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0FD6CA9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对已经登记的患者支持过号和取消检查的操作；</w:t>
            </w:r>
          </w:p>
        </w:tc>
        <w:tc>
          <w:tcPr>
            <w:tcW w:w="728" w:type="pct"/>
            <w:vAlign w:val="center"/>
          </w:tcPr>
          <w:p w14:paraId="4878B8F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45F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20EB40D5">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223B910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对于取消检查的患者能够快速恢复当前患者检查；</w:t>
            </w:r>
          </w:p>
        </w:tc>
        <w:tc>
          <w:tcPr>
            <w:tcW w:w="728" w:type="pct"/>
            <w:vAlign w:val="center"/>
          </w:tcPr>
          <w:p w14:paraId="3ED195C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24A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192A48E6">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5B83BCB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对及时检查的病人支持快速录入检查申请；</w:t>
            </w:r>
          </w:p>
        </w:tc>
        <w:tc>
          <w:tcPr>
            <w:tcW w:w="728" w:type="pct"/>
            <w:vAlign w:val="center"/>
          </w:tcPr>
          <w:p w14:paraId="3089A52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B261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6C92B9CE">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52ED58C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所有常用项目都提供预输入功能，无需每次输入；</w:t>
            </w:r>
          </w:p>
        </w:tc>
        <w:tc>
          <w:tcPr>
            <w:tcW w:w="728" w:type="pct"/>
            <w:vAlign w:val="center"/>
          </w:tcPr>
          <w:p w14:paraId="7605831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4CA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59C993E0">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3EE7F43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提供签到机1台</w:t>
            </w:r>
          </w:p>
        </w:tc>
        <w:tc>
          <w:tcPr>
            <w:tcW w:w="728" w:type="pct"/>
            <w:vAlign w:val="center"/>
          </w:tcPr>
          <w:p w14:paraId="22631D3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r>
      <w:tr w14:paraId="2453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073D1317">
            <w:pPr>
              <w:pStyle w:val="972"/>
              <w:keepNext w:val="0"/>
              <w:keepLines w:val="0"/>
              <w:pageBreakBefore w:val="0"/>
              <w:numPr>
                <w:ilvl w:val="1"/>
                <w:numId w:val="3"/>
              </w:numPr>
              <w:kinsoku/>
              <w:wordWrap/>
              <w:overflowPunct/>
              <w:topLinePunct w:val="0"/>
              <w:autoSpaceDE/>
              <w:autoSpaceDN/>
              <w:bidi w:val="0"/>
              <w:adjustRightInd/>
              <w:snapToGrid/>
              <w:spacing w:line="360" w:lineRule="auto"/>
              <w:ind w:left="567" w:leftChars="0" w:hanging="567" w:firstLineChars="0"/>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36A391C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电子叫号服务模块</w:t>
            </w:r>
          </w:p>
        </w:tc>
        <w:tc>
          <w:tcPr>
            <w:tcW w:w="728" w:type="pct"/>
            <w:vAlign w:val="center"/>
          </w:tcPr>
          <w:p w14:paraId="47982A9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p>
        </w:tc>
      </w:tr>
      <w:tr w14:paraId="07DD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32AB24FC">
            <w:pPr>
              <w:pStyle w:val="972"/>
              <w:keepNext w:val="0"/>
              <w:keepLines w:val="0"/>
              <w:pageBreakBefore w:val="0"/>
              <w:numPr>
                <w:ilvl w:val="2"/>
                <w:numId w:val="3"/>
              </w:numPr>
              <w:kinsoku/>
              <w:wordWrap/>
              <w:overflowPunct/>
              <w:topLinePunct w:val="0"/>
              <w:autoSpaceDE/>
              <w:autoSpaceDN/>
              <w:bidi w:val="0"/>
              <w:adjustRightInd/>
              <w:snapToGrid/>
              <w:spacing w:line="360" w:lineRule="auto"/>
              <w:ind w:left="709" w:leftChars="0" w:hanging="709" w:firstLineChars="0"/>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010C7B9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问诊呼叫、注射前候诊、注射后候诊多流程叫号系统；</w:t>
            </w:r>
          </w:p>
        </w:tc>
        <w:tc>
          <w:tcPr>
            <w:tcW w:w="728" w:type="pct"/>
            <w:vAlign w:val="center"/>
          </w:tcPr>
          <w:p w14:paraId="2343EF5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19E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27A0E366">
            <w:pPr>
              <w:pStyle w:val="972"/>
              <w:keepNext w:val="0"/>
              <w:keepLines w:val="0"/>
              <w:pageBreakBefore w:val="0"/>
              <w:numPr>
                <w:ilvl w:val="2"/>
                <w:numId w:val="3"/>
              </w:numPr>
              <w:kinsoku/>
              <w:wordWrap/>
              <w:overflowPunct/>
              <w:topLinePunct w:val="0"/>
              <w:autoSpaceDE/>
              <w:autoSpaceDN/>
              <w:bidi w:val="0"/>
              <w:adjustRightInd/>
              <w:snapToGrid/>
              <w:spacing w:line="360" w:lineRule="auto"/>
              <w:ind w:left="709" w:leftChars="0" w:hanging="709" w:firstLineChars="0"/>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2230CE0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支持问诊室呼叫、注射室呼叫、检查时呼叫几个部分。即可以直接通过语音呼叫患者，也可以自定义内容呼叫；</w:t>
            </w:r>
          </w:p>
        </w:tc>
        <w:tc>
          <w:tcPr>
            <w:tcW w:w="728" w:type="pct"/>
            <w:vAlign w:val="center"/>
          </w:tcPr>
          <w:p w14:paraId="11B8437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31D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20CB5B89">
            <w:pPr>
              <w:pStyle w:val="972"/>
              <w:keepNext w:val="0"/>
              <w:keepLines w:val="0"/>
              <w:pageBreakBefore w:val="0"/>
              <w:numPr>
                <w:ilvl w:val="2"/>
                <w:numId w:val="3"/>
              </w:numPr>
              <w:kinsoku/>
              <w:wordWrap/>
              <w:overflowPunct/>
              <w:topLinePunct w:val="0"/>
              <w:autoSpaceDE/>
              <w:autoSpaceDN/>
              <w:bidi w:val="0"/>
              <w:adjustRightInd/>
              <w:snapToGrid/>
              <w:spacing w:line="360" w:lineRule="auto"/>
              <w:ind w:left="709" w:leftChars="0" w:hanging="709" w:firstLineChars="0"/>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7883409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特色的自定义呼叫设计，可将常用的提醒语音以文字形式录入系统中，呼叫时自动以电脑合成语音播放；</w:t>
            </w:r>
          </w:p>
        </w:tc>
        <w:tc>
          <w:tcPr>
            <w:tcW w:w="728" w:type="pct"/>
            <w:vAlign w:val="center"/>
          </w:tcPr>
          <w:p w14:paraId="6B6267B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2A8A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05C2C3D9">
            <w:pPr>
              <w:pStyle w:val="972"/>
              <w:keepNext w:val="0"/>
              <w:keepLines w:val="0"/>
              <w:pageBreakBefore w:val="0"/>
              <w:numPr>
                <w:ilvl w:val="2"/>
                <w:numId w:val="3"/>
              </w:numPr>
              <w:kinsoku/>
              <w:wordWrap/>
              <w:overflowPunct/>
              <w:topLinePunct w:val="0"/>
              <w:autoSpaceDE/>
              <w:autoSpaceDN/>
              <w:bidi w:val="0"/>
              <w:adjustRightInd/>
              <w:snapToGrid/>
              <w:spacing w:line="360" w:lineRule="auto"/>
              <w:ind w:left="709" w:leftChars="0" w:hanging="709" w:firstLineChars="0"/>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57DF203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未呼叫、已呼叫的患者不同颜色提示，便于医生区分；</w:t>
            </w:r>
          </w:p>
        </w:tc>
        <w:tc>
          <w:tcPr>
            <w:tcW w:w="728" w:type="pct"/>
            <w:vAlign w:val="center"/>
          </w:tcPr>
          <w:p w14:paraId="7C6AA71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CEE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7A7ADFB9">
            <w:pPr>
              <w:pStyle w:val="972"/>
              <w:keepNext w:val="0"/>
              <w:keepLines w:val="0"/>
              <w:pageBreakBefore w:val="0"/>
              <w:numPr>
                <w:ilvl w:val="2"/>
                <w:numId w:val="3"/>
              </w:numPr>
              <w:kinsoku/>
              <w:wordWrap/>
              <w:overflowPunct/>
              <w:topLinePunct w:val="0"/>
              <w:autoSpaceDE/>
              <w:autoSpaceDN/>
              <w:bidi w:val="0"/>
              <w:adjustRightInd/>
              <w:snapToGrid/>
              <w:spacing w:line="360" w:lineRule="auto"/>
              <w:ind w:left="709" w:leftChars="0" w:hanging="709" w:firstLineChars="0"/>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0B99D70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支持叫号屏设置，可自由设置所属科室、设备屏名称、设备屏编码、IP地址、端口号、显示队列等相关信息；</w:t>
            </w:r>
          </w:p>
        </w:tc>
        <w:tc>
          <w:tcPr>
            <w:tcW w:w="728" w:type="pct"/>
            <w:vAlign w:val="center"/>
          </w:tcPr>
          <w:p w14:paraId="4ED8886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12C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667144DE">
            <w:pPr>
              <w:pStyle w:val="972"/>
              <w:keepNext w:val="0"/>
              <w:keepLines w:val="0"/>
              <w:pageBreakBefore w:val="0"/>
              <w:numPr>
                <w:ilvl w:val="2"/>
                <w:numId w:val="3"/>
              </w:numPr>
              <w:kinsoku/>
              <w:wordWrap/>
              <w:overflowPunct/>
              <w:topLinePunct w:val="0"/>
              <w:autoSpaceDE/>
              <w:autoSpaceDN/>
              <w:bidi w:val="0"/>
              <w:adjustRightInd/>
              <w:snapToGrid/>
              <w:spacing w:line="360" w:lineRule="auto"/>
              <w:ind w:left="709" w:leftChars="0" w:hanging="709" w:firstLineChars="0"/>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5D1910E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支持屏幕显示方式（横屏、竖屏）、皮肤样式自由选择；</w:t>
            </w:r>
          </w:p>
        </w:tc>
        <w:tc>
          <w:tcPr>
            <w:tcW w:w="728" w:type="pct"/>
            <w:vAlign w:val="center"/>
          </w:tcPr>
          <w:p w14:paraId="1082D13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C92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39FC31FF">
            <w:pPr>
              <w:pStyle w:val="972"/>
              <w:keepNext w:val="0"/>
              <w:keepLines w:val="0"/>
              <w:pageBreakBefore w:val="0"/>
              <w:numPr>
                <w:ilvl w:val="2"/>
                <w:numId w:val="3"/>
              </w:numPr>
              <w:kinsoku/>
              <w:wordWrap/>
              <w:overflowPunct/>
              <w:topLinePunct w:val="0"/>
              <w:autoSpaceDE/>
              <w:autoSpaceDN/>
              <w:bidi w:val="0"/>
              <w:adjustRightInd/>
              <w:snapToGrid/>
              <w:spacing w:line="360" w:lineRule="auto"/>
              <w:ind w:left="709" w:leftChars="0" w:hanging="709" w:firstLineChars="0"/>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25117E8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支持显示屏显示参数自定义设置，可设置标题栏区域显示内容、显示区样式、显示患者样式、语音播放设置、显示内容区设置等。</w:t>
            </w:r>
          </w:p>
        </w:tc>
        <w:tc>
          <w:tcPr>
            <w:tcW w:w="728" w:type="pct"/>
            <w:vAlign w:val="center"/>
          </w:tcPr>
          <w:p w14:paraId="3C1353C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4FE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2D8444FF">
            <w:pPr>
              <w:pStyle w:val="972"/>
              <w:keepNext w:val="0"/>
              <w:keepLines w:val="0"/>
              <w:pageBreakBefore w:val="0"/>
              <w:numPr>
                <w:ilvl w:val="2"/>
                <w:numId w:val="3"/>
              </w:numPr>
              <w:kinsoku/>
              <w:wordWrap/>
              <w:overflowPunct/>
              <w:topLinePunct w:val="0"/>
              <w:autoSpaceDE/>
              <w:autoSpaceDN/>
              <w:bidi w:val="0"/>
              <w:adjustRightInd/>
              <w:snapToGrid/>
              <w:spacing w:line="360" w:lineRule="auto"/>
              <w:ind w:left="709" w:leftChars="0" w:hanging="709" w:firstLineChars="0"/>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50F2319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提供叫号屏1台（55寸）</w:t>
            </w:r>
          </w:p>
        </w:tc>
        <w:tc>
          <w:tcPr>
            <w:tcW w:w="728" w:type="pct"/>
            <w:vAlign w:val="center"/>
          </w:tcPr>
          <w:p w14:paraId="6207485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r>
      <w:tr w14:paraId="3F8D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6BDC4919">
            <w:pPr>
              <w:pStyle w:val="972"/>
              <w:keepNext w:val="0"/>
              <w:keepLines w:val="0"/>
              <w:pageBreakBefore w:val="0"/>
              <w:numPr>
                <w:ilvl w:val="0"/>
                <w:numId w:val="4"/>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1421699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病史问诊</w:t>
            </w:r>
          </w:p>
        </w:tc>
        <w:tc>
          <w:tcPr>
            <w:tcW w:w="728" w:type="pct"/>
            <w:shd w:val="clear" w:color="auto" w:fill="auto"/>
            <w:vAlign w:val="center"/>
          </w:tcPr>
          <w:p w14:paraId="56BFD98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p>
        </w:tc>
      </w:tr>
      <w:tr w14:paraId="6E36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78ECA154">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5643E6A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支持根据登记检查项目，自动选择问诊模板；</w:t>
            </w:r>
          </w:p>
        </w:tc>
        <w:tc>
          <w:tcPr>
            <w:tcW w:w="728" w:type="pct"/>
            <w:vAlign w:val="center"/>
          </w:tcPr>
          <w:p w14:paraId="7E51ABF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49E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7E7946E7">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6E04BB4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支持问诊状态在病人列表中清晰显示。</w:t>
            </w:r>
          </w:p>
        </w:tc>
        <w:tc>
          <w:tcPr>
            <w:tcW w:w="728" w:type="pct"/>
            <w:vAlign w:val="center"/>
          </w:tcPr>
          <w:p w14:paraId="1B391E6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1099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3E646904">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1B3B52A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问诊功能记录检查前的患者信息，与报告工作站集成，医生在诊断报告时可随时调用问诊信息；</w:t>
            </w:r>
          </w:p>
        </w:tc>
        <w:tc>
          <w:tcPr>
            <w:tcW w:w="728" w:type="pct"/>
            <w:vAlign w:val="center"/>
          </w:tcPr>
          <w:p w14:paraId="4C7ED54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1F0C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0CAFED2">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26B299C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问诊界面的的患者现状、病史、检查史等信息可与医院系统集成后自动获取，无需医生在手动填写，通过接口触发后信息自动填写至相关窗口；</w:t>
            </w:r>
          </w:p>
        </w:tc>
        <w:tc>
          <w:tcPr>
            <w:tcW w:w="728" w:type="pct"/>
            <w:vAlign w:val="center"/>
          </w:tcPr>
          <w:p w14:paraId="40EBCDB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84C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158ABF2D">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151C6B0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支持连接胶片扫描仪，将患者自动胶片扫描成数字图像，并与报告系统集成；</w:t>
            </w:r>
          </w:p>
        </w:tc>
        <w:tc>
          <w:tcPr>
            <w:tcW w:w="728" w:type="pct"/>
            <w:vAlign w:val="center"/>
          </w:tcPr>
          <w:p w14:paraId="2EBDF0A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284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3C52EEE8">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3EF2E42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支持患者自带纸张病历数字化功能，将病历数字化存储后，与报告系统集成，建立患者完成的病历资料库；</w:t>
            </w:r>
          </w:p>
        </w:tc>
        <w:tc>
          <w:tcPr>
            <w:tcW w:w="728" w:type="pct"/>
            <w:vAlign w:val="center"/>
          </w:tcPr>
          <w:p w14:paraId="4368EA8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93E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25B57C3C">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592E072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已问诊、未问诊不同颜色标识，方便医生快速识别；</w:t>
            </w:r>
          </w:p>
        </w:tc>
        <w:tc>
          <w:tcPr>
            <w:tcW w:w="728" w:type="pct"/>
            <w:vAlign w:val="center"/>
          </w:tcPr>
          <w:p w14:paraId="7B98996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661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F93E1B3">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16FA1588">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不同的检查项目提供不同的结构化问诊模板，方便医生快速录入问诊信息；</w:t>
            </w:r>
          </w:p>
        </w:tc>
        <w:tc>
          <w:tcPr>
            <w:tcW w:w="728" w:type="pct"/>
            <w:vAlign w:val="center"/>
          </w:tcPr>
          <w:p w14:paraId="3AEAC19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564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1DD51D2">
            <w:pPr>
              <w:pStyle w:val="972"/>
              <w:keepNext w:val="0"/>
              <w:keepLines w:val="0"/>
              <w:pageBreakBefore w:val="0"/>
              <w:numPr>
                <w:ilvl w:val="0"/>
                <w:numId w:val="4"/>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18DBAFA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技师检查</w:t>
            </w:r>
          </w:p>
        </w:tc>
        <w:tc>
          <w:tcPr>
            <w:tcW w:w="728" w:type="pct"/>
            <w:vAlign w:val="center"/>
          </w:tcPr>
          <w:p w14:paraId="3ABAFD8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p>
        </w:tc>
      </w:tr>
      <w:tr w14:paraId="47D8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5A9C28C0">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24BE208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pt-BR"/>
                <w14:textFill>
                  <w14:solidFill>
                    <w14:schemeClr w14:val="tx1"/>
                  </w14:solidFill>
                </w14:textFill>
              </w:rPr>
              <w:t>药物注射管理模块</w:t>
            </w:r>
          </w:p>
        </w:tc>
        <w:tc>
          <w:tcPr>
            <w:tcW w:w="728" w:type="pct"/>
            <w:shd w:val="clear" w:color="auto" w:fill="auto"/>
            <w:vAlign w:val="center"/>
          </w:tcPr>
          <w:p w14:paraId="69353998">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pt-BR"/>
                <w14:textFill>
                  <w14:solidFill>
                    <w14:schemeClr w14:val="tx1"/>
                  </w14:solidFill>
                </w14:textFill>
              </w:rPr>
            </w:pPr>
          </w:p>
        </w:tc>
      </w:tr>
      <w:tr w14:paraId="1494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3C5A40A1">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7EC1EE9B">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管理患者的注射药物流程，具有呼叫功能，呼叫患者到诊室注射；</w:t>
            </w:r>
          </w:p>
        </w:tc>
        <w:tc>
          <w:tcPr>
            <w:tcW w:w="728" w:type="pct"/>
            <w:shd w:val="clear" w:color="auto" w:fill="auto"/>
            <w:vAlign w:val="center"/>
          </w:tcPr>
          <w:p w14:paraId="15CDF3C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22A3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2E801AD3">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76DFB18D">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显示待注射患者列表，自动排程，确认当前检查患者信息；</w:t>
            </w:r>
          </w:p>
        </w:tc>
        <w:tc>
          <w:tcPr>
            <w:tcW w:w="728" w:type="pct"/>
            <w:shd w:val="clear" w:color="auto" w:fill="auto"/>
            <w:vAlign w:val="center"/>
          </w:tcPr>
          <w:p w14:paraId="286E52B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F9A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6F6C12E2">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04CAB2C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按登记顺序呼叫待注射患者，与候诊室的电子显示屏相连，可人工控制呼叫顺序；</w:t>
            </w:r>
          </w:p>
        </w:tc>
        <w:tc>
          <w:tcPr>
            <w:tcW w:w="728" w:type="pct"/>
            <w:shd w:val="clear" w:color="auto" w:fill="auto"/>
            <w:vAlign w:val="center"/>
          </w:tcPr>
          <w:p w14:paraId="45B28B0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103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61969E3A">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0FE8CEA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已注射、未注射患者不同颜色标识，帮助医生快速区分；</w:t>
            </w:r>
          </w:p>
        </w:tc>
        <w:tc>
          <w:tcPr>
            <w:tcW w:w="728" w:type="pct"/>
            <w:shd w:val="clear" w:color="auto" w:fill="auto"/>
            <w:vAlign w:val="center"/>
          </w:tcPr>
          <w:p w14:paraId="2E4ED35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0D9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7987E3C8">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0BD82A6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根据不同的检查项目自适应匹配不同的注射模板，快速记录注射信息；</w:t>
            </w:r>
          </w:p>
        </w:tc>
        <w:tc>
          <w:tcPr>
            <w:tcW w:w="728" w:type="pct"/>
            <w:shd w:val="clear" w:color="auto" w:fill="auto"/>
            <w:vAlign w:val="center"/>
          </w:tcPr>
          <w:p w14:paraId="7C059ED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C6A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1581E7A5">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2E376A38">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与药品管理、预约工作站实现数据双向互通，可查看相关信息；</w:t>
            </w:r>
          </w:p>
        </w:tc>
        <w:tc>
          <w:tcPr>
            <w:tcW w:w="728" w:type="pct"/>
            <w:shd w:val="clear" w:color="auto" w:fill="auto"/>
            <w:vAlign w:val="center"/>
          </w:tcPr>
          <w:p w14:paraId="50EF35F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FE6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738C0674">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78ADBB6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提供问诊注射患者质控，未问诊患者不进入注射列表，强化患者诊前流程质控；</w:t>
            </w:r>
          </w:p>
        </w:tc>
        <w:tc>
          <w:tcPr>
            <w:tcW w:w="728" w:type="pct"/>
            <w:shd w:val="clear" w:color="auto" w:fill="auto"/>
            <w:vAlign w:val="center"/>
          </w:tcPr>
          <w:p w14:paraId="2DF6ECF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14E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0A5ED403">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3BBF600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支持记录注射患者留置针信息（包括留置针部位、留置针人员）；</w:t>
            </w:r>
          </w:p>
        </w:tc>
        <w:tc>
          <w:tcPr>
            <w:tcW w:w="728" w:type="pct"/>
            <w:shd w:val="clear" w:color="auto" w:fill="auto"/>
            <w:vAlign w:val="center"/>
          </w:tcPr>
          <w:p w14:paraId="64C3738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6D6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5D3C4783">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54083AD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pt-BR"/>
                <w14:textFill>
                  <w14:solidFill>
                    <w14:schemeClr w14:val="tx1"/>
                  </w14:solidFill>
                </w14:textFill>
              </w:rPr>
              <w:t>检查技术管理模块</w:t>
            </w:r>
          </w:p>
        </w:tc>
        <w:tc>
          <w:tcPr>
            <w:tcW w:w="728" w:type="pct"/>
            <w:shd w:val="clear" w:color="auto" w:fill="auto"/>
            <w:vAlign w:val="center"/>
          </w:tcPr>
          <w:p w14:paraId="2C415FA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pt-BR"/>
                <w14:textFill>
                  <w14:solidFill>
                    <w14:schemeClr w14:val="tx1"/>
                  </w14:solidFill>
                </w14:textFill>
              </w:rPr>
            </w:pPr>
          </w:p>
        </w:tc>
      </w:tr>
      <w:tr w14:paraId="40C5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345077A1">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5291E718">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提供患者检查列表，医生能够快速查看待检查患者的基础信息；</w:t>
            </w:r>
          </w:p>
        </w:tc>
        <w:tc>
          <w:tcPr>
            <w:tcW w:w="728" w:type="pct"/>
            <w:vAlign w:val="center"/>
          </w:tcPr>
          <w:p w14:paraId="07BCC06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FEE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14B01A30">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26400EF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检查列表中显示当前待检查患者的已注射和未注射状态；</w:t>
            </w:r>
          </w:p>
        </w:tc>
        <w:tc>
          <w:tcPr>
            <w:tcW w:w="728" w:type="pct"/>
            <w:vAlign w:val="center"/>
          </w:tcPr>
          <w:p w14:paraId="3CEBBB6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108C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71AA341C">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4715B5D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支持查看患者的注射时间和药物信息；</w:t>
            </w:r>
          </w:p>
        </w:tc>
        <w:tc>
          <w:tcPr>
            <w:tcW w:w="728" w:type="pct"/>
            <w:vAlign w:val="center"/>
          </w:tcPr>
          <w:p w14:paraId="72B3883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3F8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F0FF5E2">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12C0563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检查环节支持呼叫患者检查、自定义呼叫患者检查；</w:t>
            </w:r>
          </w:p>
        </w:tc>
        <w:tc>
          <w:tcPr>
            <w:tcW w:w="728" w:type="pct"/>
            <w:vAlign w:val="center"/>
          </w:tcPr>
          <w:p w14:paraId="6D72187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73D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1AE7A7CA">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9B3D4C8">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能够对当前患者进行检查、开始检查、等候、离开等状态的标定；</w:t>
            </w:r>
          </w:p>
        </w:tc>
        <w:tc>
          <w:tcPr>
            <w:tcW w:w="728" w:type="pct"/>
            <w:vAlign w:val="center"/>
          </w:tcPr>
          <w:p w14:paraId="398DBA8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6C4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0DB8CAB0">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BB31A7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检查状态实时更新，显示患者的未检查、检查中、已检查等状态；</w:t>
            </w:r>
          </w:p>
        </w:tc>
        <w:tc>
          <w:tcPr>
            <w:tcW w:w="728" w:type="pct"/>
            <w:vAlign w:val="center"/>
          </w:tcPr>
          <w:p w14:paraId="4DED05D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28D1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21F11176">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39F57B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已检查、未检查患者不同颜色标识，帮助医生快速区分；</w:t>
            </w:r>
          </w:p>
        </w:tc>
        <w:tc>
          <w:tcPr>
            <w:tcW w:w="728" w:type="pct"/>
            <w:vAlign w:val="center"/>
          </w:tcPr>
          <w:p w14:paraId="1493515B">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A14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735A5B22">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47F67CF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支持记录患者检查前详细准备信息，包括是否饮水、饮水量、饮水时间、利尿剂剂量和时间等；</w:t>
            </w:r>
          </w:p>
        </w:tc>
        <w:tc>
          <w:tcPr>
            <w:tcW w:w="728" w:type="pct"/>
            <w:vAlign w:val="center"/>
          </w:tcPr>
          <w:p w14:paraId="4CD3512D">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4D3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2DE9B1B7">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2F4DA37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支持记录患者检查采集时间、部位、辐射剂量等关键参数；</w:t>
            </w:r>
          </w:p>
        </w:tc>
        <w:tc>
          <w:tcPr>
            <w:tcW w:w="728" w:type="pct"/>
            <w:vAlign w:val="center"/>
          </w:tcPr>
          <w:p w14:paraId="6FDB27E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1C8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1AA4A494">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7668217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对于延迟显像，可记录延迟显像采集时间、部位等信息；</w:t>
            </w:r>
          </w:p>
        </w:tc>
        <w:tc>
          <w:tcPr>
            <w:tcW w:w="728" w:type="pct"/>
            <w:vAlign w:val="center"/>
          </w:tcPr>
          <w:p w14:paraId="08A2471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461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30A704DF">
            <w:pPr>
              <w:pStyle w:val="972"/>
              <w:keepNext w:val="0"/>
              <w:keepLines w:val="0"/>
              <w:pageBreakBefore w:val="0"/>
              <w:numPr>
                <w:ilvl w:val="0"/>
                <w:numId w:val="4"/>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75EDF54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报告编辑</w:t>
            </w:r>
          </w:p>
        </w:tc>
        <w:tc>
          <w:tcPr>
            <w:tcW w:w="728" w:type="pct"/>
            <w:shd w:val="clear" w:color="auto" w:fill="auto"/>
            <w:vAlign w:val="center"/>
          </w:tcPr>
          <w:p w14:paraId="10317BA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p>
        </w:tc>
      </w:tr>
      <w:tr w14:paraId="7DBD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31216F65">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18B156D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SPECT-CT核医学报告输出与审核模块</w:t>
            </w:r>
          </w:p>
        </w:tc>
        <w:tc>
          <w:tcPr>
            <w:tcW w:w="728" w:type="pct"/>
            <w:vAlign w:val="center"/>
          </w:tcPr>
          <w:p w14:paraId="24778C0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6FCB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5FDA7113">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90AEC2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pt-BR"/>
                <w14:textFill>
                  <w14:solidFill>
                    <w14:schemeClr w14:val="tx1"/>
                  </w14:solidFill>
                </w14:textFill>
              </w:rPr>
              <w:t>支持快速查看患者CT、MR影像，并提供窗宽窗位、放大、缩小、均衡等多种图像处理工具；</w:t>
            </w:r>
          </w:p>
        </w:tc>
        <w:tc>
          <w:tcPr>
            <w:tcW w:w="728" w:type="pct"/>
            <w:vAlign w:val="center"/>
          </w:tcPr>
          <w:p w14:paraId="2D19F2F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pt-BR"/>
                <w14:textFill>
                  <w14:solidFill>
                    <w14:schemeClr w14:val="tx1"/>
                  </w14:solidFill>
                </w14:textFill>
              </w:rPr>
            </w:pPr>
          </w:p>
        </w:tc>
      </w:tr>
      <w:tr w14:paraId="479C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11370683">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1D772BA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pt-BR"/>
                <w14:textFill>
                  <w14:solidFill>
                    <w14:schemeClr w14:val="tx1"/>
                  </w14:solidFill>
                </w14:textFill>
              </w:rPr>
              <w:t>支持查看患者扫描资料、问诊、注射、检查信息，辅助医生诊断；</w:t>
            </w:r>
          </w:p>
        </w:tc>
        <w:tc>
          <w:tcPr>
            <w:tcW w:w="728" w:type="pct"/>
            <w:vAlign w:val="center"/>
          </w:tcPr>
          <w:p w14:paraId="735377E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pt-BR"/>
                <w14:textFill>
                  <w14:solidFill>
                    <w14:schemeClr w14:val="tx1"/>
                  </w14:solidFill>
                </w14:textFill>
              </w:rPr>
            </w:pPr>
          </w:p>
        </w:tc>
      </w:tr>
      <w:tr w14:paraId="3046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4DBF3C54">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1340627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pt-BR"/>
                <w14:textFill>
                  <w14:solidFill>
                    <w14:schemeClr w14:val="tx1"/>
                  </w14:solidFill>
                </w14:textFill>
              </w:rPr>
              <w:t>支持显示患者在本院做的多次历史检查，查看患者历史检查的序列、病史、报告，可一键复制历史报告中的所见结论至当前报告当中；</w:t>
            </w:r>
          </w:p>
        </w:tc>
        <w:tc>
          <w:tcPr>
            <w:tcW w:w="728" w:type="pct"/>
            <w:vAlign w:val="center"/>
          </w:tcPr>
          <w:p w14:paraId="5E38264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pt-BR"/>
                <w14:textFill>
                  <w14:solidFill>
                    <w14:schemeClr w14:val="tx1"/>
                  </w14:solidFill>
                </w14:textFill>
              </w:rPr>
            </w:pPr>
          </w:p>
        </w:tc>
      </w:tr>
      <w:tr w14:paraId="58FB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23D9EE10">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25CC717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pt-BR"/>
                <w14:textFill>
                  <w14:solidFill>
                    <w14:schemeClr w14:val="tx1"/>
                  </w14:solidFill>
                </w14:textFill>
              </w:rPr>
              <w:t>支持报告语音录入，录入后可回放；</w:t>
            </w:r>
          </w:p>
        </w:tc>
        <w:tc>
          <w:tcPr>
            <w:tcW w:w="728" w:type="pct"/>
            <w:vAlign w:val="center"/>
          </w:tcPr>
          <w:p w14:paraId="7BBED03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pt-BR"/>
                <w14:textFill>
                  <w14:solidFill>
                    <w14:schemeClr w14:val="tx1"/>
                  </w14:solidFill>
                </w14:textFill>
              </w:rPr>
            </w:pPr>
          </w:p>
        </w:tc>
      </w:tr>
      <w:tr w14:paraId="2339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590508D9">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7090768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pt-BR"/>
                <w14:textFill>
                  <w14:solidFill>
                    <w14:schemeClr w14:val="tx1"/>
                  </w14:solidFill>
                </w14:textFill>
              </w:rPr>
              <w:t>患者报告修改痕迹追踪，患者报告不同时间、不同医生修改内容同屏对比，新增或删除的内容以不同颜色和横线、下划线的方式对比显示，强化报告内容质控；</w:t>
            </w:r>
          </w:p>
        </w:tc>
        <w:tc>
          <w:tcPr>
            <w:tcW w:w="728" w:type="pct"/>
            <w:vAlign w:val="center"/>
          </w:tcPr>
          <w:p w14:paraId="760B0C3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pt-BR"/>
                <w14:textFill>
                  <w14:solidFill>
                    <w14:schemeClr w14:val="tx1"/>
                  </w14:solidFill>
                </w14:textFill>
              </w:rPr>
            </w:pPr>
          </w:p>
        </w:tc>
      </w:tr>
      <w:tr w14:paraId="5CAF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50D80C22">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EED246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pt-BR"/>
                <w14:textFill>
                  <w14:solidFill>
                    <w14:schemeClr w14:val="tx1"/>
                  </w14:solidFill>
                </w14:textFill>
              </w:rPr>
              <w:t>支持对所见和结论文字的字号、字体、行间距进行调整；</w:t>
            </w:r>
          </w:p>
        </w:tc>
        <w:tc>
          <w:tcPr>
            <w:tcW w:w="728" w:type="pct"/>
            <w:vAlign w:val="center"/>
          </w:tcPr>
          <w:p w14:paraId="0BAFC3C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pt-BR"/>
                <w14:textFill>
                  <w14:solidFill>
                    <w14:schemeClr w14:val="tx1"/>
                  </w14:solidFill>
                </w14:textFill>
              </w:rPr>
            </w:pPr>
          </w:p>
        </w:tc>
      </w:tr>
      <w:tr w14:paraId="29B6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04D9FB3">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6820C61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w:t>
            </w:r>
            <w:r>
              <w:rPr>
                <w:rFonts w:hint="eastAsia" w:ascii="宋体" w:hAnsi="宋体" w:eastAsia="宋体" w:cs="宋体"/>
                <w:color w:val="000000" w:themeColor="text1"/>
                <w:kern w:val="0"/>
                <w:sz w:val="21"/>
                <w:szCs w:val="21"/>
                <w:highlight w:val="none"/>
                <w:lang w:val="pt-BR"/>
                <w14:textFill>
                  <w14:solidFill>
                    <w14:schemeClr w14:val="tx1"/>
                  </w14:solidFill>
                </w14:textFill>
              </w:rPr>
              <w:t>医生编写报告过程中可调阅电子申请单查看医嘱与病史信息；</w:t>
            </w:r>
          </w:p>
        </w:tc>
        <w:tc>
          <w:tcPr>
            <w:tcW w:w="728" w:type="pct"/>
            <w:vAlign w:val="center"/>
          </w:tcPr>
          <w:p w14:paraId="3565FA9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51C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4FE0C01A">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13ABA0EB">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w:t>
            </w:r>
            <w:r>
              <w:rPr>
                <w:rFonts w:hint="eastAsia" w:ascii="宋体" w:hAnsi="宋体" w:eastAsia="宋体" w:cs="宋体"/>
                <w:color w:val="000000" w:themeColor="text1"/>
                <w:kern w:val="0"/>
                <w:sz w:val="21"/>
                <w:szCs w:val="21"/>
                <w:highlight w:val="none"/>
                <w:lang w:val="pt-BR"/>
                <w14:textFill>
                  <w14:solidFill>
                    <w14:schemeClr w14:val="tx1"/>
                  </w14:solidFill>
                </w14:textFill>
              </w:rPr>
              <w:t>内置报告模板。报告模板可根据医生需求随时添加、修改。</w:t>
            </w:r>
          </w:p>
        </w:tc>
        <w:tc>
          <w:tcPr>
            <w:tcW w:w="728" w:type="pct"/>
            <w:vAlign w:val="center"/>
          </w:tcPr>
          <w:p w14:paraId="69689F0B">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2FF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19C19B3">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7572F4C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pt-BR"/>
                <w14:textFill>
                  <w14:solidFill>
                    <w14:schemeClr w14:val="tx1"/>
                  </w14:solidFill>
                </w14:textFill>
              </w:rPr>
              <w:t>当前报告内容能够快速保存成报告模版，形成医生自己的诊断模版库；</w:t>
            </w:r>
          </w:p>
        </w:tc>
        <w:tc>
          <w:tcPr>
            <w:tcW w:w="728" w:type="pct"/>
            <w:vAlign w:val="center"/>
          </w:tcPr>
          <w:p w14:paraId="30EDFF2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pt-BR"/>
                <w14:textFill>
                  <w14:solidFill>
                    <w14:schemeClr w14:val="tx1"/>
                  </w14:solidFill>
                </w14:textFill>
              </w:rPr>
            </w:pPr>
          </w:p>
        </w:tc>
      </w:tr>
      <w:tr w14:paraId="249E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5F397029">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BB4849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pt-BR"/>
                <w14:textFill>
                  <w14:solidFill>
                    <w14:schemeClr w14:val="tx1"/>
                  </w14:solidFill>
                </w14:textFill>
              </w:rPr>
              <w:t>支持报告电子审核；上级医生可批准或驳回下级医生的初步诊断，并加注评语最后由医生打印报告，留下历史修改记录与审核记录内容；</w:t>
            </w:r>
          </w:p>
        </w:tc>
        <w:tc>
          <w:tcPr>
            <w:tcW w:w="728" w:type="pct"/>
            <w:vAlign w:val="center"/>
          </w:tcPr>
          <w:p w14:paraId="75166FC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pt-BR"/>
                <w14:textFill>
                  <w14:solidFill>
                    <w14:schemeClr w14:val="tx1"/>
                  </w14:solidFill>
                </w14:textFill>
              </w:rPr>
            </w:pPr>
          </w:p>
        </w:tc>
      </w:tr>
      <w:tr w14:paraId="454D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40BEE60B">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783B077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pt-BR"/>
                <w14:textFill>
                  <w14:solidFill>
                    <w14:schemeClr w14:val="tx1"/>
                  </w14:solidFill>
                </w14:textFill>
              </w:rPr>
              <w:t>支持报告自动校验功能，如：女性患者诊断出现前列腺字样，报告保存时系统自动弹框提示报警。</w:t>
            </w:r>
            <w:r>
              <w:rPr>
                <w:rFonts w:hint="eastAsia" w:ascii="宋体" w:hAnsi="宋体" w:eastAsia="宋体" w:cs="宋体"/>
                <w:b/>
                <w:bCs/>
                <w:color w:val="000000" w:themeColor="text1"/>
                <w:kern w:val="0"/>
                <w:sz w:val="21"/>
                <w:szCs w:val="21"/>
                <w:highlight w:val="none"/>
                <w:lang w:val="pt-BR"/>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投标文件中</w:t>
            </w:r>
            <w:r>
              <w:rPr>
                <w:rFonts w:hint="eastAsia" w:ascii="宋体" w:hAnsi="宋体" w:eastAsia="宋体" w:cs="宋体"/>
                <w:b/>
                <w:bCs/>
                <w:color w:val="000000" w:themeColor="text1"/>
                <w:kern w:val="0"/>
                <w:sz w:val="21"/>
                <w:szCs w:val="21"/>
                <w:highlight w:val="none"/>
                <w:lang w:val="pt-BR"/>
                <w14:textFill>
                  <w14:solidFill>
                    <w14:schemeClr w14:val="tx1"/>
                  </w14:solidFill>
                </w14:textFill>
              </w:rPr>
              <w:t>需提供软件截图）</w:t>
            </w:r>
          </w:p>
        </w:tc>
        <w:tc>
          <w:tcPr>
            <w:tcW w:w="728" w:type="pct"/>
            <w:vAlign w:val="center"/>
          </w:tcPr>
          <w:p w14:paraId="4B3F469D">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pt-BR"/>
                <w14:textFill>
                  <w14:solidFill>
                    <w14:schemeClr w14:val="tx1"/>
                  </w14:solidFill>
                </w14:textFill>
              </w:rPr>
            </w:pPr>
          </w:p>
        </w:tc>
      </w:tr>
      <w:tr w14:paraId="2135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4EED1A42">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5B1ED5A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pt-BR"/>
                <w14:textFill>
                  <w14:solidFill>
                    <w14:schemeClr w14:val="tx1"/>
                  </w14:solidFill>
                </w14:textFill>
              </w:rPr>
              <w:t>支持摄片质量质控，可对摄片质量进行评分和原因描述，评分按等级分为甲、乙、丙不同等级</w:t>
            </w:r>
            <w:r>
              <w:rPr>
                <w:rFonts w:hint="eastAsia" w:ascii="宋体" w:hAnsi="宋体" w:cs="宋体"/>
                <w:color w:val="000000" w:themeColor="text1"/>
                <w:kern w:val="0"/>
                <w:sz w:val="21"/>
                <w:szCs w:val="21"/>
                <w:highlight w:val="none"/>
                <w:lang w:val="pt-BR"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pt-BR"/>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投标文件中</w:t>
            </w:r>
            <w:r>
              <w:rPr>
                <w:rFonts w:hint="eastAsia" w:ascii="宋体" w:hAnsi="宋体" w:eastAsia="宋体" w:cs="宋体"/>
                <w:b/>
                <w:bCs/>
                <w:color w:val="000000" w:themeColor="text1"/>
                <w:kern w:val="0"/>
                <w:sz w:val="21"/>
                <w:szCs w:val="21"/>
                <w:highlight w:val="none"/>
                <w:lang w:val="pt-BR"/>
                <w14:textFill>
                  <w14:solidFill>
                    <w14:schemeClr w14:val="tx1"/>
                  </w14:solidFill>
                </w14:textFill>
              </w:rPr>
              <w:t>提供软件截图）</w:t>
            </w:r>
          </w:p>
        </w:tc>
        <w:tc>
          <w:tcPr>
            <w:tcW w:w="728" w:type="pct"/>
            <w:vAlign w:val="center"/>
          </w:tcPr>
          <w:p w14:paraId="1A6BDAD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pt-BR"/>
                <w14:textFill>
                  <w14:solidFill>
                    <w14:schemeClr w14:val="tx1"/>
                  </w14:solidFill>
                </w14:textFill>
              </w:rPr>
            </w:pPr>
          </w:p>
        </w:tc>
      </w:tr>
      <w:tr w14:paraId="5D2B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13CF8C7D">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404944D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pt-BR"/>
                <w14:textFill>
                  <w14:solidFill>
                    <w14:schemeClr w14:val="tx1"/>
                  </w14:solidFill>
                </w14:textFill>
              </w:rPr>
              <w:t>支持报告质量质控，可对报告质量进行评分和原因描述，评分按等级分为优秀、良好、合格不同等级</w:t>
            </w:r>
          </w:p>
        </w:tc>
        <w:tc>
          <w:tcPr>
            <w:tcW w:w="728" w:type="pct"/>
            <w:vAlign w:val="center"/>
          </w:tcPr>
          <w:p w14:paraId="006356E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pt-BR"/>
                <w14:textFill>
                  <w14:solidFill>
                    <w14:schemeClr w14:val="tx1"/>
                  </w14:solidFill>
                </w14:textFill>
              </w:rPr>
            </w:pPr>
          </w:p>
        </w:tc>
      </w:tr>
      <w:tr w14:paraId="35A6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04476414">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4E39F33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pt-BR"/>
                <w14:textFill>
                  <w14:solidFill>
                    <w14:schemeClr w14:val="tx1"/>
                  </w14:solidFill>
                </w14:textFill>
              </w:rPr>
              <w:t>支持在报告审核时将疾病进行诊断归类，可将疾病按照初诊、分期、疗后评价、随诊等不同条目归类。</w:t>
            </w:r>
          </w:p>
        </w:tc>
        <w:tc>
          <w:tcPr>
            <w:tcW w:w="728" w:type="pct"/>
            <w:vAlign w:val="center"/>
          </w:tcPr>
          <w:p w14:paraId="69F0086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pt-BR"/>
                <w14:textFill>
                  <w14:solidFill>
                    <w14:schemeClr w14:val="tx1"/>
                  </w14:solidFill>
                </w14:textFill>
              </w:rPr>
            </w:pPr>
          </w:p>
        </w:tc>
      </w:tr>
      <w:tr w14:paraId="2BC9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E02D8D5">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7BE2ED8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pt-BR"/>
                <w14:textFill>
                  <w14:solidFill>
                    <w14:schemeClr w14:val="tx1"/>
                  </w14:solidFill>
                </w14:textFill>
              </w:rPr>
              <w:t>能够对报告的典型图像添加报告描述，并带入到报告当中；</w:t>
            </w:r>
          </w:p>
        </w:tc>
        <w:tc>
          <w:tcPr>
            <w:tcW w:w="728" w:type="pct"/>
            <w:vAlign w:val="center"/>
          </w:tcPr>
          <w:p w14:paraId="63C648B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pt-BR"/>
                <w14:textFill>
                  <w14:solidFill>
                    <w14:schemeClr w14:val="tx1"/>
                  </w14:solidFill>
                </w14:textFill>
              </w:rPr>
            </w:pPr>
          </w:p>
        </w:tc>
      </w:tr>
      <w:tr w14:paraId="46FD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732CE967">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6A609C6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pt-BR"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实时交互会诊</w:t>
            </w:r>
          </w:p>
        </w:tc>
        <w:tc>
          <w:tcPr>
            <w:tcW w:w="728" w:type="pct"/>
            <w:vAlign w:val="center"/>
          </w:tcPr>
          <w:p w14:paraId="56ED13A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p>
        </w:tc>
      </w:tr>
      <w:tr w14:paraId="23BD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CE8A4D8">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48822D3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pt-BR"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支持多方共享的实时会诊</w:t>
            </w:r>
            <w:r>
              <w:rPr>
                <w:rFonts w:hint="eastAsia" w:ascii="宋体" w:hAnsi="宋体" w:eastAsia="宋体" w:cs="宋体"/>
                <w:b/>
                <w:bCs/>
                <w:color w:val="000000" w:themeColor="text1"/>
                <w:kern w:val="0"/>
                <w:sz w:val="21"/>
                <w:szCs w:val="21"/>
                <w:highlight w:val="none"/>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投标文件中</w:t>
            </w:r>
            <w:r>
              <w:rPr>
                <w:rFonts w:hint="eastAsia" w:ascii="宋体" w:hAnsi="宋体" w:eastAsia="宋体" w:cs="宋体"/>
                <w:b/>
                <w:bCs/>
                <w:color w:val="000000" w:themeColor="text1"/>
                <w:kern w:val="0"/>
                <w:sz w:val="21"/>
                <w:szCs w:val="21"/>
                <w:highlight w:val="none"/>
                <w14:textFill>
                  <w14:solidFill>
                    <w14:schemeClr w14:val="tx1"/>
                  </w14:solidFill>
                </w14:textFill>
              </w:rPr>
              <w:t>提供交互会诊系统</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类</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软件著作权证书</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扫描件加盖公章</w:t>
            </w:r>
            <w:r>
              <w:rPr>
                <w:rFonts w:hint="eastAsia" w:ascii="宋体" w:hAnsi="宋体" w:eastAsia="宋体" w:cs="宋体"/>
                <w:b/>
                <w:bCs/>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728" w:type="pct"/>
            <w:vAlign w:val="center"/>
          </w:tcPr>
          <w:p w14:paraId="603908A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BA1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0E701085">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61667EC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pt-BR"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B/S架构，院内网络中的任意一台计算机可直接加入会诊；</w:t>
            </w:r>
          </w:p>
        </w:tc>
        <w:tc>
          <w:tcPr>
            <w:tcW w:w="728" w:type="pct"/>
            <w:vAlign w:val="center"/>
          </w:tcPr>
          <w:p w14:paraId="278512E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BF8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2D4024EB">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2D0E28A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pt-BR"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会诊多方可同时共享一个软件界面；</w:t>
            </w:r>
          </w:p>
        </w:tc>
        <w:tc>
          <w:tcPr>
            <w:tcW w:w="728" w:type="pct"/>
            <w:vAlign w:val="center"/>
          </w:tcPr>
          <w:p w14:paraId="7F9804C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136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5FBA144F">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2FB6686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pt-BR"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会诊多方皆可对软件进行在线操作，操作过程多方实时共享；</w:t>
            </w:r>
          </w:p>
        </w:tc>
        <w:tc>
          <w:tcPr>
            <w:tcW w:w="728" w:type="pct"/>
            <w:vAlign w:val="center"/>
          </w:tcPr>
          <w:p w14:paraId="5691E818">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C78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02AA0684">
            <w:pPr>
              <w:pStyle w:val="972"/>
              <w:keepNext w:val="0"/>
              <w:keepLines w:val="0"/>
              <w:pageBreakBefore w:val="0"/>
              <w:numPr>
                <w:ilvl w:val="0"/>
                <w:numId w:val="4"/>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3E8B779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图像融合处理管理</w:t>
            </w:r>
          </w:p>
        </w:tc>
        <w:tc>
          <w:tcPr>
            <w:tcW w:w="728" w:type="pct"/>
            <w:shd w:val="clear" w:color="auto" w:fill="auto"/>
            <w:vAlign w:val="center"/>
          </w:tcPr>
          <w:p w14:paraId="52684B0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p>
        </w:tc>
      </w:tr>
      <w:tr w14:paraId="6709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13C0C66D">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3684CF7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支持图像重组：对PET-CT、PET-MR及核磁图像进行重组显示，并对比显示PET、CT、MR、FUSED图像的横切面、矢状面和冠状面。提供20多种影像显示模式</w:t>
            </w:r>
          </w:p>
        </w:tc>
        <w:tc>
          <w:tcPr>
            <w:tcW w:w="728" w:type="pct"/>
            <w:shd w:val="clear" w:color="auto" w:fill="auto"/>
            <w:vAlign w:val="center"/>
          </w:tcPr>
          <w:p w14:paraId="46E80DF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67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11632354">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7D96835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支持PET-MR多序列预览窗口，可快速将任一序列调入显示窗口，实现多序列MR图像的切换查看；</w:t>
            </w:r>
          </w:p>
        </w:tc>
        <w:tc>
          <w:tcPr>
            <w:tcW w:w="728" w:type="pct"/>
            <w:shd w:val="clear" w:color="auto" w:fill="auto"/>
            <w:vAlign w:val="center"/>
          </w:tcPr>
          <w:p w14:paraId="681DF27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84E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784169FE">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69ABEB28">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支持当前检查的多个MR序列图像并列显示，不同序列依据床位自动匹配：</w:t>
            </w:r>
          </w:p>
        </w:tc>
        <w:tc>
          <w:tcPr>
            <w:tcW w:w="728" w:type="pct"/>
            <w:shd w:val="clear" w:color="auto" w:fill="auto"/>
            <w:vAlign w:val="center"/>
          </w:tcPr>
          <w:p w14:paraId="45DF3A4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1327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3CE68B2B">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2A9FD35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支持图像的任意多角度重建，可通过旋转图像或旋转定位线的方式对PETCT图像进行斜面重组，医生可多角度多侧面观察病灶；</w:t>
            </w:r>
          </w:p>
        </w:tc>
        <w:tc>
          <w:tcPr>
            <w:tcW w:w="728" w:type="pct"/>
            <w:shd w:val="clear" w:color="auto" w:fill="auto"/>
            <w:vAlign w:val="center"/>
          </w:tcPr>
          <w:p w14:paraId="4218C5FD">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E89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38BE0674">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3DEF06C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支持脑PET图像正位功能，对于经常发生的患者头部PET摆位不正的情况，支持软件中对脑PET进行重新位置校正，校正后的图像进行多平面重组，确保图像的准确与位置的适中；</w:t>
            </w:r>
          </w:p>
        </w:tc>
        <w:tc>
          <w:tcPr>
            <w:tcW w:w="728" w:type="pct"/>
            <w:shd w:val="clear" w:color="auto" w:fill="auto"/>
            <w:vAlign w:val="center"/>
          </w:tcPr>
          <w:p w14:paraId="492FCCB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1E7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6C34CDDE">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6E5D420B">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支持多次检查融合图像同屏对比功能：患者多次检查的同屏对比功能，可方便的查看一个患者的多次检查图像。最大可支持次六检查影像的同屏对比。且可任意修改显示模式；</w:t>
            </w:r>
          </w:p>
        </w:tc>
        <w:tc>
          <w:tcPr>
            <w:tcW w:w="728" w:type="pct"/>
            <w:shd w:val="clear" w:color="auto" w:fill="auto"/>
            <w:vAlign w:val="center"/>
          </w:tcPr>
          <w:p w14:paraId="2E6C44F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1C61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3EBF77F6">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47A1C29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支持肿瘤对比影像的同部位SUV连动测量：在一次检查的影像上勾画SUV值测量感兴区，自动在其它检查上同部位勾画相同区域，确保对相同肿瘤部位进行对比评估，避免两次手动勾画的误差；</w:t>
            </w:r>
          </w:p>
        </w:tc>
        <w:tc>
          <w:tcPr>
            <w:tcW w:w="728" w:type="pct"/>
            <w:shd w:val="clear" w:color="auto" w:fill="auto"/>
            <w:vAlign w:val="center"/>
          </w:tcPr>
          <w:p w14:paraId="17B0A47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A2A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7612D40B">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1A44A74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支持多区域病灶智能识别功能：通过设定一个SUV值，系统自动将PET图像上SUV值超出该值范围的区域以高亮颜色显示，辅助医生快速定位所有的病变区域；</w:t>
            </w:r>
          </w:p>
        </w:tc>
        <w:tc>
          <w:tcPr>
            <w:tcW w:w="728" w:type="pct"/>
            <w:vAlign w:val="center"/>
          </w:tcPr>
          <w:p w14:paraId="411FE00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2C04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4E77DAE8">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5C1CD4A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支持MIP图像三维投影：支持图像三维投影，生成立体影像，可动态旋转；</w:t>
            </w:r>
          </w:p>
        </w:tc>
        <w:tc>
          <w:tcPr>
            <w:tcW w:w="728" w:type="pct"/>
            <w:vAlign w:val="center"/>
          </w:tcPr>
          <w:p w14:paraId="3F6E2C58">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2E1C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3C755C28">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0CDE5E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支持融合图像MIP重建：以固定层厚进行融合图像重建，通过滑杆实现MIP图像融合重建；</w:t>
            </w:r>
          </w:p>
        </w:tc>
        <w:tc>
          <w:tcPr>
            <w:tcW w:w="728" w:type="pct"/>
            <w:vAlign w:val="center"/>
          </w:tcPr>
          <w:p w14:paraId="7D274AE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B62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FA3B3AB">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3FEC913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支持图像联动定位：支持定位线、定位键头、快捷键、鼠标滚轮等多种方式快速联动定位不同截面的图像，调整某一截面图像时，其它截面图像实时联动调整；</w:t>
            </w:r>
          </w:p>
        </w:tc>
        <w:tc>
          <w:tcPr>
            <w:tcW w:w="728" w:type="pct"/>
            <w:vAlign w:val="center"/>
          </w:tcPr>
          <w:p w14:paraId="2BA28178">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BB8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3A9031F7">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55AD718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支持患者信息保密功能：可隐藏患者姓名、性别、ID号、医院名等信息，方便学术交流，隐藏或保留哪些信息项可自定义；</w:t>
            </w:r>
          </w:p>
        </w:tc>
        <w:tc>
          <w:tcPr>
            <w:tcW w:w="728" w:type="pct"/>
            <w:vAlign w:val="center"/>
          </w:tcPr>
          <w:p w14:paraId="3780D13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721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2298DA16">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0BE0D8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支持图像回传：支持将本地的原始数据回传到PET-CT或SPECT-CT原机进行再次处理；</w:t>
            </w:r>
          </w:p>
        </w:tc>
        <w:tc>
          <w:tcPr>
            <w:tcW w:w="728" w:type="pct"/>
            <w:vAlign w:val="center"/>
          </w:tcPr>
          <w:p w14:paraId="695324E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270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9FF7D11">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7E892BF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支持图像导出：支持将当前显示图像导出为计算机通用的JPG或BMP格式图像。三维投影图像可导出为AVI格式图像；</w:t>
            </w:r>
          </w:p>
        </w:tc>
        <w:tc>
          <w:tcPr>
            <w:tcW w:w="728" w:type="pct"/>
            <w:vAlign w:val="center"/>
          </w:tcPr>
          <w:p w14:paraId="0F9CF30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391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C1AFA2E">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7BB346D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支持伪彩设定：提供十几种伪彩格式进行选择着色。</w:t>
            </w:r>
          </w:p>
        </w:tc>
        <w:tc>
          <w:tcPr>
            <w:tcW w:w="728" w:type="pct"/>
            <w:vAlign w:val="center"/>
          </w:tcPr>
          <w:p w14:paraId="0C20521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0C7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2112C3C8">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2A3F834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支持提供核医学图像定量分析功能</w:t>
            </w:r>
          </w:p>
        </w:tc>
        <w:tc>
          <w:tcPr>
            <w:tcW w:w="728" w:type="pct"/>
            <w:vAlign w:val="center"/>
          </w:tcPr>
          <w:p w14:paraId="6E77AC48">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187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73421E7F">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29D4359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要求定量分析软件为中文版本，非集成国外第三方软件</w:t>
            </w:r>
          </w:p>
        </w:tc>
        <w:tc>
          <w:tcPr>
            <w:tcW w:w="728" w:type="pct"/>
            <w:vAlign w:val="center"/>
          </w:tcPr>
          <w:p w14:paraId="42BBE9B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E25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4BCC1CAF">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620C72D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支持提供SUV值测量，测量结果包括SUVmean,SUVmax,SUVAVG，SULmean,SULmax,SULavg，TLG（病变部位总糖酵解量）值测量，MTV（病灶体积）值测量，SUVPEAK值测量；</w:t>
            </w:r>
          </w:p>
        </w:tc>
        <w:tc>
          <w:tcPr>
            <w:tcW w:w="728" w:type="pct"/>
            <w:vAlign w:val="center"/>
          </w:tcPr>
          <w:p w14:paraId="74D86B08">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4BD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0721626D">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962FC3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支持病灶的自动勾画，自动勾画不规则肿瘤病灶边缘，并支持通过改变阈值实时调整勾画区域，并给出病灶X\Y\Z坐标值；</w:t>
            </w:r>
          </w:p>
        </w:tc>
        <w:tc>
          <w:tcPr>
            <w:tcW w:w="728" w:type="pct"/>
            <w:vAlign w:val="center"/>
          </w:tcPr>
          <w:p w14:paraId="57654BB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28F1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58175745">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42F1702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支持定量分值结构化存储，能够将病灶测量的定量分值进行结构化保存，并且可对病灶进行位置、类型、判别进行结构化保存；</w:t>
            </w:r>
            <w:r>
              <w:rPr>
                <w:rFonts w:hint="eastAsia" w:ascii="宋体" w:hAnsi="宋体" w:eastAsia="宋体" w:cs="宋体"/>
                <w:b/>
                <w:bCs/>
                <w:color w:val="000000" w:themeColor="text1"/>
                <w:kern w:val="0"/>
                <w:sz w:val="21"/>
                <w:szCs w:val="21"/>
                <w:highlight w:val="none"/>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投标文件中</w:t>
            </w:r>
            <w:r>
              <w:rPr>
                <w:rFonts w:hint="eastAsia" w:ascii="宋体" w:hAnsi="宋体" w:eastAsia="宋体" w:cs="宋体"/>
                <w:b/>
                <w:bCs/>
                <w:color w:val="000000" w:themeColor="text1"/>
                <w:kern w:val="0"/>
                <w:sz w:val="21"/>
                <w:szCs w:val="21"/>
                <w:highlight w:val="none"/>
                <w14:textFill>
                  <w14:solidFill>
                    <w14:schemeClr w14:val="tx1"/>
                  </w14:solidFill>
                </w14:textFill>
              </w:rPr>
              <w:t>提供软件截图）</w:t>
            </w:r>
          </w:p>
        </w:tc>
        <w:tc>
          <w:tcPr>
            <w:tcW w:w="728" w:type="pct"/>
            <w:vAlign w:val="center"/>
          </w:tcPr>
          <w:p w14:paraId="772253C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06F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301971C9">
            <w:pPr>
              <w:pStyle w:val="972"/>
              <w:keepNext w:val="0"/>
              <w:keepLines w:val="0"/>
              <w:pageBreakBefore w:val="0"/>
              <w:numPr>
                <w:ilvl w:val="0"/>
                <w:numId w:val="4"/>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1ED08EFD">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药品管理</w:t>
            </w:r>
          </w:p>
        </w:tc>
        <w:tc>
          <w:tcPr>
            <w:tcW w:w="728" w:type="pct"/>
            <w:shd w:val="clear" w:color="auto" w:fill="auto"/>
            <w:vAlign w:val="center"/>
          </w:tcPr>
          <w:p w14:paraId="661A81B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p>
        </w:tc>
      </w:tr>
      <w:tr w14:paraId="2025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492B299C">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2A49836D">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药物申请模块</w:t>
            </w:r>
          </w:p>
        </w:tc>
        <w:tc>
          <w:tcPr>
            <w:tcW w:w="728" w:type="pct"/>
            <w:vAlign w:val="center"/>
          </w:tcPr>
          <w:p w14:paraId="230FF6B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6FA1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010C4760">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725005E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支持检查日期快速检索，精确检索关键信息；</w:t>
            </w:r>
          </w:p>
        </w:tc>
        <w:tc>
          <w:tcPr>
            <w:tcW w:w="728" w:type="pct"/>
            <w:vAlign w:val="center"/>
          </w:tcPr>
          <w:p w14:paraId="552E9E3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2C7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C7B12DF">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492BD5CD">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支持自动获取预设检查分类项目；</w:t>
            </w:r>
          </w:p>
        </w:tc>
        <w:tc>
          <w:tcPr>
            <w:tcW w:w="728" w:type="pct"/>
            <w:vAlign w:val="center"/>
          </w:tcPr>
          <w:p w14:paraId="2E3854F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D90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4AD1DE20">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1FF43F2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支持模糊查询药物名称；</w:t>
            </w:r>
          </w:p>
        </w:tc>
        <w:tc>
          <w:tcPr>
            <w:tcW w:w="728" w:type="pct"/>
            <w:vAlign w:val="center"/>
          </w:tcPr>
          <w:p w14:paraId="3B9A092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577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5E5847B2">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485A7D4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支持药物申请总表和药物申请详情列表按药物名称分类总览显示；</w:t>
            </w:r>
          </w:p>
        </w:tc>
        <w:tc>
          <w:tcPr>
            <w:tcW w:w="728" w:type="pct"/>
            <w:vAlign w:val="center"/>
          </w:tcPr>
          <w:p w14:paraId="46FFCF7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2FF6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2871A81C">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3BA6FED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支持打印药物申请总表和药物申请详情列表，方便科室核对预约药物情况；</w:t>
            </w:r>
          </w:p>
        </w:tc>
        <w:tc>
          <w:tcPr>
            <w:tcW w:w="728" w:type="pct"/>
            <w:vAlign w:val="center"/>
          </w:tcPr>
          <w:p w14:paraId="7628E7B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2AC9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3159D271">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605CCA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支持检查日期快速检索，精确检索关键信息；</w:t>
            </w:r>
          </w:p>
        </w:tc>
        <w:tc>
          <w:tcPr>
            <w:tcW w:w="728" w:type="pct"/>
            <w:vAlign w:val="center"/>
          </w:tcPr>
          <w:p w14:paraId="2315171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8F0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25140743">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1F3247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成品药入库模块</w:t>
            </w:r>
          </w:p>
        </w:tc>
        <w:tc>
          <w:tcPr>
            <w:tcW w:w="728" w:type="pct"/>
            <w:vAlign w:val="center"/>
          </w:tcPr>
          <w:p w14:paraId="1868C7C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46F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0C5697DC">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788C40A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支持入库时间快速检索，精确检索关键信息；</w:t>
            </w:r>
          </w:p>
        </w:tc>
        <w:tc>
          <w:tcPr>
            <w:tcW w:w="728" w:type="pct"/>
            <w:vAlign w:val="center"/>
          </w:tcPr>
          <w:p w14:paraId="5CFB964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54A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7D20C624">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2FDF07A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支持模糊查询药品名称、批次号；</w:t>
            </w:r>
          </w:p>
        </w:tc>
        <w:tc>
          <w:tcPr>
            <w:tcW w:w="728" w:type="pct"/>
            <w:vAlign w:val="center"/>
          </w:tcPr>
          <w:p w14:paraId="3EC39FA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257E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0598FCAD">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F2BFD8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支持成品药入库列表按照入库时间降序总览显示；</w:t>
            </w:r>
          </w:p>
        </w:tc>
        <w:tc>
          <w:tcPr>
            <w:tcW w:w="728" w:type="pct"/>
            <w:vAlign w:val="center"/>
          </w:tcPr>
          <w:p w14:paraId="66C9AA7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66F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2A49357A">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0744F8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支持快捷入库\修改成品药入库信息；</w:t>
            </w:r>
          </w:p>
        </w:tc>
        <w:tc>
          <w:tcPr>
            <w:tcW w:w="728" w:type="pct"/>
            <w:vAlign w:val="center"/>
          </w:tcPr>
          <w:p w14:paraId="341E7A8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E3C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5FEF8E98">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251A03F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支持快捷新增\删除当前批次成品药中药物信息；</w:t>
            </w:r>
          </w:p>
        </w:tc>
        <w:tc>
          <w:tcPr>
            <w:tcW w:w="728" w:type="pct"/>
            <w:vAlign w:val="center"/>
          </w:tcPr>
          <w:p w14:paraId="3592E5E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A53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7793B3D0">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3870DF8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支持调用高拍仪设备进行电子化留存单据和药物信息；</w:t>
            </w:r>
          </w:p>
        </w:tc>
        <w:tc>
          <w:tcPr>
            <w:tcW w:w="728" w:type="pct"/>
            <w:vAlign w:val="center"/>
          </w:tcPr>
          <w:p w14:paraId="4E4665B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1196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03C9E977">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463CCFD8">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药物发放模块</w:t>
            </w:r>
          </w:p>
        </w:tc>
        <w:tc>
          <w:tcPr>
            <w:tcW w:w="728" w:type="pct"/>
            <w:vAlign w:val="center"/>
          </w:tcPr>
          <w:p w14:paraId="191928A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6AE1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5F783071">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6AE4481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支持检查日期、状态快速检索，精确检索关键信息；</w:t>
            </w:r>
          </w:p>
        </w:tc>
        <w:tc>
          <w:tcPr>
            <w:tcW w:w="728" w:type="pct"/>
            <w:vAlign w:val="center"/>
          </w:tcPr>
          <w:p w14:paraId="36012EC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AB4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10CDB0AD">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16634CA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支持自动获取预设检查分类项目、检查项目；</w:t>
            </w:r>
          </w:p>
        </w:tc>
        <w:tc>
          <w:tcPr>
            <w:tcW w:w="728" w:type="pct"/>
            <w:vAlign w:val="center"/>
          </w:tcPr>
          <w:p w14:paraId="7A33B24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D2B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2B90703">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3B03D2BD">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支持模糊查询药品名称；</w:t>
            </w:r>
          </w:p>
        </w:tc>
        <w:tc>
          <w:tcPr>
            <w:tcW w:w="728" w:type="pct"/>
            <w:vAlign w:val="center"/>
          </w:tcPr>
          <w:p w14:paraId="10C7A88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19FF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76FE440D">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3827" w:type="pct"/>
            <w:shd w:val="clear" w:color="auto" w:fill="auto"/>
            <w:vAlign w:val="center"/>
          </w:tcPr>
          <w:p w14:paraId="2D3CE13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支持实现药物的自动发放，根据核医学报告系统的患者的检查状态完成药物自动发放，快速协助医生完成自动药物匹配发放；</w:t>
            </w:r>
          </w:p>
        </w:tc>
        <w:tc>
          <w:tcPr>
            <w:tcW w:w="728" w:type="pct"/>
            <w:shd w:val="clear" w:color="auto" w:fill="auto"/>
            <w:vAlign w:val="center"/>
          </w:tcPr>
          <w:p w14:paraId="419E2BB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0FB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1F6096F1">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3827" w:type="pct"/>
            <w:shd w:val="clear" w:color="auto" w:fill="auto"/>
            <w:vAlign w:val="center"/>
          </w:tcPr>
          <w:p w14:paraId="0B1BC1C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支持手动点选发放药物，快速协助医生完成自动药物匹配发放；</w:t>
            </w:r>
          </w:p>
        </w:tc>
        <w:tc>
          <w:tcPr>
            <w:tcW w:w="728" w:type="pct"/>
            <w:shd w:val="clear" w:color="auto" w:fill="auto"/>
            <w:vAlign w:val="center"/>
          </w:tcPr>
          <w:p w14:paraId="33AC671D">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29C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418A2BD0">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3827" w:type="pct"/>
            <w:shd w:val="clear" w:color="auto" w:fill="auto"/>
            <w:vAlign w:val="center"/>
          </w:tcPr>
          <w:p w14:paraId="3E972D1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支持按药物发放时间降序总览显示药物发放列表；</w:t>
            </w:r>
          </w:p>
        </w:tc>
        <w:tc>
          <w:tcPr>
            <w:tcW w:w="728" w:type="pct"/>
            <w:shd w:val="clear" w:color="auto" w:fill="auto"/>
            <w:vAlign w:val="center"/>
          </w:tcPr>
          <w:p w14:paraId="0A413C3B">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4A2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1981464C">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3827" w:type="pct"/>
            <w:shd w:val="clear" w:color="auto" w:fill="auto"/>
            <w:vAlign w:val="center"/>
          </w:tcPr>
          <w:p w14:paraId="7D78D9FB">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支持新创建药物发放记录；</w:t>
            </w:r>
          </w:p>
        </w:tc>
        <w:tc>
          <w:tcPr>
            <w:tcW w:w="728" w:type="pct"/>
            <w:shd w:val="clear" w:color="auto" w:fill="auto"/>
            <w:vAlign w:val="center"/>
          </w:tcPr>
          <w:p w14:paraId="4C2226FB">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1876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71B121F2">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3827" w:type="pct"/>
            <w:shd w:val="clear" w:color="auto" w:fill="auto"/>
            <w:vAlign w:val="center"/>
          </w:tcPr>
          <w:p w14:paraId="6300CB3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支持取消药物预定，快速协助医生完成更改药物发放信息；</w:t>
            </w:r>
          </w:p>
        </w:tc>
        <w:tc>
          <w:tcPr>
            <w:tcW w:w="728" w:type="pct"/>
            <w:shd w:val="clear" w:color="auto" w:fill="auto"/>
            <w:vAlign w:val="center"/>
          </w:tcPr>
          <w:p w14:paraId="57E54BA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747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0DF51EEF">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3827" w:type="pct"/>
            <w:shd w:val="clear" w:color="auto" w:fill="auto"/>
            <w:vAlign w:val="center"/>
          </w:tcPr>
          <w:p w14:paraId="33C4328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支持打印药物发放记录，方便科室核对药物发放情况；</w:t>
            </w:r>
          </w:p>
        </w:tc>
        <w:tc>
          <w:tcPr>
            <w:tcW w:w="728" w:type="pct"/>
            <w:shd w:val="clear" w:color="auto" w:fill="auto"/>
            <w:vAlign w:val="center"/>
          </w:tcPr>
          <w:p w14:paraId="716D8A2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2DAB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2F8669CD">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7FD24DE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质控记录模块</w:t>
            </w:r>
          </w:p>
        </w:tc>
        <w:tc>
          <w:tcPr>
            <w:tcW w:w="728" w:type="pct"/>
            <w:vAlign w:val="center"/>
          </w:tcPr>
          <w:p w14:paraId="72A8D19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00AD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6E93115">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357639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记录成品药、淋洗产物、标记药物的批次号、生产日期、出厂日期、质控人、质控时间等质控数据；</w:t>
            </w:r>
          </w:p>
        </w:tc>
        <w:tc>
          <w:tcPr>
            <w:tcW w:w="728" w:type="pct"/>
            <w:vAlign w:val="center"/>
          </w:tcPr>
          <w:p w14:paraId="6FAB744B">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221F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17858A01">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43F792C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支持查看质控单据详细内容；</w:t>
            </w:r>
          </w:p>
        </w:tc>
        <w:tc>
          <w:tcPr>
            <w:tcW w:w="728" w:type="pct"/>
            <w:vAlign w:val="center"/>
          </w:tcPr>
          <w:p w14:paraId="550BF75B">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6FC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1854D373">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71DBA22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报废记录模块</w:t>
            </w:r>
          </w:p>
        </w:tc>
        <w:tc>
          <w:tcPr>
            <w:tcW w:w="728" w:type="pct"/>
            <w:vAlign w:val="center"/>
          </w:tcPr>
          <w:p w14:paraId="06FE7CA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37C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0B8D7BC5">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1BF2B5D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支持检查日期快速检索，精确检索关键信息；</w:t>
            </w:r>
          </w:p>
        </w:tc>
        <w:tc>
          <w:tcPr>
            <w:tcW w:w="728" w:type="pct"/>
            <w:vAlign w:val="center"/>
          </w:tcPr>
          <w:p w14:paraId="48151BB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94B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1F9AB981">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48C757E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支持总览显示报废记录列表；</w:t>
            </w:r>
          </w:p>
        </w:tc>
        <w:tc>
          <w:tcPr>
            <w:tcW w:w="728" w:type="pct"/>
            <w:vAlign w:val="center"/>
          </w:tcPr>
          <w:p w14:paraId="4C2A817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718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7B881910">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58768B0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支持新增报废记录；</w:t>
            </w:r>
          </w:p>
        </w:tc>
        <w:tc>
          <w:tcPr>
            <w:tcW w:w="728" w:type="pct"/>
            <w:vAlign w:val="center"/>
          </w:tcPr>
          <w:p w14:paraId="4F684E68">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80E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5548DD7B">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752E35D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业务统计模块</w:t>
            </w:r>
          </w:p>
        </w:tc>
        <w:tc>
          <w:tcPr>
            <w:tcW w:w="728" w:type="pct"/>
            <w:vAlign w:val="center"/>
          </w:tcPr>
          <w:p w14:paraId="6324895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648D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11404CB2">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3DDB72E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多种图表显示医生/护士药品淋洗次数、标记次数、分9.2装次数工作量；</w:t>
            </w:r>
          </w:p>
        </w:tc>
        <w:tc>
          <w:tcPr>
            <w:tcW w:w="728" w:type="pct"/>
            <w:vAlign w:val="center"/>
          </w:tcPr>
          <w:p w14:paraId="44FD073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23A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5D5DD928">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6BEE266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自动生成药物台账，可查看放射源、药品使用情况；</w:t>
            </w:r>
          </w:p>
        </w:tc>
        <w:tc>
          <w:tcPr>
            <w:tcW w:w="728" w:type="pct"/>
            <w:vAlign w:val="center"/>
          </w:tcPr>
          <w:p w14:paraId="6EC190A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77D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7FE436EC">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312E098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记录放射源、药品生产日期、标定日期、入库时间、操作人等多个节点的关键信息；</w:t>
            </w:r>
          </w:p>
        </w:tc>
        <w:tc>
          <w:tcPr>
            <w:tcW w:w="728" w:type="pct"/>
            <w:vAlign w:val="center"/>
          </w:tcPr>
          <w:p w14:paraId="5037632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16CB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32C045F8">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8255F4D">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支持与预约分诊、药物注射环节双向互通，通过扫码实现药物信息校验、药物注射剂量校验自动填写，避免信息错误的情况发生，提高科室工作效率；</w:t>
            </w:r>
          </w:p>
        </w:tc>
        <w:tc>
          <w:tcPr>
            <w:tcW w:w="728" w:type="pct"/>
            <w:vAlign w:val="center"/>
          </w:tcPr>
          <w:p w14:paraId="26BA499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2B07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1F2E29A9">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737DDD1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自动生成放射源台账，可一键导出台账信息；</w:t>
            </w:r>
          </w:p>
        </w:tc>
        <w:tc>
          <w:tcPr>
            <w:tcW w:w="728" w:type="pct"/>
            <w:vAlign w:val="center"/>
          </w:tcPr>
          <w:p w14:paraId="0415474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889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30B26559">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3F9781D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多种图表显示医生/护士药品淋洗次数、标记次数、分装次数工作量；</w:t>
            </w:r>
          </w:p>
        </w:tc>
        <w:tc>
          <w:tcPr>
            <w:tcW w:w="728" w:type="pct"/>
            <w:vAlign w:val="center"/>
          </w:tcPr>
          <w:p w14:paraId="5D1C223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0FC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75A3FDDF">
            <w:pPr>
              <w:pStyle w:val="972"/>
              <w:keepNext w:val="0"/>
              <w:keepLines w:val="0"/>
              <w:pageBreakBefore w:val="0"/>
              <w:numPr>
                <w:ilvl w:val="0"/>
                <w:numId w:val="4"/>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3BE926A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核素治疗</w:t>
            </w:r>
          </w:p>
        </w:tc>
        <w:tc>
          <w:tcPr>
            <w:tcW w:w="728" w:type="pct"/>
            <w:shd w:val="clear" w:color="auto" w:fill="auto"/>
            <w:vAlign w:val="center"/>
          </w:tcPr>
          <w:p w14:paraId="39CDB6B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p>
        </w:tc>
      </w:tr>
      <w:tr w14:paraId="4C50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2280A811">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156795D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核素治疗患者信息管理模块</w:t>
            </w:r>
          </w:p>
        </w:tc>
        <w:tc>
          <w:tcPr>
            <w:tcW w:w="728" w:type="pct"/>
            <w:shd w:val="clear" w:color="auto" w:fill="auto"/>
            <w:vAlign w:val="center"/>
          </w:tcPr>
          <w:p w14:paraId="70864C3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4B9B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1B0DE257">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5A6BA0DD">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预约日期：默认为当前天日期，也可以手动选择需要查询的日期；</w:t>
            </w:r>
          </w:p>
        </w:tc>
        <w:tc>
          <w:tcPr>
            <w:tcW w:w="728" w:type="pct"/>
            <w:shd w:val="clear" w:color="auto" w:fill="auto"/>
            <w:vAlign w:val="center"/>
          </w:tcPr>
          <w:p w14:paraId="3ACB17E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D55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2E497B01">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642FE93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状态检索：可设定为全部、已预约、已登记、未完成、已完成等查询状态；</w:t>
            </w:r>
          </w:p>
        </w:tc>
        <w:tc>
          <w:tcPr>
            <w:tcW w:w="728" w:type="pct"/>
            <w:shd w:val="clear" w:color="auto" w:fill="auto"/>
            <w:vAlign w:val="center"/>
          </w:tcPr>
          <w:p w14:paraId="65A65B0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946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10AB8B1E">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43D1257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疾病种类：系统能够按照不同疾病种类进行快速检索；</w:t>
            </w:r>
          </w:p>
        </w:tc>
        <w:tc>
          <w:tcPr>
            <w:tcW w:w="728" w:type="pct"/>
            <w:shd w:val="clear" w:color="auto" w:fill="auto"/>
            <w:vAlign w:val="center"/>
          </w:tcPr>
          <w:p w14:paraId="204A868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B0C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1B9BAB53">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1914FB1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查询按钮：单击按照输入的查询条件进行查询；</w:t>
            </w:r>
          </w:p>
        </w:tc>
        <w:tc>
          <w:tcPr>
            <w:tcW w:w="728" w:type="pct"/>
            <w:vAlign w:val="center"/>
          </w:tcPr>
          <w:p w14:paraId="737DA4A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640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26845205">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2C56A17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特殊条件查询：AND或OR、与或非条件查询；</w:t>
            </w:r>
          </w:p>
        </w:tc>
        <w:tc>
          <w:tcPr>
            <w:tcW w:w="728" w:type="pct"/>
            <w:vAlign w:val="center"/>
          </w:tcPr>
          <w:p w14:paraId="4D8CC55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9CD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7A9CCB73">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A4DE94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核素治疗预约登记管理模块</w:t>
            </w:r>
          </w:p>
        </w:tc>
        <w:tc>
          <w:tcPr>
            <w:tcW w:w="728" w:type="pct"/>
            <w:vAlign w:val="center"/>
          </w:tcPr>
          <w:p w14:paraId="0FA9079B">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2C63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73EA91B">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37F77FE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支持增加新入院治疗患者信息；</w:t>
            </w:r>
          </w:p>
        </w:tc>
        <w:tc>
          <w:tcPr>
            <w:tcW w:w="728" w:type="pct"/>
            <w:vAlign w:val="center"/>
          </w:tcPr>
          <w:p w14:paraId="488284E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1C3F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4C057024">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2A60B77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对已做过治疗的患者可通过新增预约，无需再次新建；</w:t>
            </w:r>
          </w:p>
        </w:tc>
        <w:tc>
          <w:tcPr>
            <w:tcW w:w="728" w:type="pct"/>
            <w:vAlign w:val="center"/>
          </w:tcPr>
          <w:p w14:paraId="17052DFD">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648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3E9FABFE">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7CA905C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支持病历号、门诊号、住院号等多种ID号提取数据；</w:t>
            </w:r>
          </w:p>
        </w:tc>
        <w:tc>
          <w:tcPr>
            <w:tcW w:w="728" w:type="pct"/>
            <w:vAlign w:val="center"/>
          </w:tcPr>
          <w:p w14:paraId="6238CFD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EB4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36419ACC">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7DF5013B">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通过和核医学系统对接，读取核医学系统内数据。支持一键导入核医学患者数据；</w:t>
            </w:r>
          </w:p>
        </w:tc>
        <w:tc>
          <w:tcPr>
            <w:tcW w:w="728" w:type="pct"/>
            <w:vAlign w:val="center"/>
          </w:tcPr>
          <w:p w14:paraId="32495CA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FFB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14F03A9A">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52D239B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支持患者基本信息填报，包括姓名、性别、年龄、身份证号、出生日期、身高体重、地址等信息；</w:t>
            </w:r>
          </w:p>
        </w:tc>
        <w:tc>
          <w:tcPr>
            <w:tcW w:w="728" w:type="pct"/>
            <w:vAlign w:val="center"/>
          </w:tcPr>
          <w:p w14:paraId="4C0A869D">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9FE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D8727D1">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282D92B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支持打印预约单，患者预约完成后，可以一键打印预约单交与患者，为患者检查提供指引。</w:t>
            </w:r>
          </w:p>
        </w:tc>
        <w:tc>
          <w:tcPr>
            <w:tcW w:w="728" w:type="pct"/>
            <w:vAlign w:val="center"/>
          </w:tcPr>
          <w:p w14:paraId="79D3AB1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F72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011D6A54">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A04C51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核素治疗问诊管理模块</w:t>
            </w:r>
          </w:p>
        </w:tc>
        <w:tc>
          <w:tcPr>
            <w:tcW w:w="728" w:type="pct"/>
            <w:vAlign w:val="center"/>
          </w:tcPr>
          <w:p w14:paraId="59E7B2D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3291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11753B4B">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298FA99B">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支持快速查看预约患者，对于已经做过多次治疗的患者能够快速查看患者多次治疗记录及随访记录，选中患者后可快速查看患者治疗信息和随访信息；</w:t>
            </w:r>
          </w:p>
        </w:tc>
        <w:tc>
          <w:tcPr>
            <w:tcW w:w="728" w:type="pct"/>
            <w:vAlign w:val="center"/>
          </w:tcPr>
          <w:p w14:paraId="298892C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2AB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3250ECB4">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6BCD160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可查看治疗患者治疗/随访次数、服药日期、诊断医生；</w:t>
            </w:r>
          </w:p>
        </w:tc>
        <w:tc>
          <w:tcPr>
            <w:tcW w:w="728" w:type="pct"/>
            <w:vAlign w:val="center"/>
          </w:tcPr>
          <w:p w14:paraId="692B50E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961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552F6676">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63FE1AF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医生可通过预约日期、治疗类型等条件快速完成不同种类治疗患者查询；</w:t>
            </w:r>
          </w:p>
        </w:tc>
        <w:tc>
          <w:tcPr>
            <w:tcW w:w="728" w:type="pct"/>
            <w:vAlign w:val="center"/>
          </w:tcPr>
          <w:p w14:paraId="385632E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B2A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53811DC7">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4B4F9D6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支持提取患者基础信息、填报主诉及病史记录，支持信息结构化录入，方便医生快速录入患者数据，根据患者TNM分期情况，自动计算治疗前分期情况；</w:t>
            </w:r>
          </w:p>
        </w:tc>
        <w:tc>
          <w:tcPr>
            <w:tcW w:w="728" w:type="pct"/>
            <w:vAlign w:val="center"/>
          </w:tcPr>
          <w:p w14:paraId="1461658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6EA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465A0A53">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7236370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可快速查看患者本院电子病历，快速回顾患者在本院的其他检查和诊断结论；</w:t>
            </w:r>
          </w:p>
        </w:tc>
        <w:tc>
          <w:tcPr>
            <w:tcW w:w="728" w:type="pct"/>
            <w:vAlign w:val="center"/>
          </w:tcPr>
          <w:p w14:paraId="4901D70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369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2765CB06">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38C6B39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可手动填报或与系统对接自动获取患者血常规、电解质、肝功能、甲功空腹血糖等实验室检验信息；</w:t>
            </w:r>
          </w:p>
        </w:tc>
        <w:tc>
          <w:tcPr>
            <w:tcW w:w="728" w:type="pct"/>
            <w:vAlign w:val="center"/>
          </w:tcPr>
          <w:p w14:paraId="537EDA3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29D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0DBD4E5">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691ABCC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患者影像学检查：支持填报或自动获取患者ECT、B超、CT、心电图、PET等影像学检查信息；</w:t>
            </w:r>
          </w:p>
        </w:tc>
        <w:tc>
          <w:tcPr>
            <w:tcW w:w="728" w:type="pct"/>
            <w:vAlign w:val="center"/>
          </w:tcPr>
          <w:p w14:paraId="50113E1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1F5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557F3053">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7E5FE04B">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患者扫描信息：将患者自带的纸质和胶片数据数字化存储，方便医生在治疗时能够快速查看相关数据，辅助后期诊断治疗工作；</w:t>
            </w:r>
          </w:p>
        </w:tc>
        <w:tc>
          <w:tcPr>
            <w:tcW w:w="728" w:type="pct"/>
            <w:vAlign w:val="center"/>
          </w:tcPr>
          <w:p w14:paraId="093CCA2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463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10BDC6EB">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534354F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核素治疗患者追溯管理模块</w:t>
            </w:r>
          </w:p>
        </w:tc>
        <w:tc>
          <w:tcPr>
            <w:tcW w:w="728" w:type="pct"/>
            <w:vAlign w:val="center"/>
          </w:tcPr>
          <w:p w14:paraId="6998A94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0E32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1A2BAA8B">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9D4421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支持显示患者治疗全流程时间轴，可查看患者患者预约、登记、问诊、诊断、服药、随访等相关事件节点记录信息；</w:t>
            </w:r>
          </w:p>
        </w:tc>
        <w:tc>
          <w:tcPr>
            <w:tcW w:w="728" w:type="pct"/>
            <w:vAlign w:val="center"/>
          </w:tcPr>
          <w:p w14:paraId="32D1AEF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460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3851FC0E">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0C2426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时间节点质控：时间轴上任意节点的状态以不同颜色显示，当前状态已完成后状态节点变为绿色，未完成的状态白色显示，方便医生快速了解当前患者所处治疗状态；</w:t>
            </w:r>
          </w:p>
        </w:tc>
        <w:tc>
          <w:tcPr>
            <w:tcW w:w="728" w:type="pct"/>
            <w:vAlign w:val="center"/>
          </w:tcPr>
          <w:p w14:paraId="38E8F18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CE0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AE00B17">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49BC0B8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核素治疗患者治疗管理软件</w:t>
            </w:r>
          </w:p>
        </w:tc>
        <w:tc>
          <w:tcPr>
            <w:tcW w:w="728" w:type="pct"/>
            <w:vAlign w:val="center"/>
          </w:tcPr>
          <w:p w14:paraId="1621639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7A5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2990FBE9">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21F6D518">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患者诊断：支持患者诊断数据填写，可根据患者当情病情指定治疗计划，一键下达用药医嘱，方便医生及时追溯治疗用药情况；</w:t>
            </w:r>
          </w:p>
        </w:tc>
        <w:tc>
          <w:tcPr>
            <w:tcW w:w="728" w:type="pct"/>
            <w:vAlign w:val="center"/>
          </w:tcPr>
          <w:p w14:paraId="3CF9155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1A49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8313D64">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C5F8C2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治疗完成后对患者进行转归记录，包含住院天数、住院费用、用药费用和其他费用。对治疗结果进行标定，所标定的结果纳入后期转归患者统计系统。</w:t>
            </w:r>
          </w:p>
        </w:tc>
        <w:tc>
          <w:tcPr>
            <w:tcW w:w="728" w:type="pct"/>
            <w:vAlign w:val="center"/>
          </w:tcPr>
          <w:p w14:paraId="0A6123F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491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122E3F74">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628157E8">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患者随访计划设定：患者转归后对患者设定随访计划，随访计划可设定随访日期、随访医生和随访周期，到达随访日期后系统自动提示，防止漏访；</w:t>
            </w:r>
          </w:p>
        </w:tc>
        <w:tc>
          <w:tcPr>
            <w:tcW w:w="728" w:type="pct"/>
            <w:vAlign w:val="center"/>
          </w:tcPr>
          <w:p w14:paraId="6D92DDF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21D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244344C9">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12BEBBF8">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一键打印患者知情同意书、用药前注意事项、用药后注意事项，给予患者治疗指引的同时将可能发生的治疗情况通知患者，规避医疗风险；</w:t>
            </w:r>
          </w:p>
        </w:tc>
        <w:tc>
          <w:tcPr>
            <w:tcW w:w="728" w:type="pct"/>
            <w:vAlign w:val="center"/>
          </w:tcPr>
          <w:p w14:paraId="0051DB1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A10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50BC287">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4933263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查看患者治疗病例、多次治疗问诊记录、治疗记录、诊断分期评估、患者转归等数据，方便医生快速回顾患者之前治疗数据，制定新的治疗方案。</w:t>
            </w:r>
          </w:p>
        </w:tc>
        <w:tc>
          <w:tcPr>
            <w:tcW w:w="728" w:type="pct"/>
            <w:vAlign w:val="center"/>
          </w:tcPr>
          <w:p w14:paraId="6DB9DEF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0E3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6DF6BC0">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451FBB9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核素治疗患者随访管理模块</w:t>
            </w:r>
          </w:p>
        </w:tc>
        <w:tc>
          <w:tcPr>
            <w:tcW w:w="728" w:type="pct"/>
            <w:vAlign w:val="center"/>
          </w:tcPr>
          <w:p w14:paraId="3D14D93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5E97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31E6734B">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4269BBDB">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到达患者随访日期后，登陆系统自动提示需要随访的患者；</w:t>
            </w:r>
          </w:p>
        </w:tc>
        <w:tc>
          <w:tcPr>
            <w:tcW w:w="728" w:type="pct"/>
            <w:vAlign w:val="center"/>
          </w:tcPr>
          <w:p w14:paraId="57007C2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10B7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38C72CC4">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2F50081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快速查看已随访和未随访的患者，支持按随访日期、状态、病种、住院号快速查询随访患者；</w:t>
            </w:r>
          </w:p>
        </w:tc>
        <w:tc>
          <w:tcPr>
            <w:tcW w:w="728" w:type="pct"/>
            <w:vAlign w:val="center"/>
          </w:tcPr>
          <w:p w14:paraId="76CBBF2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12D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32881C56">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460337C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结构化录入患者主诉、查体、实验室检查、影像检查等数据；</w:t>
            </w:r>
          </w:p>
        </w:tc>
        <w:tc>
          <w:tcPr>
            <w:tcW w:w="728" w:type="pct"/>
            <w:vAlign w:val="center"/>
          </w:tcPr>
          <w:p w14:paraId="419F2A9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790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32F853C2">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5F21405D">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完成随访后可在随访界面快速添加下一次随访；</w:t>
            </w:r>
          </w:p>
        </w:tc>
        <w:tc>
          <w:tcPr>
            <w:tcW w:w="728" w:type="pct"/>
            <w:vAlign w:val="center"/>
          </w:tcPr>
          <w:p w14:paraId="5FE9ACF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668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49042BB4">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32DF3F2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记录患者用药名称、次数、计量、用药方式、用药时间等相关信息；</w:t>
            </w:r>
          </w:p>
        </w:tc>
        <w:tc>
          <w:tcPr>
            <w:tcW w:w="728" w:type="pct"/>
            <w:vAlign w:val="center"/>
          </w:tcPr>
          <w:p w14:paraId="4565738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3F5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41FBD682">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1ED392E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随访模版：支持维护科室自定义随访模版，根据不同的疾病使用不同随访模版。</w:t>
            </w:r>
          </w:p>
        </w:tc>
        <w:tc>
          <w:tcPr>
            <w:tcW w:w="728" w:type="pct"/>
            <w:vAlign w:val="center"/>
          </w:tcPr>
          <w:p w14:paraId="5BACF67D">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488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4B813D07">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3DA93DD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治疗数据统计软件模块</w:t>
            </w:r>
          </w:p>
        </w:tc>
        <w:tc>
          <w:tcPr>
            <w:tcW w:w="728" w:type="pct"/>
            <w:vAlign w:val="center"/>
          </w:tcPr>
          <w:p w14:paraId="573E947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3710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153A4373">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5CB60EA8">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支持统计不同种类疾病人数；</w:t>
            </w:r>
          </w:p>
        </w:tc>
        <w:tc>
          <w:tcPr>
            <w:tcW w:w="728" w:type="pct"/>
            <w:vAlign w:val="center"/>
          </w:tcPr>
          <w:p w14:paraId="1DAC0A7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81D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34120C49">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45D2F18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支持统计不同疾病、不同分期数量；</w:t>
            </w:r>
          </w:p>
        </w:tc>
        <w:tc>
          <w:tcPr>
            <w:tcW w:w="728" w:type="pct"/>
            <w:vAlign w:val="center"/>
          </w:tcPr>
          <w:p w14:paraId="083266D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ADA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53DE50A2">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20A8D16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支持统计好转、治愈、无效数据量，可按年进行总体统计；</w:t>
            </w:r>
          </w:p>
        </w:tc>
        <w:tc>
          <w:tcPr>
            <w:tcW w:w="728" w:type="pct"/>
            <w:vAlign w:val="center"/>
          </w:tcPr>
          <w:p w14:paraId="1EECA66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13D0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F70A247">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3AAC048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支持统计各环节工作量，登记、问诊、治疗、随访等患者人数总览；</w:t>
            </w:r>
          </w:p>
        </w:tc>
        <w:tc>
          <w:tcPr>
            <w:tcW w:w="728" w:type="pct"/>
            <w:vAlign w:val="center"/>
          </w:tcPr>
          <w:p w14:paraId="1FD4D4CD">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11E3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5CDE54ED">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4E92300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所有统计数据可一键导出Excel，用于科室科研项目数据支撑；</w:t>
            </w:r>
          </w:p>
        </w:tc>
        <w:tc>
          <w:tcPr>
            <w:tcW w:w="728" w:type="pct"/>
            <w:vAlign w:val="center"/>
          </w:tcPr>
          <w:p w14:paraId="1E20C88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750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2C08DBDE">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5E4C5F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科室相关统计数据均可生成图表，方便医生快速看。</w:t>
            </w:r>
          </w:p>
        </w:tc>
        <w:tc>
          <w:tcPr>
            <w:tcW w:w="728" w:type="pct"/>
            <w:vAlign w:val="center"/>
          </w:tcPr>
          <w:p w14:paraId="73B141F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C30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2A17D6F6">
            <w:pPr>
              <w:pStyle w:val="972"/>
              <w:keepNext w:val="0"/>
              <w:keepLines w:val="0"/>
              <w:pageBreakBefore w:val="0"/>
              <w:numPr>
                <w:ilvl w:val="0"/>
                <w:numId w:val="4"/>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28EFA85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综合查询</w:t>
            </w:r>
          </w:p>
        </w:tc>
        <w:tc>
          <w:tcPr>
            <w:tcW w:w="728" w:type="pct"/>
            <w:shd w:val="clear" w:color="auto" w:fill="auto"/>
            <w:vAlign w:val="center"/>
          </w:tcPr>
          <w:p w14:paraId="7BF7A0AD">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p>
        </w:tc>
      </w:tr>
      <w:tr w14:paraId="7828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47F390E1">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3827" w:type="pct"/>
            <w:shd w:val="clear" w:color="auto" w:fill="auto"/>
            <w:vAlign w:val="center"/>
          </w:tcPr>
          <w:p w14:paraId="6686819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pt-BR"/>
                <w14:textFill>
                  <w14:solidFill>
                    <w14:schemeClr w14:val="tx1"/>
                  </w14:solidFill>
                </w14:textFill>
              </w:rPr>
              <w:t>提供报告状态、时间、检查总类、检查分类等多种检索条件，快速检索病例；</w:t>
            </w:r>
          </w:p>
        </w:tc>
        <w:tc>
          <w:tcPr>
            <w:tcW w:w="728" w:type="pct"/>
            <w:shd w:val="clear" w:color="auto" w:fill="auto"/>
            <w:vAlign w:val="center"/>
          </w:tcPr>
          <w:p w14:paraId="25498F2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pt-BR"/>
                <w14:textFill>
                  <w14:solidFill>
                    <w14:schemeClr w14:val="tx1"/>
                  </w14:solidFill>
                </w14:textFill>
              </w:rPr>
            </w:pPr>
          </w:p>
        </w:tc>
      </w:tr>
      <w:tr w14:paraId="27F4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4F5CEE98">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58A7403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pt-BR"/>
                <w14:textFill>
                  <w14:solidFill>
                    <w14:schemeClr w14:val="tx1"/>
                  </w14:solidFill>
                </w14:textFill>
              </w:rPr>
              <w:t>支持高级查询检索，根据患者信息、就诊信息、危急值、随访信息、收藏信息、质控信息等条目进行精确检索；</w:t>
            </w:r>
          </w:p>
        </w:tc>
        <w:tc>
          <w:tcPr>
            <w:tcW w:w="728" w:type="pct"/>
            <w:shd w:val="clear" w:color="auto" w:fill="auto"/>
            <w:vAlign w:val="center"/>
          </w:tcPr>
          <w:p w14:paraId="10E8863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pt-BR"/>
                <w14:textFill>
                  <w14:solidFill>
                    <w14:schemeClr w14:val="tx1"/>
                  </w14:solidFill>
                </w14:textFill>
              </w:rPr>
            </w:pPr>
          </w:p>
        </w:tc>
      </w:tr>
      <w:tr w14:paraId="2DAE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6BBCAB15">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1C36982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pt-BR"/>
                <w14:textFill>
                  <w14:solidFill>
                    <w14:schemeClr w14:val="tx1"/>
                  </w14:solidFill>
                </w14:textFill>
              </w:rPr>
              <w:t>支持自定义检索条件，医生自己定义想要检索的条件内容，并添加自定义查询条件集，通过选择自定义查询条件快速检索病例；</w:t>
            </w:r>
          </w:p>
        </w:tc>
        <w:tc>
          <w:tcPr>
            <w:tcW w:w="728" w:type="pct"/>
            <w:shd w:val="clear" w:color="auto" w:fill="auto"/>
            <w:vAlign w:val="center"/>
          </w:tcPr>
          <w:p w14:paraId="3A16D01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pt-BR"/>
                <w14:textFill>
                  <w14:solidFill>
                    <w14:schemeClr w14:val="tx1"/>
                  </w14:solidFill>
                </w14:textFill>
              </w:rPr>
            </w:pPr>
          </w:p>
        </w:tc>
      </w:tr>
      <w:tr w14:paraId="3517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0F3D01E2">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0C55F5B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多种核医学检查数据图形化，清晰有效的传达与沟通核医学信息</w:t>
            </w:r>
            <w:r>
              <w:rPr>
                <w:rFonts w:hint="eastAsia" w:ascii="宋体" w:hAnsi="宋体" w:eastAsia="宋体" w:cs="宋体"/>
                <w:b/>
                <w:bCs/>
                <w:color w:val="000000" w:themeColor="text1"/>
                <w:kern w:val="0"/>
                <w:sz w:val="21"/>
                <w:szCs w:val="21"/>
                <w:highlight w:val="none"/>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投标文件中</w:t>
            </w:r>
            <w:r>
              <w:rPr>
                <w:rFonts w:hint="eastAsia" w:ascii="宋体" w:hAnsi="宋体" w:eastAsia="宋体" w:cs="宋体"/>
                <w:b/>
                <w:bCs/>
                <w:color w:val="000000" w:themeColor="text1"/>
                <w:kern w:val="0"/>
                <w:sz w:val="21"/>
                <w:szCs w:val="21"/>
                <w:highlight w:val="none"/>
                <w14:textFill>
                  <w14:solidFill>
                    <w14:schemeClr w14:val="tx1"/>
                  </w14:solidFill>
                </w14:textFill>
              </w:rPr>
              <w:t>提供统计分析</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类</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软件著作权证书</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扫描件加盖公章</w:t>
            </w:r>
            <w:r>
              <w:rPr>
                <w:rFonts w:hint="eastAsia" w:ascii="宋体" w:hAnsi="宋体" w:eastAsia="宋体" w:cs="宋体"/>
                <w:b/>
                <w:bCs/>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728" w:type="pct"/>
            <w:shd w:val="clear" w:color="auto" w:fill="auto"/>
            <w:vAlign w:val="center"/>
          </w:tcPr>
          <w:p w14:paraId="64EEE28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C40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6987463F">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14CDBE7B">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支持数据罗盘、饼状图、柱状图、折线图等多种数据展示模式；</w:t>
            </w:r>
          </w:p>
        </w:tc>
        <w:tc>
          <w:tcPr>
            <w:tcW w:w="728" w:type="pct"/>
            <w:shd w:val="clear" w:color="auto" w:fill="auto"/>
            <w:vAlign w:val="center"/>
          </w:tcPr>
          <w:p w14:paraId="152F4EA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D53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3FC38503">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1E6C988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医生诊断量排名、诊断中心当前数据诊断量、疾病种类排名、总检查量排名、检查量趋势排名、危急病例/阳性病例占比等多种科室数据实时显示；</w:t>
            </w:r>
          </w:p>
        </w:tc>
        <w:tc>
          <w:tcPr>
            <w:tcW w:w="728" w:type="pct"/>
            <w:shd w:val="clear" w:color="auto" w:fill="auto"/>
            <w:vAlign w:val="center"/>
          </w:tcPr>
          <w:p w14:paraId="7246E20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DFA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576F46DC">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09E1DDD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支持检查项目、诊断量、疾病种类、检查量趋势、阳性率多角度数据对比，为管理者提供横向与纵向的数据支撑；</w:t>
            </w:r>
          </w:p>
        </w:tc>
        <w:tc>
          <w:tcPr>
            <w:tcW w:w="728" w:type="pct"/>
            <w:shd w:val="clear" w:color="auto" w:fill="auto"/>
            <w:vAlign w:val="center"/>
          </w:tcPr>
          <w:p w14:paraId="41E70C5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2E92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532DB77F">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5414A30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支持危急/阳性病例占比对比，提前发现风险问题；</w:t>
            </w:r>
          </w:p>
        </w:tc>
        <w:tc>
          <w:tcPr>
            <w:tcW w:w="728" w:type="pct"/>
            <w:shd w:val="clear" w:color="auto" w:fill="auto"/>
            <w:vAlign w:val="center"/>
          </w:tcPr>
          <w:p w14:paraId="3F914D7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514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4831A42D">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4BDA344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自定义配置可显示的内容、图表样式；</w:t>
            </w:r>
          </w:p>
        </w:tc>
        <w:tc>
          <w:tcPr>
            <w:tcW w:w="728" w:type="pct"/>
            <w:shd w:val="clear" w:color="auto" w:fill="auto"/>
            <w:vAlign w:val="center"/>
          </w:tcPr>
          <w:p w14:paraId="2006AB2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1EF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3D6EAEFA">
            <w:pPr>
              <w:pStyle w:val="972"/>
              <w:keepNext w:val="0"/>
              <w:keepLines w:val="0"/>
              <w:pageBreakBefore w:val="0"/>
              <w:numPr>
                <w:ilvl w:val="0"/>
                <w:numId w:val="4"/>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1B7F684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病例管理</w:t>
            </w:r>
          </w:p>
        </w:tc>
        <w:tc>
          <w:tcPr>
            <w:tcW w:w="728" w:type="pct"/>
            <w:shd w:val="clear" w:color="auto" w:fill="auto"/>
            <w:vAlign w:val="center"/>
          </w:tcPr>
          <w:p w14:paraId="6982AC8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p>
        </w:tc>
      </w:tr>
      <w:tr w14:paraId="36B8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54BBE2A4">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170201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典型病例收藏模块</w:t>
            </w:r>
          </w:p>
        </w:tc>
        <w:tc>
          <w:tcPr>
            <w:tcW w:w="728" w:type="pct"/>
            <w:vAlign w:val="center"/>
          </w:tcPr>
          <w:p w14:paraId="5203D1F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2DD7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704C1A99">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13361108">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支持公共和个人收藏；对收藏进行分类；收藏的典型病例支持导出到Excel；收藏病例可快速查询；</w:t>
            </w:r>
            <w:r>
              <w:rPr>
                <w:rFonts w:hint="eastAsia" w:ascii="宋体" w:hAnsi="宋体" w:eastAsia="宋体" w:cs="宋体"/>
                <w:b/>
                <w:bCs/>
                <w:color w:val="000000" w:themeColor="text1"/>
                <w:kern w:val="0"/>
                <w:sz w:val="21"/>
                <w:szCs w:val="21"/>
                <w:highlight w:val="none"/>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投标文件中</w:t>
            </w:r>
            <w:r>
              <w:rPr>
                <w:rFonts w:hint="eastAsia" w:ascii="宋体" w:hAnsi="宋体" w:eastAsia="宋体" w:cs="宋体"/>
                <w:b/>
                <w:bCs/>
                <w:color w:val="000000" w:themeColor="text1"/>
                <w:kern w:val="0"/>
                <w:sz w:val="21"/>
                <w:szCs w:val="21"/>
                <w:highlight w:val="none"/>
                <w14:textFill>
                  <w14:solidFill>
                    <w14:schemeClr w14:val="tx1"/>
                  </w14:solidFill>
                </w14:textFill>
              </w:rPr>
              <w:t>提供典型库收藏管理</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类</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软件著作权证书</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扫描件加盖公章</w:t>
            </w:r>
            <w:r>
              <w:rPr>
                <w:rFonts w:hint="eastAsia" w:ascii="宋体" w:hAnsi="宋体" w:eastAsia="宋体" w:cs="宋体"/>
                <w:b/>
                <w:bCs/>
                <w:color w:val="000000" w:themeColor="text1"/>
                <w:kern w:val="0"/>
                <w:sz w:val="21"/>
                <w:szCs w:val="21"/>
                <w:highlight w:val="none"/>
                <w14:textFill>
                  <w14:solidFill>
                    <w14:schemeClr w14:val="tx1"/>
                  </w14:solidFill>
                </w14:textFill>
              </w:rPr>
              <w:t>）</w:t>
            </w:r>
          </w:p>
        </w:tc>
        <w:tc>
          <w:tcPr>
            <w:tcW w:w="728" w:type="pct"/>
            <w:vAlign w:val="center"/>
          </w:tcPr>
          <w:p w14:paraId="58344DC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D27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7BE7015F">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2D53B3C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系统通过权限设置每个用户可查看的内容，公共收藏科内医生均可查看，个人收藏只有通过本人账号登录才能查看；</w:t>
            </w:r>
          </w:p>
        </w:tc>
        <w:tc>
          <w:tcPr>
            <w:tcW w:w="728" w:type="pct"/>
            <w:vAlign w:val="center"/>
          </w:tcPr>
          <w:p w14:paraId="3494D57D">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4DA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77496457">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7C1E9D2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核医学科研随访模块</w:t>
            </w:r>
          </w:p>
        </w:tc>
        <w:tc>
          <w:tcPr>
            <w:tcW w:w="728" w:type="pct"/>
            <w:vAlign w:val="center"/>
          </w:tcPr>
          <w:p w14:paraId="620EC26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41BD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45B632FC">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070F7EB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支持病人随访管理功能，自定义随访模版与智能提醒，系统登陆时提醒当天待随访信息。</w:t>
            </w:r>
          </w:p>
        </w:tc>
        <w:tc>
          <w:tcPr>
            <w:tcW w:w="728" w:type="pct"/>
            <w:shd w:val="clear" w:color="auto" w:fill="auto"/>
            <w:vAlign w:val="center"/>
          </w:tcPr>
          <w:p w14:paraId="44A2486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12F8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1D0E24F0">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4E0C490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支持根据核医学需求设计的随访软件；至少五个数据标引记录；随访内容结构化存储，标引等内容可以进行精确查询。为保证此功能的实际应用</w:t>
            </w:r>
            <w:r>
              <w:rPr>
                <w:rFonts w:hint="eastAsia" w:ascii="宋体" w:hAnsi="宋体" w:eastAsia="宋体" w:cs="宋体"/>
                <w:b/>
                <w:bCs/>
                <w:color w:val="000000" w:themeColor="text1"/>
                <w:kern w:val="0"/>
                <w:sz w:val="21"/>
                <w:szCs w:val="21"/>
                <w:highlight w:val="none"/>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投标文件中</w:t>
            </w:r>
            <w:r>
              <w:rPr>
                <w:rFonts w:hint="eastAsia" w:ascii="宋体" w:hAnsi="宋体" w:eastAsia="宋体" w:cs="宋体"/>
                <w:b/>
                <w:bCs/>
                <w:color w:val="000000" w:themeColor="text1"/>
                <w:kern w:val="0"/>
                <w:sz w:val="21"/>
                <w:szCs w:val="21"/>
                <w:highlight w:val="none"/>
                <w14:textFill>
                  <w14:solidFill>
                    <w14:schemeClr w14:val="tx1"/>
                  </w14:solidFill>
                </w14:textFill>
              </w:rPr>
              <w:t>提供科研随访管理</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类</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软件著作权证书</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扫描件加盖公章</w:t>
            </w:r>
            <w:r>
              <w:rPr>
                <w:rFonts w:hint="eastAsia" w:ascii="宋体" w:hAnsi="宋体" w:eastAsia="宋体" w:cs="宋体"/>
                <w:b/>
                <w:bCs/>
                <w:color w:val="000000" w:themeColor="text1"/>
                <w:kern w:val="0"/>
                <w:sz w:val="21"/>
                <w:szCs w:val="21"/>
                <w:highlight w:val="none"/>
                <w14:textFill>
                  <w14:solidFill>
                    <w14:schemeClr w14:val="tx1"/>
                  </w14:solidFill>
                </w14:textFill>
              </w:rPr>
              <w:t>）</w:t>
            </w:r>
          </w:p>
        </w:tc>
        <w:tc>
          <w:tcPr>
            <w:tcW w:w="728" w:type="pct"/>
            <w:shd w:val="clear" w:color="auto" w:fill="auto"/>
            <w:vAlign w:val="center"/>
          </w:tcPr>
          <w:p w14:paraId="7AFF496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856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35B12229">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653F232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核医学专家知识库系统模块</w:t>
            </w:r>
          </w:p>
        </w:tc>
        <w:tc>
          <w:tcPr>
            <w:tcW w:w="728" w:type="pct"/>
            <w:shd w:val="clear" w:color="auto" w:fill="auto"/>
            <w:vAlign w:val="center"/>
          </w:tcPr>
          <w:p w14:paraId="4E133D18">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1C30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72EFEFCC">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45D41FCD">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支持涵盖核医学十大系统近300种疾病的影像表现、临床诊断和专家意见，为医生的诊断提供辅助。</w:t>
            </w:r>
            <w:r>
              <w:rPr>
                <w:rFonts w:hint="eastAsia" w:ascii="宋体" w:hAnsi="宋体" w:eastAsia="宋体" w:cs="宋体"/>
                <w:b/>
                <w:bCs/>
                <w:color w:val="000000" w:themeColor="text1"/>
                <w:kern w:val="0"/>
                <w:sz w:val="21"/>
                <w:szCs w:val="21"/>
                <w:highlight w:val="none"/>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投标文件中</w:t>
            </w:r>
            <w:r>
              <w:rPr>
                <w:rFonts w:hint="eastAsia" w:ascii="宋体" w:hAnsi="宋体" w:eastAsia="宋体" w:cs="宋体"/>
                <w:b/>
                <w:bCs/>
                <w:color w:val="000000" w:themeColor="text1"/>
                <w:kern w:val="0"/>
                <w:sz w:val="21"/>
                <w:szCs w:val="21"/>
                <w:highlight w:val="none"/>
                <w14:textFill>
                  <w14:solidFill>
                    <w14:schemeClr w14:val="tx1"/>
                  </w14:solidFill>
                </w14:textFill>
              </w:rPr>
              <w:t>提供软件截图）</w:t>
            </w:r>
          </w:p>
        </w:tc>
        <w:tc>
          <w:tcPr>
            <w:tcW w:w="728" w:type="pct"/>
            <w:vAlign w:val="center"/>
          </w:tcPr>
          <w:p w14:paraId="189B6A4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469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3EDEA79A">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4995E1A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支持提供常见疾病诊断知识库，对病例的影像、专家讨论进行查看，提供关键字段查询检索功能，科快速查找需要的病例。</w:t>
            </w:r>
          </w:p>
        </w:tc>
        <w:tc>
          <w:tcPr>
            <w:tcW w:w="728" w:type="pct"/>
            <w:vAlign w:val="center"/>
          </w:tcPr>
          <w:p w14:paraId="09BC850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1AC0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7ECF1852">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724E2F6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支持自有典型病例录入，可对知识库自定义编辑。</w:t>
            </w:r>
          </w:p>
        </w:tc>
        <w:tc>
          <w:tcPr>
            <w:tcW w:w="728" w:type="pct"/>
            <w:vAlign w:val="center"/>
          </w:tcPr>
          <w:p w14:paraId="13FBF8C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7CA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359791EA">
            <w:pPr>
              <w:pStyle w:val="972"/>
              <w:keepNext w:val="0"/>
              <w:keepLines w:val="0"/>
              <w:pageBreakBefore w:val="0"/>
              <w:numPr>
                <w:ilvl w:val="0"/>
                <w:numId w:val="4"/>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6E29AB0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系统管理</w:t>
            </w:r>
          </w:p>
        </w:tc>
        <w:tc>
          <w:tcPr>
            <w:tcW w:w="728" w:type="pct"/>
            <w:shd w:val="clear" w:color="auto" w:fill="auto"/>
            <w:vAlign w:val="center"/>
          </w:tcPr>
          <w:p w14:paraId="1E260298">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p>
        </w:tc>
      </w:tr>
      <w:tr w14:paraId="0F17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314AF5C0">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4A27B75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通过可视化管理实现通用业务、预约登记、接口、核医学业务、排班管理等设置；</w:t>
            </w:r>
          </w:p>
        </w:tc>
        <w:tc>
          <w:tcPr>
            <w:tcW w:w="728" w:type="pct"/>
            <w:vAlign w:val="center"/>
          </w:tcPr>
          <w:p w14:paraId="3FB18E6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94B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3C11CCAE">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7AEF4E3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通用业务设置支持对检查分类、检查项目、公共/个人模版、参数配置、打印模版配置、数据统计设置、危急值项目设置、临床浏览、敏感词字典、质量控制设置等常用功能的自定义配置；</w:t>
            </w:r>
          </w:p>
        </w:tc>
        <w:tc>
          <w:tcPr>
            <w:tcW w:w="728" w:type="pct"/>
            <w:vAlign w:val="center"/>
          </w:tcPr>
          <w:p w14:paraId="182B4E6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7B5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59E0FB7F">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1226B14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预约登记设置支持参数设置、检查号设置、检查房间设置、检查队列设置、房间队列设置、号源规则、号源设置、叫号屏设置、自定义呼叫内容等预约登记常用功能自定义配置；</w:t>
            </w:r>
          </w:p>
        </w:tc>
        <w:tc>
          <w:tcPr>
            <w:tcW w:w="728" w:type="pct"/>
            <w:vAlign w:val="center"/>
          </w:tcPr>
          <w:p w14:paraId="7975B50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218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54A85CCD">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5CCF58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核医学业务设置支持系统参数设置、报告制度管理、进度设置、发送影像设置、胶片打印、DICOM显示模式设置、问诊模版设置、检查页面设置、四角信息设置、注射设置等核医学常用业务功能自定义配置；</w:t>
            </w:r>
          </w:p>
        </w:tc>
        <w:tc>
          <w:tcPr>
            <w:tcW w:w="728" w:type="pct"/>
            <w:vAlign w:val="center"/>
          </w:tcPr>
          <w:p w14:paraId="2ED5F2A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B9C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5518FC3C">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1531682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药品管理设置支持基础设置、药物信息、淋洗产物信息、放射源信息、配体信息、生产厂家等药品管理功能自定义配置；</w:t>
            </w:r>
          </w:p>
        </w:tc>
        <w:tc>
          <w:tcPr>
            <w:tcW w:w="728" w:type="pct"/>
            <w:vAlign w:val="center"/>
          </w:tcPr>
          <w:p w14:paraId="345DE07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FFE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5925607">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40EE89F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核素治疗设置支持病房设置、药物维护、医疗文书、病历打印、设备管理、数据统计等核素治疗功能自定义配置；</w:t>
            </w:r>
          </w:p>
        </w:tc>
        <w:tc>
          <w:tcPr>
            <w:tcW w:w="728" w:type="pct"/>
            <w:vAlign w:val="center"/>
          </w:tcPr>
          <w:p w14:paraId="012F4ECF">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349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490BBC8C">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3827" w:type="pct"/>
            <w:vAlign w:val="center"/>
          </w:tcPr>
          <w:p w14:paraId="013D7B6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排班设置支持检查分类排班、可操作的检查项目等排班功能自定义配置。</w:t>
            </w:r>
          </w:p>
        </w:tc>
        <w:tc>
          <w:tcPr>
            <w:tcW w:w="728" w:type="pct"/>
            <w:vAlign w:val="center"/>
          </w:tcPr>
          <w:p w14:paraId="176EB80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1CB0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64BCFCAB">
            <w:pPr>
              <w:pStyle w:val="972"/>
              <w:keepNext w:val="0"/>
              <w:keepLines w:val="0"/>
              <w:pageBreakBefore w:val="0"/>
              <w:numPr>
                <w:ilvl w:val="0"/>
                <w:numId w:val="4"/>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0A70BCE1">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影像存档</w:t>
            </w:r>
          </w:p>
        </w:tc>
        <w:tc>
          <w:tcPr>
            <w:tcW w:w="728" w:type="pct"/>
            <w:shd w:val="clear" w:color="auto" w:fill="auto"/>
            <w:vAlign w:val="center"/>
          </w:tcPr>
          <w:p w14:paraId="5C3E75EB">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p>
        </w:tc>
      </w:tr>
      <w:tr w14:paraId="4618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591D5316">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523BC49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第三方接口服务</w:t>
            </w:r>
          </w:p>
        </w:tc>
        <w:tc>
          <w:tcPr>
            <w:tcW w:w="728" w:type="pct"/>
            <w:shd w:val="clear" w:color="auto" w:fill="auto"/>
            <w:vAlign w:val="center"/>
          </w:tcPr>
          <w:p w14:paraId="0DBE570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p>
        </w:tc>
      </w:tr>
      <w:tr w14:paraId="4727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631AF7E1">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29DF5698">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支持与医院第三方系统集成，实现患者影像数据交互分享。</w:t>
            </w:r>
            <w:r>
              <w:rPr>
                <w:rFonts w:hint="eastAsia" w:ascii="宋体" w:hAnsi="宋体" w:eastAsia="宋体" w:cs="宋体"/>
                <w:b/>
                <w:bCs/>
                <w:color w:val="000000" w:themeColor="text1"/>
                <w:kern w:val="0"/>
                <w:sz w:val="21"/>
                <w:szCs w:val="21"/>
                <w:highlight w:val="none"/>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投标文件中</w:t>
            </w:r>
            <w:r>
              <w:rPr>
                <w:rFonts w:hint="eastAsia" w:ascii="宋体" w:hAnsi="宋体" w:eastAsia="宋体" w:cs="宋体"/>
                <w:b/>
                <w:bCs/>
                <w:color w:val="000000" w:themeColor="text1"/>
                <w:kern w:val="0"/>
                <w:sz w:val="21"/>
                <w:szCs w:val="21"/>
                <w:highlight w:val="none"/>
                <w14:textFill>
                  <w14:solidFill>
                    <w14:schemeClr w14:val="tx1"/>
                  </w14:solidFill>
                </w14:textFill>
              </w:rPr>
              <w:t>提供接口交互</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类</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软件著作权证书证明</w:t>
            </w:r>
            <w:r>
              <w:rPr>
                <w:rFonts w:hint="eastAsia" w:ascii="宋体" w:hAnsi="宋体" w:eastAsia="宋体" w:cs="宋体"/>
                <w:b/>
                <w:bCs/>
                <w:color w:val="000000" w:themeColor="text1"/>
                <w:kern w:val="0"/>
                <w:sz w:val="21"/>
                <w:szCs w:val="21"/>
                <w:highlight w:val="none"/>
                <w14:textFill>
                  <w14:solidFill>
                    <w14:schemeClr w14:val="tx1"/>
                  </w14:solidFill>
                </w14:textFill>
              </w:rPr>
              <w:t>）</w:t>
            </w:r>
          </w:p>
        </w:tc>
        <w:tc>
          <w:tcPr>
            <w:tcW w:w="728" w:type="pct"/>
            <w:shd w:val="clear" w:color="auto" w:fill="auto"/>
            <w:vAlign w:val="center"/>
          </w:tcPr>
          <w:p w14:paraId="02A40D73">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r>
      <w:tr w14:paraId="7B77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140A19FD">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76A7EBE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备份归档服务模块</w:t>
            </w:r>
          </w:p>
        </w:tc>
        <w:tc>
          <w:tcPr>
            <w:tcW w:w="728" w:type="pct"/>
            <w:shd w:val="clear" w:color="auto" w:fill="auto"/>
            <w:vAlign w:val="center"/>
          </w:tcPr>
          <w:p w14:paraId="086E8B8B">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394F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32E92DFC">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6C18883D">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支持数据备份与归档功能</w:t>
            </w:r>
            <w:r>
              <w:rPr>
                <w:rFonts w:hint="eastAsia" w:ascii="宋体" w:hAnsi="宋体" w:eastAsia="宋体" w:cs="宋体"/>
                <w:b/>
                <w:bCs/>
                <w:color w:val="000000" w:themeColor="text1"/>
                <w:kern w:val="0"/>
                <w:sz w:val="21"/>
                <w:szCs w:val="21"/>
                <w:highlight w:val="none"/>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投标文件中</w:t>
            </w:r>
            <w:r>
              <w:rPr>
                <w:rFonts w:hint="eastAsia" w:ascii="宋体" w:hAnsi="宋体" w:eastAsia="宋体" w:cs="宋体"/>
                <w:b/>
                <w:bCs/>
                <w:color w:val="000000" w:themeColor="text1"/>
                <w:kern w:val="0"/>
                <w:sz w:val="21"/>
                <w:szCs w:val="21"/>
                <w:highlight w:val="none"/>
                <w14:textFill>
                  <w14:solidFill>
                    <w14:schemeClr w14:val="tx1"/>
                  </w14:solidFill>
                </w14:textFill>
              </w:rPr>
              <w:t>提供数据备份归档系统软件著作权登记证书</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扫描件加盖公章</w:t>
            </w:r>
            <w:r>
              <w:rPr>
                <w:rFonts w:hint="eastAsia" w:ascii="宋体" w:hAnsi="宋体" w:eastAsia="宋体" w:cs="宋体"/>
                <w:b/>
                <w:bCs/>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728" w:type="pct"/>
            <w:shd w:val="clear" w:color="auto" w:fill="auto"/>
            <w:vAlign w:val="center"/>
          </w:tcPr>
          <w:p w14:paraId="604C053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A36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4FFC0022">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567F2E6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备份内容显示：开始执行备份时间、结束备份时间、备份了多少数据记录、异常的记录信息；错误日志详细显示，可根据时间查询。</w:t>
            </w:r>
          </w:p>
        </w:tc>
        <w:tc>
          <w:tcPr>
            <w:tcW w:w="728" w:type="pct"/>
            <w:shd w:val="clear" w:color="auto" w:fill="auto"/>
            <w:vAlign w:val="center"/>
          </w:tcPr>
          <w:p w14:paraId="5B92A6E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D12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73E10932">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63C3483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备份功能包括备份数据库和文件。</w:t>
            </w:r>
          </w:p>
        </w:tc>
        <w:tc>
          <w:tcPr>
            <w:tcW w:w="728" w:type="pct"/>
            <w:shd w:val="clear" w:color="auto" w:fill="auto"/>
            <w:vAlign w:val="center"/>
          </w:tcPr>
          <w:p w14:paraId="3B1D1A7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9B5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51670846">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48F1FEB9">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归档内容显示：开始执行归档时间、结束归档时间、归档了多少数据记录、异常的记录信息；错误日志详细显示，可根据时间查询。</w:t>
            </w:r>
          </w:p>
        </w:tc>
        <w:tc>
          <w:tcPr>
            <w:tcW w:w="728" w:type="pct"/>
            <w:shd w:val="clear" w:color="auto" w:fill="auto"/>
            <w:vAlign w:val="center"/>
          </w:tcPr>
          <w:p w14:paraId="7EBB60E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AD9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4286727F">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52898D08">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归档内容为以每条检查为核心的相关磁盘数据。</w:t>
            </w:r>
          </w:p>
        </w:tc>
        <w:tc>
          <w:tcPr>
            <w:tcW w:w="728" w:type="pct"/>
            <w:shd w:val="clear" w:color="auto" w:fill="auto"/>
            <w:vAlign w:val="center"/>
          </w:tcPr>
          <w:p w14:paraId="4F005C5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3CF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5AA89022">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2A58378D">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存储管理服务模块</w:t>
            </w:r>
          </w:p>
        </w:tc>
        <w:tc>
          <w:tcPr>
            <w:tcW w:w="728" w:type="pct"/>
            <w:shd w:val="clear" w:color="auto" w:fill="auto"/>
            <w:vAlign w:val="center"/>
          </w:tcPr>
          <w:p w14:paraId="73D2194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BE0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74A79EF5">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29B162BB">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支持设置存储影像的服务器位置信息和保密信息。</w:t>
            </w:r>
          </w:p>
        </w:tc>
        <w:tc>
          <w:tcPr>
            <w:tcW w:w="728" w:type="pct"/>
            <w:shd w:val="clear" w:color="auto" w:fill="auto"/>
            <w:vAlign w:val="center"/>
          </w:tcPr>
          <w:p w14:paraId="6057E9F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14E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7E372024">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336F363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支持在数据库服务器建立病人的ID号与影像内容及存储位置的对照表，实现电子病历化管理。</w:t>
            </w:r>
          </w:p>
        </w:tc>
        <w:tc>
          <w:tcPr>
            <w:tcW w:w="728" w:type="pct"/>
            <w:shd w:val="clear" w:color="auto" w:fill="auto"/>
            <w:vAlign w:val="center"/>
          </w:tcPr>
          <w:p w14:paraId="1AD9319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41B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43" w:type="pct"/>
            <w:shd w:val="clear" w:color="auto" w:fill="auto"/>
            <w:vAlign w:val="center"/>
          </w:tcPr>
          <w:p w14:paraId="1B37062D">
            <w:pPr>
              <w:pStyle w:val="972"/>
              <w:keepNext w:val="0"/>
              <w:keepLines w:val="0"/>
              <w:pageBreakBefore w:val="0"/>
              <w:numPr>
                <w:ilvl w:val="1"/>
                <w:numId w:val="4"/>
              </w:numPr>
              <w:kinsoku/>
              <w:wordWrap/>
              <w:overflowPunct/>
              <w:topLinePunct w:val="0"/>
              <w:autoSpaceDE/>
              <w:autoSpaceDN/>
              <w:bidi w:val="0"/>
              <w:adjustRightInd/>
              <w:snapToGrid/>
              <w:spacing w:line="360" w:lineRule="auto"/>
              <w:ind w:left="567" w:leftChars="0" w:hanging="567"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707B34B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数据库服务模块</w:t>
            </w:r>
          </w:p>
        </w:tc>
        <w:tc>
          <w:tcPr>
            <w:tcW w:w="728" w:type="pct"/>
            <w:shd w:val="clear" w:color="auto" w:fill="auto"/>
            <w:vAlign w:val="center"/>
          </w:tcPr>
          <w:p w14:paraId="5E5B911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2E01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shd w:val="clear" w:color="auto" w:fill="auto"/>
            <w:vAlign w:val="center"/>
          </w:tcPr>
          <w:p w14:paraId="72F4411C">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3827" w:type="pct"/>
            <w:shd w:val="clear" w:color="auto" w:fill="auto"/>
            <w:vAlign w:val="center"/>
          </w:tcPr>
          <w:p w14:paraId="4E81B14E">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支持以SQLserverDBMS作为基础的服务器模块，有各种数据库表格</w:t>
            </w:r>
          </w:p>
        </w:tc>
        <w:tc>
          <w:tcPr>
            <w:tcW w:w="728" w:type="pct"/>
            <w:shd w:val="clear" w:color="auto" w:fill="auto"/>
            <w:vAlign w:val="center"/>
          </w:tcPr>
          <w:p w14:paraId="1A91E87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7A7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7E878C27">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65A67402">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支持提供数据库管理功能，支持数据记录查询与检索。</w:t>
            </w:r>
          </w:p>
        </w:tc>
        <w:tc>
          <w:tcPr>
            <w:tcW w:w="728" w:type="pct"/>
            <w:vAlign w:val="center"/>
          </w:tcPr>
          <w:p w14:paraId="4C1E2FC4">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91A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2EDA2CD2">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560BA3D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支持系统采用集中式数据结构，各个终端直接调用数据库中的数据，数据库保存包括用户，病人信息，影像数据和存储位置等信息。</w:t>
            </w:r>
          </w:p>
        </w:tc>
        <w:tc>
          <w:tcPr>
            <w:tcW w:w="728" w:type="pct"/>
            <w:vAlign w:val="center"/>
          </w:tcPr>
          <w:p w14:paraId="7C7C245A">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EEC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372242EA">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1ADDB02C">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支持接受医生申请，按权限提供所储存影像及相关信息。</w:t>
            </w:r>
          </w:p>
        </w:tc>
        <w:tc>
          <w:tcPr>
            <w:tcW w:w="728" w:type="pct"/>
            <w:vAlign w:val="center"/>
          </w:tcPr>
          <w:p w14:paraId="6C765887">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12FD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51A1F828">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3BAF6E9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支持系统采用集中式数据结构，各个终端直接调用数据库中的数据，数据库保存包括用户，病人信息，影像数据和存储位置等信息。</w:t>
            </w:r>
          </w:p>
        </w:tc>
        <w:tc>
          <w:tcPr>
            <w:tcW w:w="728" w:type="pct"/>
            <w:vAlign w:val="center"/>
          </w:tcPr>
          <w:p w14:paraId="085146A6">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01A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2D58EB2D">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42C8EFB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支持允许工作站用户发送查询请求，在基于许可的权限范围内，得到相应检查的工作列表和目录。</w:t>
            </w:r>
          </w:p>
        </w:tc>
        <w:tc>
          <w:tcPr>
            <w:tcW w:w="728" w:type="pct"/>
            <w:vAlign w:val="center"/>
          </w:tcPr>
          <w:p w14:paraId="6B6A2505">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B8C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3" w:type="pct"/>
            <w:vAlign w:val="center"/>
          </w:tcPr>
          <w:p w14:paraId="6C0CA901">
            <w:pPr>
              <w:pStyle w:val="972"/>
              <w:keepNext w:val="0"/>
              <w:keepLines w:val="0"/>
              <w:pageBreakBefore w:val="0"/>
              <w:numPr>
                <w:ilvl w:val="2"/>
                <w:numId w:val="4"/>
              </w:numPr>
              <w:kinsoku/>
              <w:wordWrap/>
              <w:overflowPunct/>
              <w:topLinePunct w:val="0"/>
              <w:autoSpaceDE/>
              <w:autoSpaceDN/>
              <w:bidi w:val="0"/>
              <w:adjustRightInd/>
              <w:snapToGrid/>
              <w:spacing w:line="360" w:lineRule="auto"/>
              <w:ind w:left="709" w:leftChars="0" w:hanging="709"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3827" w:type="pct"/>
            <w:vAlign w:val="center"/>
          </w:tcPr>
          <w:p w14:paraId="4C50E5EB">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支持数据库设定自动的备份和验证规则，同时，在该法则运行的过程中，不会停止系统的服务或对系统的性能有明显的影响。</w:t>
            </w:r>
          </w:p>
        </w:tc>
        <w:tc>
          <w:tcPr>
            <w:tcW w:w="728" w:type="pct"/>
            <w:vAlign w:val="center"/>
          </w:tcPr>
          <w:p w14:paraId="4D2D26C0">
            <w:pPr>
              <w:keepNext w:val="0"/>
              <w:keepLines w:val="0"/>
              <w:pageBreakBefore w:val="0"/>
              <w:widowControl/>
              <w:kinsoku/>
              <w:wordWrap/>
              <w:overflowPunct/>
              <w:topLinePunct w:val="0"/>
              <w:autoSpaceDE/>
              <w:autoSpaceDN/>
              <w:bidi w:val="0"/>
              <w:adjustRightInd/>
              <w:snapToGrid/>
              <w:spacing w:after="0" w:line="360" w:lineRule="auto"/>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bl>
    <w:p w14:paraId="3F079F72">
      <w:pPr>
        <w:pStyle w:val="2"/>
        <w:rPr>
          <w:rFonts w:hint="eastAsia"/>
          <w:color w:val="000000" w:themeColor="text1"/>
          <w:highlight w:val="none"/>
          <w14:textFill>
            <w14:solidFill>
              <w14:schemeClr w14:val="tx1"/>
            </w14:solidFill>
          </w14:textFill>
        </w:rPr>
      </w:pPr>
    </w:p>
    <w:p w14:paraId="6D57C551">
      <w:pPr>
        <w:spacing w:line="360" w:lineRule="auto"/>
        <w:ind w:left="420" w:leftChars="200"/>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六</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）项目实施要求</w:t>
      </w:r>
    </w:p>
    <w:p w14:paraId="6E1E561E">
      <w:pPr>
        <w:numPr>
          <w:ilvl w:val="0"/>
          <w:numId w:val="0"/>
        </w:num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软件设计严格执行国家有关软件工程的标准，保证系统质量，提供完整、准确、详细的产品说明书，应用设计符合国际、国家、医疗卫生行业有关标准、规范和医院自身的发展规划。</w:t>
      </w:r>
    </w:p>
    <w:p w14:paraId="28BC4C7D">
      <w:pPr>
        <w:numPr>
          <w:ilvl w:val="0"/>
          <w:numId w:val="0"/>
        </w:num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项目在试运行期内，用户需求仍有可能不断完善，投标人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应</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承诺在采购需求和政策法规范围内，随着用户需求的变动随时作出响应。</w:t>
      </w:r>
    </w:p>
    <w:p w14:paraId="6832DB6E">
      <w:pPr>
        <w:numPr>
          <w:ilvl w:val="0"/>
          <w:numId w:val="0"/>
        </w:num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中标单位提供的所有产品所涉及到的知识产权和所提供的软件、技术资料是合法取得，不会因为采购人的使用而被责令停止使用、追偿或者要求赔偿，如出现上述问题，一切经济损失和法律责任均由中标人承担。</w:t>
      </w:r>
    </w:p>
    <w:p w14:paraId="06AB36FC">
      <w:pPr>
        <w:numPr>
          <w:ilvl w:val="0"/>
          <w:numId w:val="0"/>
        </w:num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招标人有权监督和管理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项目的测试、安装、调试、故障诊断、系统开发和验收等各项工作，投标人必须接受并服从招标人的监督、管理要求。</w:t>
      </w:r>
    </w:p>
    <w:p w14:paraId="66987F20">
      <w:pPr>
        <w:numPr>
          <w:ilvl w:val="0"/>
          <w:numId w:val="0"/>
        </w:numPr>
        <w:rPr>
          <w:rFonts w:hint="eastAsia" w:ascii="宋体" w:hAnsi="宋体" w:eastAsia="宋体" w:cs="宋体"/>
          <w:b/>
          <w:color w:val="000000" w:themeColor="text1"/>
          <w:sz w:val="21"/>
          <w:szCs w:val="21"/>
          <w:highlight w:val="none"/>
          <w14:textFill>
            <w14:solidFill>
              <w14:schemeClr w14:val="tx1"/>
            </w14:solidFill>
          </w14:textFill>
        </w:rPr>
      </w:pPr>
    </w:p>
    <w:p w14:paraId="3B8B712B">
      <w:pPr>
        <w:numPr>
          <w:ilvl w:val="0"/>
          <w:numId w:val="0"/>
        </w:num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二、商务需求</w:t>
      </w:r>
    </w:p>
    <w:tbl>
      <w:tblPr>
        <w:tblStyle w:val="64"/>
        <w:tblW w:w="4996" w:type="pct"/>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0" w:type="dxa"/>
          <w:bottom w:w="0" w:type="dxa"/>
          <w:right w:w="0" w:type="dxa"/>
        </w:tblCellMar>
      </w:tblPr>
      <w:tblGrid>
        <w:gridCol w:w="821"/>
        <w:gridCol w:w="1487"/>
        <w:gridCol w:w="6916"/>
      </w:tblGrid>
      <w:tr w14:paraId="3829F1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1" w:hRule="atLeast"/>
          <w:tblHeader/>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FC8A9A">
            <w:pPr>
              <w:keepNext w:val="0"/>
              <w:keepLines w:val="0"/>
              <w:pageBreakBefore w:val="0"/>
              <w:widowControl w:val="0"/>
              <w:tabs>
                <w:tab w:val="left" w:pos="420"/>
              </w:tabs>
              <w:kinsoku/>
              <w:wordWrap/>
              <w:overflowPunct/>
              <w:topLinePunct w:val="0"/>
              <w:autoSpaceDE/>
              <w:autoSpaceDN/>
              <w:bidi w:val="0"/>
              <w:adjustRightInd w:val="0"/>
              <w:spacing w:line="336" w:lineRule="auto"/>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63" w:name="_Toc22578"/>
            <w:bookmarkStart w:id="64" w:name="_Toc22878"/>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8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D93743">
            <w:pPr>
              <w:keepNext w:val="0"/>
              <w:keepLines w:val="0"/>
              <w:pageBreakBefore w:val="0"/>
              <w:widowControl w:val="0"/>
              <w:tabs>
                <w:tab w:val="left" w:pos="420"/>
              </w:tabs>
              <w:kinsoku/>
              <w:wordWrap/>
              <w:overflowPunct/>
              <w:topLinePunct w:val="0"/>
              <w:autoSpaceDE/>
              <w:autoSpaceDN/>
              <w:bidi w:val="0"/>
              <w:adjustRightInd w:val="0"/>
              <w:spacing w:line="336" w:lineRule="auto"/>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项目</w:t>
            </w:r>
          </w:p>
        </w:tc>
        <w:tc>
          <w:tcPr>
            <w:tcW w:w="374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937A7E">
            <w:pPr>
              <w:keepNext w:val="0"/>
              <w:keepLines w:val="0"/>
              <w:pageBreakBefore w:val="0"/>
              <w:widowControl w:val="0"/>
              <w:tabs>
                <w:tab w:val="left" w:pos="420"/>
              </w:tabs>
              <w:kinsoku/>
              <w:wordWrap/>
              <w:overflowPunct/>
              <w:topLinePunct w:val="0"/>
              <w:autoSpaceDE/>
              <w:autoSpaceDN/>
              <w:bidi w:val="0"/>
              <w:adjustRightInd w:val="0"/>
              <w:spacing w:line="336" w:lineRule="auto"/>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商务要求</w:t>
            </w:r>
          </w:p>
        </w:tc>
      </w:tr>
      <w:tr w14:paraId="11D1C3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1"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5D71DC">
            <w:pPr>
              <w:keepNext w:val="0"/>
              <w:keepLines w:val="0"/>
              <w:pageBreakBefore w:val="0"/>
              <w:widowControl w:val="0"/>
              <w:tabs>
                <w:tab w:val="left" w:pos="420"/>
              </w:tabs>
              <w:kinsoku/>
              <w:wordWrap/>
              <w:overflowPunct/>
              <w:topLinePunct w:val="0"/>
              <w:autoSpaceDE/>
              <w:autoSpaceDN/>
              <w:bidi w:val="0"/>
              <w:adjustRightInd w:val="0"/>
              <w:spacing w:line="336" w:lineRule="auto"/>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p>
        </w:tc>
        <w:tc>
          <w:tcPr>
            <w:tcW w:w="8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485795">
            <w:pPr>
              <w:keepNext w:val="0"/>
              <w:keepLines w:val="0"/>
              <w:pageBreakBefore w:val="0"/>
              <w:widowControl w:val="0"/>
              <w:tabs>
                <w:tab w:val="left" w:pos="420"/>
              </w:tabs>
              <w:kinsoku/>
              <w:wordWrap/>
              <w:overflowPunct/>
              <w:topLinePunct w:val="0"/>
              <w:autoSpaceDE/>
              <w:autoSpaceDN/>
              <w:bidi w:val="0"/>
              <w:adjustRightInd w:val="0"/>
              <w:spacing w:line="336" w:lineRule="auto"/>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项目工期</w:t>
            </w:r>
          </w:p>
        </w:tc>
        <w:tc>
          <w:tcPr>
            <w:tcW w:w="374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31A26F">
            <w:pPr>
              <w:keepNext w:val="0"/>
              <w:keepLines w:val="0"/>
              <w:pageBreakBefore w:val="0"/>
              <w:widowControl w:val="0"/>
              <w:tabs>
                <w:tab w:val="left" w:pos="420"/>
              </w:tabs>
              <w:kinsoku/>
              <w:wordWrap/>
              <w:overflowPunct/>
              <w:topLinePunct w:val="0"/>
              <w:autoSpaceDE/>
              <w:autoSpaceDN/>
              <w:bidi w:val="0"/>
              <w:adjustRightInd w:val="0"/>
              <w:spacing w:line="336"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合同签订后6个月内完成安装调试</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试运行并通过</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组织的验收</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且达到验收合格</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r>
      <w:tr w14:paraId="1593EC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31"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BADD39">
            <w:pPr>
              <w:keepNext w:val="0"/>
              <w:keepLines w:val="0"/>
              <w:pageBreakBefore w:val="0"/>
              <w:widowControl w:val="0"/>
              <w:tabs>
                <w:tab w:val="left" w:pos="420"/>
              </w:tabs>
              <w:kinsoku/>
              <w:wordWrap/>
              <w:overflowPunct/>
              <w:topLinePunct w:val="0"/>
              <w:autoSpaceDE/>
              <w:autoSpaceDN/>
              <w:bidi w:val="0"/>
              <w:adjustRightInd w:val="0"/>
              <w:spacing w:line="336" w:lineRule="auto"/>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p>
        </w:tc>
        <w:tc>
          <w:tcPr>
            <w:tcW w:w="8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9621B1">
            <w:pPr>
              <w:keepNext w:val="0"/>
              <w:keepLines w:val="0"/>
              <w:pageBreakBefore w:val="0"/>
              <w:widowControl w:val="0"/>
              <w:tabs>
                <w:tab w:val="left" w:pos="420"/>
              </w:tabs>
              <w:kinsoku/>
              <w:wordWrap/>
              <w:overflowPunct/>
              <w:topLinePunct w:val="0"/>
              <w:autoSpaceDE/>
              <w:autoSpaceDN/>
              <w:bidi w:val="0"/>
              <w:adjustRightInd w:val="0"/>
              <w:spacing w:line="336" w:lineRule="auto"/>
              <w:jc w:val="center"/>
              <w:textAlignment w:val="auto"/>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付款方式</w:t>
            </w:r>
          </w:p>
        </w:tc>
        <w:tc>
          <w:tcPr>
            <w:tcW w:w="374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A39612">
            <w:pPr>
              <w:keepNext w:val="0"/>
              <w:keepLines w:val="0"/>
              <w:pageBreakBefore w:val="0"/>
              <w:widowControl w:val="0"/>
              <w:tabs>
                <w:tab w:val="left" w:pos="420"/>
              </w:tabs>
              <w:kinsoku/>
              <w:wordWrap/>
              <w:overflowPunct/>
              <w:topLinePunct w:val="0"/>
              <w:autoSpaceDE/>
              <w:autoSpaceDN/>
              <w:bidi w:val="0"/>
              <w:adjustRightInd w:val="0"/>
              <w:spacing w:line="336" w:lineRule="auto"/>
              <w:jc w:val="both"/>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付款条件：</w:t>
            </w:r>
          </w:p>
          <w:p w14:paraId="39E47DC2">
            <w:pPr>
              <w:keepNext w:val="0"/>
              <w:keepLines w:val="0"/>
              <w:pageBreakBefore w:val="0"/>
              <w:widowControl w:val="0"/>
              <w:tabs>
                <w:tab w:val="left" w:pos="420"/>
              </w:tabs>
              <w:kinsoku/>
              <w:wordWrap/>
              <w:overflowPunct/>
              <w:topLinePunct w:val="0"/>
              <w:autoSpaceDE/>
              <w:autoSpaceDN/>
              <w:bidi w:val="0"/>
              <w:adjustRightInd w:val="0"/>
              <w:spacing w:line="336" w:lineRule="auto"/>
              <w:jc w:val="both"/>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①合同生效且具备实施条件后7个工作日内，凭中标人开具的发票及预付款等额保函支付合同金额的30%作为预付款。中标人于合同签订前书面承诺放弃预付款或降低预付款支付比例的，可不适用本条款且具体支付方式由双方在合同中自行约定。</w:t>
            </w:r>
          </w:p>
          <w:p w14:paraId="3502467B">
            <w:pPr>
              <w:keepNext w:val="0"/>
              <w:keepLines w:val="0"/>
              <w:pageBreakBefore w:val="0"/>
              <w:widowControl w:val="0"/>
              <w:tabs>
                <w:tab w:val="left" w:pos="420"/>
              </w:tabs>
              <w:kinsoku/>
              <w:wordWrap/>
              <w:overflowPunct/>
              <w:topLinePunct w:val="0"/>
              <w:autoSpaceDE/>
              <w:autoSpaceDN/>
              <w:bidi w:val="0"/>
              <w:adjustRightInd w:val="0"/>
              <w:spacing w:line="336" w:lineRule="auto"/>
              <w:jc w:val="both"/>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②按照项目进度，</w:t>
            </w:r>
            <w:r>
              <w:rPr>
                <w:rFonts w:hint="eastAsia" w:ascii="宋体" w:hAnsi="宋体"/>
                <w:color w:val="000000" w:themeColor="text1"/>
                <w:highlight w:val="none"/>
                <w:lang w:val="en-US" w:eastAsia="zh-CN"/>
                <w14:textFill>
                  <w14:solidFill>
                    <w14:schemeClr w14:val="tx1"/>
                  </w14:solidFill>
                </w14:textFill>
              </w:rPr>
              <w:t>项目实施完成</w:t>
            </w:r>
            <w:r>
              <w:rPr>
                <w:rFonts w:hint="eastAsia" w:ascii="宋体" w:hAnsi="宋体"/>
                <w:color w:val="000000" w:themeColor="text1"/>
                <w:highlight w:val="none"/>
                <w14:textFill>
                  <w14:solidFill>
                    <w14:schemeClr w14:val="tx1"/>
                  </w14:solidFill>
                </w14:textFill>
              </w:rPr>
              <w:t>且收到中标人开具的发票后7个工作日内支付合同金额的50%。</w:t>
            </w:r>
          </w:p>
          <w:p w14:paraId="04C1E61E">
            <w:pPr>
              <w:keepNext w:val="0"/>
              <w:keepLines w:val="0"/>
              <w:pageBreakBefore w:val="0"/>
              <w:widowControl w:val="0"/>
              <w:tabs>
                <w:tab w:val="left" w:pos="420"/>
              </w:tabs>
              <w:kinsoku/>
              <w:wordWrap/>
              <w:overflowPunct/>
              <w:topLinePunct w:val="0"/>
              <w:autoSpaceDE/>
              <w:autoSpaceDN/>
              <w:bidi w:val="0"/>
              <w:adjustRightInd w:val="0"/>
              <w:spacing w:line="336" w:lineRule="auto"/>
              <w:jc w:val="both"/>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③</w:t>
            </w:r>
            <w:r>
              <w:rPr>
                <w:rFonts w:hint="eastAsia" w:ascii="宋体" w:hAnsi="宋体"/>
                <w:color w:val="000000" w:themeColor="text1"/>
                <w:highlight w:val="none"/>
                <w:lang w:val="en-US" w:eastAsia="zh-CN"/>
                <w14:textFill>
                  <w14:solidFill>
                    <w14:schemeClr w14:val="tx1"/>
                  </w14:solidFill>
                </w14:textFill>
              </w:rPr>
              <w:t>项目</w:t>
            </w:r>
            <w:r>
              <w:rPr>
                <w:rFonts w:hint="eastAsia" w:ascii="宋体" w:hAnsi="宋体"/>
                <w:color w:val="000000" w:themeColor="text1"/>
                <w:highlight w:val="none"/>
                <w14:textFill>
                  <w14:solidFill>
                    <w14:schemeClr w14:val="tx1"/>
                  </w14:solidFill>
                </w14:textFill>
              </w:rPr>
              <w:t>验收合格且收到中标人开具的发票后7个工作日内付清余款。</w:t>
            </w:r>
          </w:p>
          <w:p w14:paraId="19770529">
            <w:pPr>
              <w:keepNext w:val="0"/>
              <w:keepLines w:val="0"/>
              <w:pageBreakBefore w:val="0"/>
              <w:widowControl w:val="0"/>
              <w:tabs>
                <w:tab w:val="left" w:pos="420"/>
              </w:tabs>
              <w:kinsoku/>
              <w:wordWrap/>
              <w:overflowPunct/>
              <w:topLinePunct w:val="0"/>
              <w:autoSpaceDE/>
              <w:autoSpaceDN/>
              <w:bidi w:val="0"/>
              <w:adjustRightInd w:val="0"/>
              <w:spacing w:line="336" w:lineRule="auto"/>
              <w:jc w:val="both"/>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备注：本项目款项支付人为宁波市仑开投资有限公司，发票的购买方为宁波市仑开投资有限公司。</w:t>
            </w:r>
          </w:p>
        </w:tc>
      </w:tr>
      <w:tr w14:paraId="13F2CC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31"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008257">
            <w:pPr>
              <w:keepNext w:val="0"/>
              <w:keepLines w:val="0"/>
              <w:pageBreakBefore w:val="0"/>
              <w:widowControl w:val="0"/>
              <w:tabs>
                <w:tab w:val="left" w:pos="420"/>
              </w:tabs>
              <w:kinsoku/>
              <w:wordWrap/>
              <w:overflowPunct/>
              <w:topLinePunct w:val="0"/>
              <w:autoSpaceDE/>
              <w:autoSpaceDN/>
              <w:bidi w:val="0"/>
              <w:adjustRightInd w:val="0"/>
              <w:spacing w:line="336" w:lineRule="auto"/>
              <w:jc w:val="center"/>
              <w:textAlignment w:val="auto"/>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p>
        </w:tc>
        <w:tc>
          <w:tcPr>
            <w:tcW w:w="8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E098C8">
            <w:pPr>
              <w:keepNext w:val="0"/>
              <w:keepLines w:val="0"/>
              <w:pageBreakBefore w:val="0"/>
              <w:widowControl w:val="0"/>
              <w:tabs>
                <w:tab w:val="left" w:pos="420"/>
              </w:tabs>
              <w:kinsoku/>
              <w:wordWrap/>
              <w:overflowPunct/>
              <w:topLinePunct w:val="0"/>
              <w:autoSpaceDE/>
              <w:autoSpaceDN/>
              <w:bidi w:val="0"/>
              <w:adjustRightInd w:val="0"/>
              <w:spacing w:line="336" w:lineRule="auto"/>
              <w:jc w:val="center"/>
              <w:textAlignment w:val="auto"/>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履约保证金</w:t>
            </w:r>
          </w:p>
        </w:tc>
        <w:tc>
          <w:tcPr>
            <w:tcW w:w="374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223230">
            <w:pPr>
              <w:keepNext w:val="0"/>
              <w:keepLines w:val="0"/>
              <w:pageBreakBefore w:val="0"/>
              <w:widowControl w:val="0"/>
              <w:tabs>
                <w:tab w:val="left" w:pos="420"/>
              </w:tabs>
              <w:kinsoku/>
              <w:wordWrap/>
              <w:overflowPunct/>
              <w:topLinePunct w:val="0"/>
              <w:autoSpaceDE/>
              <w:autoSpaceDN/>
              <w:bidi w:val="0"/>
              <w:adjustRightInd w:val="0"/>
              <w:spacing w:line="336" w:lineRule="auto"/>
              <w:jc w:val="both"/>
              <w:textAlignment w:val="auto"/>
              <w:rPr>
                <w:rStyle w:val="967"/>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Style w:val="967"/>
                <w:rFonts w:hint="eastAsia" w:ascii="宋体" w:hAnsi="宋体" w:eastAsia="宋体" w:cs="宋体"/>
                <w:color w:val="000000" w:themeColor="text1"/>
                <w:kern w:val="2"/>
                <w:sz w:val="21"/>
                <w:szCs w:val="21"/>
                <w:highlight w:val="none"/>
                <w:lang w:val="en-US" w:eastAsia="zh-CN"/>
                <w14:textFill>
                  <w14:solidFill>
                    <w14:schemeClr w14:val="tx1"/>
                  </w14:solidFill>
                </w14:textFill>
              </w:rPr>
              <w:t>不适用。</w:t>
            </w:r>
          </w:p>
        </w:tc>
      </w:tr>
      <w:tr w14:paraId="3D6204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1"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58AB5C">
            <w:pPr>
              <w:keepNext w:val="0"/>
              <w:keepLines w:val="0"/>
              <w:pageBreakBefore w:val="0"/>
              <w:widowControl w:val="0"/>
              <w:tabs>
                <w:tab w:val="left" w:pos="420"/>
              </w:tabs>
              <w:kinsoku/>
              <w:wordWrap/>
              <w:overflowPunct/>
              <w:topLinePunct w:val="0"/>
              <w:autoSpaceDE/>
              <w:autoSpaceDN/>
              <w:bidi w:val="0"/>
              <w:adjustRightInd w:val="0"/>
              <w:spacing w:line="336" w:lineRule="auto"/>
              <w:jc w:val="center"/>
              <w:textAlignment w:val="auto"/>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p>
        </w:tc>
        <w:tc>
          <w:tcPr>
            <w:tcW w:w="8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7403D1">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Style w:val="967"/>
                <w:rFonts w:hint="eastAsia" w:ascii="宋体" w:hAnsi="宋体" w:cs="宋体"/>
                <w:color w:val="000000" w:themeColor="text1"/>
                <w:sz w:val="21"/>
                <w:szCs w:val="21"/>
                <w:highlight w:val="none"/>
                <w:lang w:val="en-US" w:eastAsia="zh-CN"/>
                <w14:textFill>
                  <w14:solidFill>
                    <w14:schemeClr w14:val="tx1"/>
                  </w14:solidFill>
                </w14:textFill>
              </w:rPr>
              <w:t>免费运维期</w:t>
            </w:r>
          </w:p>
        </w:tc>
        <w:tc>
          <w:tcPr>
            <w:tcW w:w="374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D05C07">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1）自项目终验合格之日起至少5年。免费运维期内提供同版本软件免费修改与免费升级服务。</w:t>
            </w:r>
          </w:p>
          <w:p w14:paraId="4236FEC1">
            <w:pPr>
              <w:pStyle w:val="969"/>
              <w:keepNext w:val="0"/>
              <w:keepLines w:val="0"/>
              <w:pageBreakBefore w:val="0"/>
              <w:widowControl w:val="0"/>
              <w:kinsoku/>
              <w:wordWrap/>
              <w:overflowPunct/>
              <w:topLinePunct w:val="0"/>
              <w:autoSpaceDE/>
              <w:autoSpaceDN/>
              <w:bidi w:val="0"/>
              <w:adjustRightInd w:val="0"/>
              <w:spacing w:line="336" w:lineRule="auto"/>
              <w:textAlignment w:val="auto"/>
              <w:rPr>
                <w:rStyle w:val="967"/>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default" w:ascii="宋体" w:hAnsi="宋体" w:cs="宋体"/>
                <w:color w:val="000000" w:themeColor="text1"/>
                <w:sz w:val="21"/>
                <w:szCs w:val="21"/>
                <w:highlight w:val="none"/>
                <w:lang w:val="en-US" w:eastAsia="zh-CN"/>
                <w14:textFill>
                  <w14:solidFill>
                    <w14:schemeClr w14:val="tx1"/>
                  </w14:solidFill>
                </w14:textFill>
              </w:rPr>
              <w:t>免费质保期结束后，中标人需按售后服务要求中的内容保质保量开展运维服务，并对质保期外的维保费（含适应性、改正性维护等）按年进行报价，运维费不得高于中标价的7%，否则作无效标处理</w:t>
            </w:r>
            <w:r>
              <w:rPr>
                <w:rFonts w:hint="default" w:ascii="宋体" w:hAnsi="宋体" w:cs="宋体"/>
                <w:b/>
                <w:bCs/>
                <w:color w:val="000000" w:themeColor="text1"/>
                <w:sz w:val="21"/>
                <w:szCs w:val="21"/>
                <w:highlight w:val="none"/>
                <w:lang w:val="en-US" w:eastAsia="zh-CN"/>
                <w14:textFill>
                  <w14:solidFill>
                    <w14:schemeClr w14:val="tx1"/>
                  </w14:solidFill>
                </w14:textFill>
              </w:rPr>
              <w:t>（在投标文件中对本项目质保期结束后的运维费进行报价，格式自拟，未提供的作无效标处理）</w:t>
            </w:r>
            <w:r>
              <w:rPr>
                <w:rFonts w:hint="default" w:ascii="宋体" w:hAnsi="宋体" w:cs="宋体"/>
                <w:color w:val="000000" w:themeColor="text1"/>
                <w:sz w:val="21"/>
                <w:szCs w:val="21"/>
                <w:highlight w:val="none"/>
                <w:lang w:val="en-US" w:eastAsia="zh-CN"/>
                <w14:textFill>
                  <w14:solidFill>
                    <w14:schemeClr w14:val="tx1"/>
                  </w14:solidFill>
                </w14:textFill>
              </w:rPr>
              <w:t>。</w:t>
            </w:r>
          </w:p>
        </w:tc>
      </w:tr>
      <w:tr w14:paraId="066B31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2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90C639">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Style w:val="967"/>
                <w:rFonts w:hint="eastAsia" w:ascii="宋体" w:hAnsi="宋体" w:eastAsia="宋体" w:cs="宋体"/>
                <w:color w:val="000000" w:themeColor="text1"/>
                <w:sz w:val="21"/>
                <w:szCs w:val="21"/>
                <w:highlight w:val="none"/>
                <w:lang w:val="en-US" w:eastAsia="zh-CN"/>
                <w14:textFill>
                  <w14:solidFill>
                    <w14:schemeClr w14:val="tx1"/>
                  </w14:solidFill>
                </w14:textFill>
              </w:rPr>
            </w:pPr>
            <w:r>
              <w:rPr>
                <w:rStyle w:val="967"/>
                <w:rFonts w:hint="eastAsia" w:ascii="宋体" w:hAnsi="宋体" w:cs="宋体"/>
                <w:color w:val="000000" w:themeColor="text1"/>
                <w:sz w:val="21"/>
                <w:szCs w:val="21"/>
                <w:highlight w:val="none"/>
                <w:lang w:val="en-US" w:eastAsia="zh-CN"/>
                <w14:textFill>
                  <w14:solidFill>
                    <w14:schemeClr w14:val="tx1"/>
                  </w14:solidFill>
                </w14:textFill>
              </w:rPr>
              <w:t>5</w:t>
            </w:r>
          </w:p>
        </w:tc>
        <w:tc>
          <w:tcPr>
            <w:tcW w:w="8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27E7ED">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Style w:val="967"/>
                <w:rFonts w:hint="eastAsia" w:ascii="宋体" w:hAnsi="宋体" w:eastAsia="宋体" w:cs="宋体"/>
                <w:color w:val="000000" w:themeColor="text1"/>
                <w:sz w:val="21"/>
                <w:szCs w:val="21"/>
                <w:highlight w:val="none"/>
                <w14:textFill>
                  <w14:solidFill>
                    <w14:schemeClr w14:val="tx1"/>
                  </w14:solidFill>
                </w14:textFill>
              </w:rPr>
              <w:t>技术支持要求</w:t>
            </w:r>
          </w:p>
        </w:tc>
        <w:tc>
          <w:tcPr>
            <w:tcW w:w="374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8C4454">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免费</w:t>
            </w:r>
            <w:r>
              <w:rPr>
                <w:rFonts w:hint="eastAsia" w:ascii="宋体" w:hAnsi="宋体" w:eastAsia="宋体" w:cs="宋体"/>
                <w:color w:val="000000" w:themeColor="text1"/>
                <w:sz w:val="21"/>
                <w:szCs w:val="21"/>
                <w:highlight w:val="none"/>
                <w14:textFill>
                  <w14:solidFill>
                    <w14:schemeClr w14:val="tx1"/>
                  </w14:solidFill>
                </w14:textFill>
              </w:rPr>
              <w:t>运维期</w:t>
            </w:r>
            <w:r>
              <w:rPr>
                <w:rFonts w:hint="eastAsia" w:ascii="宋体" w:hAnsi="宋体" w:eastAsia="宋体" w:cs="宋体"/>
                <w:color w:val="000000" w:themeColor="text1"/>
                <w:sz w:val="21"/>
                <w:szCs w:val="21"/>
                <w:highlight w:val="none"/>
                <w:lang w:val="zh-CN"/>
                <w14:textFill>
                  <w14:solidFill>
                    <w14:schemeClr w14:val="tx1"/>
                  </w14:solidFill>
                </w14:textFill>
              </w:rPr>
              <w:t>内需要按照用户需求进行完善修改或者政策性修改，相关修改免费。</w:t>
            </w:r>
          </w:p>
          <w:p w14:paraId="1738C7EA">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投标人应在投标</w:t>
            </w:r>
            <w:r>
              <w:rPr>
                <w:rFonts w:hint="eastAsia" w:ascii="宋体" w:hAnsi="宋体" w:cs="宋体"/>
                <w:color w:val="000000" w:themeColor="text1"/>
                <w:sz w:val="21"/>
                <w:szCs w:val="21"/>
                <w:highlight w:val="none"/>
                <w:lang w:val="en-US" w:eastAsia="zh-CN"/>
                <w14:textFill>
                  <w14:solidFill>
                    <w14:schemeClr w14:val="tx1"/>
                  </w14:solidFill>
                </w14:textFill>
              </w:rPr>
              <w:t>文件</w:t>
            </w:r>
            <w:r>
              <w:rPr>
                <w:rFonts w:hint="eastAsia" w:ascii="宋体" w:hAnsi="宋体" w:eastAsia="宋体" w:cs="宋体"/>
                <w:color w:val="000000" w:themeColor="text1"/>
                <w:sz w:val="21"/>
                <w:szCs w:val="21"/>
                <w:highlight w:val="none"/>
                <w14:textFill>
                  <w14:solidFill>
                    <w14:schemeClr w14:val="tx1"/>
                  </w14:solidFill>
                </w14:textFill>
              </w:rPr>
              <w:t>中详细列出服务项目清单，对每项服务，需明确服务提供方名称、服务内容、服务方式、服务人员技术要求以及服务响应时间等。</w:t>
            </w:r>
          </w:p>
          <w:p w14:paraId="4A25F5D8">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技术支持应不低于如下要求：</w:t>
            </w:r>
          </w:p>
          <w:p w14:paraId="5769CBBA">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电话支持服务：投标人需提供7*24小时电话服务，随时接受客户对系统操作的技术咨询和技术交流，及时解答客户遇到的问题，并定期电话回访客户进行满意度调查。投标人在接到故障报修服务要求时，1小时内做出明确响应和安排。</w:t>
            </w:r>
          </w:p>
          <w:p w14:paraId="6F53A438">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2）远程支持服务：提供多样化线上服务渠道，包括但不限于邮件、微信；采用远程技术方法在2小时内给予排除，若远程方法无法排除，应派遣技术人员提供上门支持服务。</w:t>
            </w:r>
          </w:p>
          <w:p w14:paraId="61CEC4CC">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3）现场支持服务：24小时内赶到现场进行问题处理。</w:t>
            </w:r>
          </w:p>
        </w:tc>
      </w:tr>
      <w:tr w14:paraId="776CAA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2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3CB56B">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Style w:val="967"/>
                <w:rFonts w:hint="default" w:ascii="宋体" w:hAnsi="宋体" w:cs="宋体"/>
                <w:color w:val="000000" w:themeColor="text1"/>
                <w:sz w:val="21"/>
                <w:szCs w:val="21"/>
                <w:highlight w:val="none"/>
                <w:lang w:val="en-US" w:eastAsia="zh-CN"/>
                <w14:textFill>
                  <w14:solidFill>
                    <w14:schemeClr w14:val="tx1"/>
                  </w14:solidFill>
                </w14:textFill>
              </w:rPr>
            </w:pPr>
            <w:r>
              <w:rPr>
                <w:rStyle w:val="967"/>
                <w:rFonts w:hint="eastAsia" w:ascii="宋体" w:hAnsi="宋体" w:cs="宋体"/>
                <w:color w:val="000000" w:themeColor="text1"/>
                <w:sz w:val="21"/>
                <w:szCs w:val="21"/>
                <w:highlight w:val="none"/>
                <w:lang w:val="en-US" w:eastAsia="zh-CN"/>
                <w14:textFill>
                  <w14:solidFill>
                    <w14:schemeClr w14:val="tx1"/>
                  </w14:solidFill>
                </w14:textFill>
              </w:rPr>
              <w:t>6</w:t>
            </w:r>
          </w:p>
        </w:tc>
        <w:tc>
          <w:tcPr>
            <w:tcW w:w="8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5DC112">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Style w:val="967"/>
                <w:rFonts w:hint="default" w:ascii="宋体" w:hAnsi="宋体" w:eastAsia="宋体" w:cs="宋体"/>
                <w:color w:val="000000" w:themeColor="text1"/>
                <w:sz w:val="21"/>
                <w:szCs w:val="21"/>
                <w:highlight w:val="none"/>
                <w:lang w:val="en-US" w:eastAsia="zh-CN"/>
                <w14:textFill>
                  <w14:solidFill>
                    <w14:schemeClr w14:val="tx1"/>
                  </w14:solidFill>
                </w14:textFill>
              </w:rPr>
            </w:pPr>
            <w:r>
              <w:rPr>
                <w:rStyle w:val="967"/>
                <w:rFonts w:hint="eastAsia" w:ascii="宋体" w:hAnsi="宋体" w:cs="宋体"/>
                <w:color w:val="000000" w:themeColor="text1"/>
                <w:sz w:val="21"/>
                <w:szCs w:val="21"/>
                <w:highlight w:val="none"/>
                <w:lang w:val="en-US" w:eastAsia="zh-CN"/>
                <w14:textFill>
                  <w14:solidFill>
                    <w14:schemeClr w14:val="tx1"/>
                  </w14:solidFill>
                </w14:textFill>
              </w:rPr>
              <w:t>验收要求</w:t>
            </w:r>
          </w:p>
        </w:tc>
        <w:tc>
          <w:tcPr>
            <w:tcW w:w="374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35C89C">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项目的验收包括初步验收、试运行和终验。</w:t>
            </w:r>
          </w:p>
          <w:p w14:paraId="0F3DDCFC">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1）项目初验</w:t>
            </w:r>
          </w:p>
          <w:p w14:paraId="0380F5DF">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采购人成立项目验收委员会，由项目验收委员会组织项目初验，根据项目验收标准进行验收。项目初验前，中标人应首先对系统进行自测，并将系统自测报告提交项目验收委员会和监理方审查。中标人依本合同约定向甲方提交成果及相关文档，并向采购人提出初验申请。采购人接到中标人初验申请后，由项目验收委员会进行初验，初验合格后联合签署初验报告。</w:t>
            </w:r>
          </w:p>
          <w:p w14:paraId="1EA308D8">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2）试运行</w:t>
            </w:r>
          </w:p>
          <w:p w14:paraId="4E822B0A">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初验合格之日起，系统进入试运行，试运行时间为3个月。</w:t>
            </w:r>
          </w:p>
          <w:p w14:paraId="5E395ADE">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3）终验</w:t>
            </w:r>
          </w:p>
          <w:p w14:paraId="1841810D">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系统通过试运行后，中标人向采购人提出竣工验收申请，采购人提请区相关部门组织对本项目竣工验收。系统验收通过，进入正式运行阶段。</w:t>
            </w:r>
          </w:p>
        </w:tc>
      </w:tr>
      <w:tr w14:paraId="3AC43B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3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C19619">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8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4A4EDC">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Style w:val="967"/>
                <w:rFonts w:hint="default" w:ascii="宋体" w:hAnsi="宋体" w:cs="宋体"/>
                <w:color w:val="000000" w:themeColor="text1"/>
                <w:sz w:val="21"/>
                <w:szCs w:val="21"/>
                <w:highlight w:val="none"/>
                <w:lang w:val="en-US" w:eastAsia="zh-CN"/>
                <w14:textFill>
                  <w14:solidFill>
                    <w14:schemeClr w14:val="tx1"/>
                  </w14:solidFill>
                </w14:textFill>
              </w:rPr>
            </w:pPr>
            <w:r>
              <w:rPr>
                <w:rStyle w:val="967"/>
                <w:rFonts w:hint="eastAsia" w:ascii="宋体" w:hAnsi="宋体" w:cs="宋体"/>
                <w:color w:val="000000" w:themeColor="text1"/>
                <w:sz w:val="21"/>
                <w:szCs w:val="21"/>
                <w:highlight w:val="none"/>
                <w:lang w:val="en-US" w:eastAsia="zh-CN"/>
                <w14:textFill>
                  <w14:solidFill>
                    <w14:schemeClr w14:val="tx1"/>
                  </w14:solidFill>
                </w14:textFill>
              </w:rPr>
              <w:t>运维团队要求</w:t>
            </w:r>
          </w:p>
        </w:tc>
        <w:tc>
          <w:tcPr>
            <w:tcW w:w="374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48EB3F">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投标人需建立售后服务机构以及提供专业化的技术服务团队（不少于2人），包括不限于售后服务工程师。在项目</w:t>
            </w:r>
            <w:r>
              <w:rPr>
                <w:rStyle w:val="967"/>
                <w:rFonts w:hint="eastAsia" w:ascii="宋体" w:hAnsi="宋体" w:cs="宋体"/>
                <w:color w:val="000000" w:themeColor="text1"/>
                <w:sz w:val="21"/>
                <w:szCs w:val="21"/>
                <w:highlight w:val="none"/>
                <w:lang w:val="en-US" w:eastAsia="zh-CN"/>
                <w14:textFill>
                  <w14:solidFill>
                    <w14:schemeClr w14:val="tx1"/>
                  </w14:solidFill>
                </w14:textFill>
              </w:rPr>
              <w:t>免费运维期</w:t>
            </w:r>
            <w:r>
              <w:rPr>
                <w:rFonts w:hint="eastAsia" w:ascii="宋体" w:hAnsi="宋体" w:cs="宋体"/>
                <w:color w:val="000000" w:themeColor="text1"/>
                <w:sz w:val="21"/>
                <w:szCs w:val="21"/>
                <w:highlight w:val="none"/>
                <w:lang w:val="en-US" w:eastAsia="zh-CN"/>
                <w14:textFill>
                  <w14:solidFill>
                    <w14:schemeClr w14:val="tx1"/>
                  </w14:solidFill>
                </w14:textFill>
              </w:rPr>
              <w:t>内提供快速、及时的故障排除、技术咨询等服务。</w:t>
            </w:r>
          </w:p>
        </w:tc>
      </w:tr>
      <w:tr w14:paraId="3FC7C6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74A640">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p>
        </w:tc>
        <w:tc>
          <w:tcPr>
            <w:tcW w:w="8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D75A2E">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Style w:val="967"/>
                <w:rFonts w:hint="default" w:ascii="宋体" w:hAnsi="宋体" w:cs="宋体"/>
                <w:color w:val="000000" w:themeColor="text1"/>
                <w:sz w:val="21"/>
                <w:szCs w:val="21"/>
                <w:highlight w:val="none"/>
                <w:lang w:val="en-US" w:eastAsia="zh-CN"/>
                <w14:textFill>
                  <w14:solidFill>
                    <w14:schemeClr w14:val="tx1"/>
                  </w14:solidFill>
                </w14:textFill>
              </w:rPr>
            </w:pPr>
            <w:r>
              <w:rPr>
                <w:rStyle w:val="967"/>
                <w:rFonts w:hint="eastAsia" w:ascii="宋体" w:hAnsi="宋体" w:cs="宋体"/>
                <w:color w:val="000000" w:themeColor="text1"/>
                <w:sz w:val="21"/>
                <w:szCs w:val="21"/>
                <w:highlight w:val="none"/>
                <w:lang w:val="en-US" w:eastAsia="zh-CN"/>
                <w14:textFill>
                  <w14:solidFill>
                    <w14:schemeClr w14:val="tx1"/>
                  </w14:solidFill>
                </w14:textFill>
              </w:rPr>
              <w:t>培训要求</w:t>
            </w:r>
          </w:p>
        </w:tc>
        <w:tc>
          <w:tcPr>
            <w:tcW w:w="374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3B1612">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1）中标人应为采购人提供系统使用、系统操作和管理维护培训，培训形式包括客户现场培训、课堂培训；投标文件中列明相应的培训课程。</w:t>
            </w:r>
          </w:p>
          <w:p w14:paraId="68071583">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2）投标人应在投标文件中提供详细的培训计划，包括培训项目、人数、地点、日程、资料、其他等详细内容，为所有被培训人员提供培训用文字资料和讲义等相关用品。</w:t>
            </w:r>
          </w:p>
          <w:p w14:paraId="222FBFA3">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3）技术培训的内容应包含软件的日常操作和管理维护，以及基本的故障诊断与排错。</w:t>
            </w:r>
          </w:p>
          <w:p w14:paraId="1FB994A8">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4）培训工作在合同生效之后系统试运行之前完成。</w:t>
            </w:r>
          </w:p>
          <w:p w14:paraId="2F7A6D5C">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5）所有培训费用（含培训教材费），已包括在投标总价中。</w:t>
            </w:r>
          </w:p>
          <w:p w14:paraId="703AECF8">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6）实际培训时间、人数和地点按中标人与项目采购人商定的为准。要求培训内容需要覆盖本项目系统涉及的所有科室，确保每个用户能熟练使用本系统。</w:t>
            </w:r>
          </w:p>
        </w:tc>
      </w:tr>
      <w:tr w14:paraId="13B6B5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3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F6F7AF">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p>
        </w:tc>
        <w:tc>
          <w:tcPr>
            <w:tcW w:w="8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DA595C">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Style w:val="967"/>
                <w:rFonts w:hint="default" w:ascii="宋体" w:hAnsi="宋体" w:cs="宋体"/>
                <w:color w:val="000000" w:themeColor="text1"/>
                <w:sz w:val="21"/>
                <w:szCs w:val="21"/>
                <w:highlight w:val="none"/>
                <w:lang w:val="en-US" w:eastAsia="zh-CN"/>
                <w14:textFill>
                  <w14:solidFill>
                    <w14:schemeClr w14:val="tx1"/>
                  </w14:solidFill>
                </w14:textFill>
              </w:rPr>
            </w:pPr>
            <w:r>
              <w:rPr>
                <w:rStyle w:val="967"/>
                <w:rFonts w:hint="eastAsia" w:ascii="宋体" w:hAnsi="宋体" w:cs="宋体"/>
                <w:color w:val="000000" w:themeColor="text1"/>
                <w:sz w:val="21"/>
                <w:szCs w:val="21"/>
                <w:highlight w:val="none"/>
                <w:lang w:val="en-US" w:eastAsia="zh-CN"/>
                <w14:textFill>
                  <w14:solidFill>
                    <w14:schemeClr w14:val="tx1"/>
                  </w14:solidFill>
                </w14:textFill>
              </w:rPr>
              <w:t>保密要求</w:t>
            </w:r>
          </w:p>
        </w:tc>
        <w:tc>
          <w:tcPr>
            <w:tcW w:w="374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C76B39">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对服务的过程数据和结果数据严格保密，未经授权不得泄露给任何单位和个人，不得利用此数据进行任何侵害招标人的行为，否则宁波市北仑区人民医院有权追究投标方的责任。</w:t>
            </w:r>
          </w:p>
        </w:tc>
      </w:tr>
      <w:tr w14:paraId="6BC0B1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3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41F0AF">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8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D98B93">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Style w:val="967"/>
                <w:rFonts w:hint="default" w:ascii="宋体" w:hAnsi="宋体" w:eastAsia="宋体" w:cs="宋体"/>
                <w:color w:val="000000" w:themeColor="text1"/>
                <w:sz w:val="21"/>
                <w:szCs w:val="21"/>
                <w:highlight w:val="none"/>
                <w:lang w:val="en-US" w:eastAsia="zh-CN"/>
                <w14:textFill>
                  <w14:solidFill>
                    <w14:schemeClr w14:val="tx1"/>
                  </w14:solidFill>
                </w14:textFill>
              </w:rPr>
            </w:pPr>
            <w:r>
              <w:rPr>
                <w:rStyle w:val="967"/>
                <w:rFonts w:hint="eastAsia" w:ascii="宋体" w:hAnsi="宋体" w:eastAsia="宋体" w:cs="宋体"/>
                <w:color w:val="000000" w:themeColor="text1"/>
                <w:sz w:val="21"/>
                <w:szCs w:val="21"/>
                <w:highlight w:val="none"/>
                <w:lang w:val="en-US" w:eastAsia="zh-CN"/>
                <w14:textFill>
                  <w14:solidFill>
                    <w14:schemeClr w14:val="tx1"/>
                  </w14:solidFill>
                </w14:textFill>
              </w:rPr>
              <w:t>文档要求</w:t>
            </w:r>
          </w:p>
        </w:tc>
        <w:tc>
          <w:tcPr>
            <w:tcW w:w="374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A8EDC5">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在项目建设过程中的所有文档，投标人应整理并归纳，项目验收合格后移交给采购人。</w:t>
            </w:r>
          </w:p>
        </w:tc>
      </w:tr>
      <w:tr w14:paraId="129B92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6"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C123D9">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p>
        </w:tc>
        <w:tc>
          <w:tcPr>
            <w:tcW w:w="8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730612">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Style w:val="967"/>
                <w:rFonts w:hint="eastAsia" w:ascii="宋体" w:hAnsi="宋体" w:eastAsia="宋体" w:cs="宋体"/>
                <w:color w:val="000000" w:themeColor="text1"/>
                <w:sz w:val="21"/>
                <w:szCs w:val="21"/>
                <w:highlight w:val="none"/>
                <w:lang w:val="en-US" w:eastAsia="zh-CN"/>
                <w14:textFill>
                  <w14:solidFill>
                    <w14:schemeClr w14:val="tx1"/>
                  </w14:solidFill>
                </w14:textFill>
              </w:rPr>
            </w:pPr>
            <w:r>
              <w:rPr>
                <w:rStyle w:val="967"/>
                <w:rFonts w:hint="eastAsia" w:ascii="宋体" w:hAnsi="宋体" w:eastAsia="宋体" w:cs="宋体"/>
                <w:color w:val="000000" w:themeColor="text1"/>
                <w:sz w:val="21"/>
                <w:szCs w:val="21"/>
                <w:highlight w:val="none"/>
                <w:lang w:val="en-US" w:eastAsia="zh-CN"/>
                <w14:textFill>
                  <w14:solidFill>
                    <w14:schemeClr w14:val="tx1"/>
                  </w14:solidFill>
                </w14:textFill>
              </w:rPr>
              <w:t>软件版权要求</w:t>
            </w:r>
          </w:p>
        </w:tc>
        <w:tc>
          <w:tcPr>
            <w:tcW w:w="374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906597">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投标人承诺提供给采购人的核医学系统软件，拥有本系统相关软件著作权；若涉及使用第三方软件，应确保本系统中所使用的第三方软件应具备正版授权。</w:t>
            </w:r>
          </w:p>
          <w:p w14:paraId="2FC27CE4">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本系统根据采购人需求涉及定制开发的功能在开发完成后，中标</w:t>
            </w:r>
            <w:r>
              <w:rPr>
                <w:rFonts w:hint="eastAsia" w:ascii="宋体" w:hAnsi="宋体" w:eastAsia="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lang w:val="zh-CN" w:eastAsia="zh-CN"/>
                <w14:textFill>
                  <w14:solidFill>
                    <w14:schemeClr w14:val="tx1"/>
                  </w14:solidFill>
                </w14:textFill>
              </w:rPr>
              <w:t>需要向采购人提供定制开发部分的源代码。</w:t>
            </w:r>
          </w:p>
        </w:tc>
      </w:tr>
    </w:tbl>
    <w:p w14:paraId="1A87EBB3">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br w:type="page"/>
      </w:r>
    </w:p>
    <w:p w14:paraId="79F97A32">
      <w:pPr>
        <w:spacing w:line="360" w:lineRule="auto"/>
        <w:jc w:val="center"/>
        <w:outlineLvl w:val="0"/>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 xml:space="preserve">第四部分   </w:t>
      </w:r>
      <w:bookmarkStart w:id="65" w:name="_Toc184314415"/>
      <w:bookmarkEnd w:id="65"/>
      <w:bookmarkStart w:id="66" w:name="_Toc184310296"/>
      <w:bookmarkEnd w:id="66"/>
      <w:bookmarkStart w:id="67" w:name="_Toc184314430"/>
      <w:bookmarkEnd w:id="67"/>
      <w:bookmarkStart w:id="68" w:name="_Toc184314439"/>
      <w:bookmarkEnd w:id="68"/>
      <w:bookmarkStart w:id="69" w:name="_Toc184308106"/>
      <w:bookmarkEnd w:id="69"/>
      <w:bookmarkStart w:id="70" w:name="_Toc184310330"/>
      <w:bookmarkEnd w:id="70"/>
      <w:bookmarkStart w:id="71" w:name="_Toc184314427"/>
      <w:bookmarkEnd w:id="71"/>
      <w:bookmarkStart w:id="72" w:name="_Toc184310323"/>
      <w:bookmarkEnd w:id="72"/>
      <w:bookmarkStart w:id="73" w:name="_Toc184314461"/>
      <w:bookmarkEnd w:id="73"/>
      <w:bookmarkStart w:id="74" w:name="_Toc184312128"/>
      <w:bookmarkEnd w:id="74"/>
      <w:bookmarkStart w:id="75" w:name="_Toc184313274"/>
      <w:bookmarkEnd w:id="75"/>
      <w:bookmarkStart w:id="76" w:name="_Toc184313259"/>
      <w:bookmarkEnd w:id="76"/>
      <w:bookmarkStart w:id="77" w:name="_Toc184313301"/>
      <w:bookmarkEnd w:id="77"/>
      <w:bookmarkStart w:id="78" w:name="_Toc184310276"/>
      <w:bookmarkEnd w:id="78"/>
      <w:bookmarkStart w:id="79" w:name="_Toc184312121"/>
      <w:bookmarkEnd w:id="79"/>
      <w:bookmarkStart w:id="80" w:name="_Toc184312088"/>
      <w:bookmarkEnd w:id="80"/>
      <w:bookmarkStart w:id="81" w:name="_Toc184312134"/>
      <w:bookmarkEnd w:id="81"/>
      <w:bookmarkStart w:id="82" w:name="_Toc184308049"/>
      <w:bookmarkEnd w:id="82"/>
      <w:bookmarkStart w:id="83" w:name="_Toc184312083"/>
      <w:bookmarkEnd w:id="83"/>
      <w:bookmarkStart w:id="84" w:name="_Toc184308037"/>
      <w:bookmarkEnd w:id="84"/>
      <w:bookmarkStart w:id="85" w:name="_Toc184308066"/>
      <w:bookmarkEnd w:id="85"/>
      <w:bookmarkStart w:id="86" w:name="_Toc184308048"/>
      <w:bookmarkEnd w:id="86"/>
      <w:bookmarkStart w:id="87" w:name="_Toc184314438"/>
      <w:bookmarkEnd w:id="87"/>
      <w:bookmarkStart w:id="88" w:name="_Toc184314469"/>
      <w:bookmarkEnd w:id="88"/>
      <w:bookmarkStart w:id="89" w:name="_Toc184310328"/>
      <w:bookmarkEnd w:id="89"/>
      <w:bookmarkStart w:id="90" w:name="_Toc184314425"/>
      <w:bookmarkEnd w:id="90"/>
      <w:bookmarkStart w:id="91" w:name="_Toc184314411"/>
      <w:bookmarkEnd w:id="91"/>
      <w:bookmarkStart w:id="92" w:name="_Toc184310280"/>
      <w:bookmarkEnd w:id="92"/>
      <w:bookmarkStart w:id="93" w:name="_Toc184314470"/>
      <w:bookmarkEnd w:id="93"/>
      <w:bookmarkStart w:id="94" w:name="_Toc184310317"/>
      <w:bookmarkEnd w:id="94"/>
      <w:bookmarkStart w:id="95" w:name="_Toc184312118"/>
      <w:bookmarkEnd w:id="95"/>
      <w:bookmarkStart w:id="96" w:name="_Toc184312069"/>
      <w:bookmarkEnd w:id="96"/>
      <w:bookmarkStart w:id="97" w:name="_Toc184314413"/>
      <w:bookmarkEnd w:id="97"/>
      <w:bookmarkStart w:id="98" w:name="_Toc184314474"/>
      <w:bookmarkEnd w:id="98"/>
      <w:bookmarkStart w:id="99" w:name="_Toc184308087"/>
      <w:bookmarkEnd w:id="99"/>
      <w:bookmarkStart w:id="100" w:name="_Toc184312120"/>
      <w:bookmarkEnd w:id="100"/>
      <w:bookmarkStart w:id="101" w:name="_Toc184312092"/>
      <w:bookmarkEnd w:id="101"/>
      <w:bookmarkStart w:id="102" w:name="_Toc184308088"/>
      <w:bookmarkEnd w:id="102"/>
      <w:bookmarkStart w:id="103" w:name="_Toc184308038"/>
      <w:bookmarkEnd w:id="103"/>
      <w:bookmarkStart w:id="104" w:name="_Toc184308043"/>
      <w:bookmarkEnd w:id="104"/>
      <w:bookmarkStart w:id="105" w:name="_Toc184313280"/>
      <w:bookmarkEnd w:id="105"/>
      <w:bookmarkStart w:id="106" w:name="_Toc184310302"/>
      <w:bookmarkEnd w:id="106"/>
      <w:bookmarkStart w:id="107" w:name="_Toc184310344"/>
      <w:bookmarkEnd w:id="107"/>
      <w:bookmarkStart w:id="108" w:name="_Toc184312075"/>
      <w:bookmarkEnd w:id="108"/>
      <w:bookmarkStart w:id="109" w:name="_Toc184312085"/>
      <w:bookmarkEnd w:id="109"/>
      <w:bookmarkStart w:id="110" w:name="_Toc184312113"/>
      <w:bookmarkEnd w:id="110"/>
      <w:bookmarkStart w:id="111" w:name="_Toc184310315"/>
      <w:bookmarkEnd w:id="111"/>
      <w:bookmarkStart w:id="112" w:name="_Toc184310294"/>
      <w:bookmarkEnd w:id="112"/>
      <w:bookmarkStart w:id="113" w:name="_Toc184313282"/>
      <w:bookmarkEnd w:id="113"/>
      <w:bookmarkStart w:id="114" w:name="_Toc184310275"/>
      <w:bookmarkEnd w:id="114"/>
      <w:bookmarkStart w:id="115" w:name="_Toc184313238"/>
      <w:bookmarkEnd w:id="115"/>
      <w:bookmarkStart w:id="116" w:name="_Toc184308039"/>
      <w:bookmarkEnd w:id="116"/>
      <w:bookmarkStart w:id="117" w:name="_Toc184308055"/>
      <w:bookmarkEnd w:id="117"/>
      <w:bookmarkStart w:id="118" w:name="_Toc184314440"/>
      <w:bookmarkEnd w:id="118"/>
      <w:bookmarkStart w:id="119" w:name="_Toc184313271"/>
      <w:bookmarkEnd w:id="119"/>
      <w:bookmarkStart w:id="120" w:name="_Toc184312104"/>
      <w:bookmarkEnd w:id="120"/>
      <w:bookmarkStart w:id="121" w:name="_Toc184310324"/>
      <w:bookmarkEnd w:id="121"/>
      <w:bookmarkStart w:id="122" w:name="_Toc184310305"/>
      <w:bookmarkEnd w:id="122"/>
      <w:bookmarkStart w:id="123" w:name="_Toc184314422"/>
      <w:bookmarkEnd w:id="123"/>
      <w:bookmarkStart w:id="124" w:name="_Toc184313294"/>
      <w:bookmarkEnd w:id="124"/>
      <w:bookmarkStart w:id="125" w:name="_Toc184312098"/>
      <w:bookmarkEnd w:id="125"/>
      <w:bookmarkStart w:id="126" w:name="_Toc184314481"/>
      <w:bookmarkEnd w:id="126"/>
      <w:bookmarkStart w:id="127" w:name="_Toc184310284"/>
      <w:bookmarkEnd w:id="127"/>
      <w:bookmarkStart w:id="128" w:name="_Toc184308083"/>
      <w:bookmarkEnd w:id="128"/>
      <w:bookmarkStart w:id="129" w:name="_Toc184314471"/>
      <w:bookmarkEnd w:id="129"/>
      <w:bookmarkStart w:id="130" w:name="_Toc184308094"/>
      <w:bookmarkEnd w:id="130"/>
      <w:bookmarkStart w:id="131" w:name="_Toc184310314"/>
      <w:bookmarkEnd w:id="131"/>
      <w:bookmarkStart w:id="132" w:name="_Toc184314463"/>
      <w:bookmarkEnd w:id="132"/>
      <w:bookmarkStart w:id="133" w:name="_Toc184314480"/>
      <w:bookmarkEnd w:id="133"/>
      <w:bookmarkStart w:id="134" w:name="_Toc184310281"/>
      <w:bookmarkEnd w:id="134"/>
      <w:bookmarkStart w:id="135" w:name="_Toc184308091"/>
      <w:bookmarkEnd w:id="135"/>
      <w:bookmarkStart w:id="136" w:name="_Toc184313297"/>
      <w:bookmarkEnd w:id="136"/>
      <w:bookmarkStart w:id="137" w:name="_Toc184310327"/>
      <w:bookmarkEnd w:id="137"/>
      <w:bookmarkStart w:id="138" w:name="_Toc184314412"/>
      <w:bookmarkEnd w:id="138"/>
      <w:bookmarkStart w:id="139" w:name="_Toc184312135"/>
      <w:bookmarkEnd w:id="139"/>
      <w:bookmarkStart w:id="140" w:name="_Toc184310277"/>
      <w:bookmarkEnd w:id="140"/>
      <w:bookmarkStart w:id="141" w:name="_Toc184310325"/>
      <w:bookmarkEnd w:id="141"/>
      <w:bookmarkStart w:id="142" w:name="_Toc184314462"/>
      <w:bookmarkEnd w:id="142"/>
      <w:bookmarkStart w:id="143" w:name="_Toc184314458"/>
      <w:bookmarkEnd w:id="143"/>
      <w:bookmarkStart w:id="144" w:name="_Toc184312111"/>
      <w:bookmarkEnd w:id="144"/>
      <w:bookmarkStart w:id="145" w:name="_Toc184314423"/>
      <w:bookmarkEnd w:id="145"/>
      <w:bookmarkStart w:id="146" w:name="_Toc184314468"/>
      <w:bookmarkEnd w:id="146"/>
      <w:bookmarkStart w:id="147" w:name="_Toc184313260"/>
      <w:bookmarkEnd w:id="147"/>
      <w:bookmarkStart w:id="148" w:name="_Toc184312123"/>
      <w:bookmarkEnd w:id="148"/>
      <w:bookmarkStart w:id="149" w:name="_Toc184312074"/>
      <w:bookmarkEnd w:id="149"/>
      <w:bookmarkStart w:id="150" w:name="_Toc184310338"/>
      <w:bookmarkEnd w:id="150"/>
      <w:bookmarkStart w:id="151" w:name="_Toc184310272"/>
      <w:bookmarkEnd w:id="151"/>
      <w:bookmarkStart w:id="152" w:name="_Toc184313278"/>
      <w:bookmarkEnd w:id="152"/>
      <w:bookmarkStart w:id="153" w:name="_Toc184312105"/>
      <w:bookmarkEnd w:id="153"/>
      <w:bookmarkStart w:id="154" w:name="_Toc184308077"/>
      <w:bookmarkEnd w:id="154"/>
      <w:bookmarkStart w:id="155" w:name="_Toc184313279"/>
      <w:bookmarkEnd w:id="155"/>
      <w:bookmarkStart w:id="156" w:name="_Toc184308040"/>
      <w:bookmarkEnd w:id="156"/>
      <w:bookmarkStart w:id="157" w:name="_Toc184308080"/>
      <w:bookmarkEnd w:id="157"/>
      <w:bookmarkStart w:id="158" w:name="_Toc184312106"/>
      <w:bookmarkEnd w:id="158"/>
      <w:bookmarkStart w:id="159" w:name="_Toc184310333"/>
      <w:bookmarkEnd w:id="159"/>
      <w:bookmarkStart w:id="160" w:name="_Toc184308099"/>
      <w:bookmarkEnd w:id="160"/>
      <w:bookmarkStart w:id="161" w:name="_Toc184308036"/>
      <w:bookmarkEnd w:id="161"/>
      <w:bookmarkStart w:id="162" w:name="_Toc184313281"/>
      <w:bookmarkEnd w:id="162"/>
      <w:bookmarkStart w:id="163" w:name="_Toc184314455"/>
      <w:bookmarkEnd w:id="163"/>
      <w:bookmarkStart w:id="164" w:name="_Toc184313283"/>
      <w:bookmarkEnd w:id="164"/>
      <w:bookmarkStart w:id="165" w:name="_Toc184310337"/>
      <w:bookmarkEnd w:id="165"/>
      <w:bookmarkStart w:id="166" w:name="_Toc184308063"/>
      <w:bookmarkEnd w:id="166"/>
      <w:bookmarkStart w:id="167" w:name="_Toc184313252"/>
      <w:bookmarkEnd w:id="167"/>
      <w:bookmarkStart w:id="168" w:name="_Toc184314449"/>
      <w:bookmarkEnd w:id="168"/>
      <w:bookmarkStart w:id="169" w:name="_Toc184312087"/>
      <w:bookmarkEnd w:id="169"/>
      <w:bookmarkStart w:id="170" w:name="_Toc184310279"/>
      <w:bookmarkEnd w:id="170"/>
      <w:bookmarkStart w:id="171" w:name="_Toc184313309"/>
      <w:bookmarkEnd w:id="171"/>
      <w:bookmarkStart w:id="172" w:name="_Toc184308047"/>
      <w:bookmarkEnd w:id="172"/>
      <w:bookmarkStart w:id="173" w:name="_Toc184313246"/>
      <w:bookmarkEnd w:id="173"/>
      <w:bookmarkStart w:id="174" w:name="_Toc184313267"/>
      <w:bookmarkEnd w:id="174"/>
      <w:bookmarkStart w:id="175" w:name="_Toc184310285"/>
      <w:bookmarkEnd w:id="175"/>
      <w:bookmarkStart w:id="176" w:name="_Toc184310304"/>
      <w:bookmarkEnd w:id="176"/>
      <w:bookmarkStart w:id="177" w:name="_Toc184312071"/>
      <w:bookmarkEnd w:id="177"/>
      <w:bookmarkStart w:id="178" w:name="_Toc184308105"/>
      <w:bookmarkEnd w:id="178"/>
      <w:bookmarkStart w:id="179" w:name="_Toc184308082"/>
      <w:bookmarkEnd w:id="179"/>
      <w:bookmarkStart w:id="180" w:name="_Toc184312119"/>
      <w:bookmarkEnd w:id="180"/>
      <w:bookmarkStart w:id="181" w:name="_Toc184310287"/>
      <w:bookmarkEnd w:id="181"/>
      <w:bookmarkStart w:id="182" w:name="_Toc184308096"/>
      <w:bookmarkEnd w:id="182"/>
      <w:bookmarkStart w:id="183" w:name="_Toc184313288"/>
      <w:bookmarkEnd w:id="183"/>
      <w:bookmarkStart w:id="184" w:name="_Toc184310301"/>
      <w:bookmarkEnd w:id="184"/>
      <w:bookmarkStart w:id="185" w:name="_Toc184314445"/>
      <w:bookmarkEnd w:id="185"/>
      <w:bookmarkStart w:id="186" w:name="_Toc184314419"/>
      <w:bookmarkEnd w:id="186"/>
      <w:bookmarkStart w:id="187" w:name="_Toc184313299"/>
      <w:bookmarkEnd w:id="187"/>
      <w:bookmarkStart w:id="188" w:name="_Toc184308062"/>
      <w:bookmarkEnd w:id="188"/>
      <w:bookmarkStart w:id="189" w:name="_Toc184310300"/>
      <w:bookmarkEnd w:id="189"/>
      <w:bookmarkStart w:id="190" w:name="_Toc184308092"/>
      <w:bookmarkEnd w:id="190"/>
      <w:bookmarkStart w:id="191" w:name="_Toc184314421"/>
      <w:bookmarkEnd w:id="191"/>
      <w:bookmarkStart w:id="192" w:name="_Toc184308058"/>
      <w:bookmarkEnd w:id="192"/>
      <w:bookmarkStart w:id="193" w:name="_Toc184313289"/>
      <w:bookmarkEnd w:id="193"/>
      <w:bookmarkStart w:id="194" w:name="_Toc184314459"/>
      <w:bookmarkEnd w:id="194"/>
      <w:bookmarkStart w:id="195" w:name="_Toc184313284"/>
      <w:bookmarkEnd w:id="195"/>
      <w:bookmarkStart w:id="196" w:name="_Toc184313258"/>
      <w:bookmarkEnd w:id="196"/>
      <w:bookmarkStart w:id="197" w:name="_Toc184312079"/>
      <w:bookmarkEnd w:id="197"/>
      <w:bookmarkStart w:id="198" w:name="_Toc184310306"/>
      <w:bookmarkEnd w:id="198"/>
      <w:bookmarkStart w:id="199" w:name="_Toc184310278"/>
      <w:bookmarkEnd w:id="199"/>
      <w:bookmarkStart w:id="200" w:name="_Toc184308044"/>
      <w:bookmarkEnd w:id="200"/>
      <w:bookmarkStart w:id="201" w:name="_Toc184310299"/>
      <w:bookmarkEnd w:id="201"/>
      <w:bookmarkStart w:id="202" w:name="_Toc184314426"/>
      <w:bookmarkEnd w:id="202"/>
      <w:bookmarkStart w:id="203" w:name="_Toc184312077"/>
      <w:bookmarkEnd w:id="203"/>
      <w:bookmarkStart w:id="204" w:name="_Toc184314472"/>
      <w:bookmarkEnd w:id="204"/>
      <w:bookmarkStart w:id="205" w:name="_Toc184310289"/>
      <w:bookmarkEnd w:id="205"/>
      <w:bookmarkStart w:id="206" w:name="_Toc184312086"/>
      <w:bookmarkEnd w:id="206"/>
      <w:bookmarkStart w:id="207" w:name="_Toc184312131"/>
      <w:bookmarkEnd w:id="207"/>
      <w:bookmarkStart w:id="208" w:name="_Toc184310342"/>
      <w:bookmarkEnd w:id="208"/>
      <w:bookmarkStart w:id="209" w:name="_Toc184313243"/>
      <w:bookmarkEnd w:id="209"/>
      <w:bookmarkStart w:id="210" w:name="_Toc184314453"/>
      <w:bookmarkEnd w:id="210"/>
      <w:bookmarkStart w:id="211" w:name="_Toc184310293"/>
      <w:bookmarkEnd w:id="211"/>
      <w:bookmarkStart w:id="212" w:name="_Toc184308067"/>
      <w:bookmarkEnd w:id="212"/>
      <w:bookmarkStart w:id="213" w:name="_Toc184308103"/>
      <w:bookmarkEnd w:id="213"/>
      <w:bookmarkStart w:id="214" w:name="_Toc184312084"/>
      <w:bookmarkEnd w:id="214"/>
      <w:bookmarkStart w:id="215" w:name="_Toc184313256"/>
      <w:bookmarkEnd w:id="215"/>
      <w:bookmarkStart w:id="216" w:name="_Toc184314460"/>
      <w:bookmarkEnd w:id="216"/>
      <w:bookmarkStart w:id="217" w:name="_Toc184312078"/>
      <w:bookmarkEnd w:id="217"/>
      <w:bookmarkStart w:id="218" w:name="_Toc184312126"/>
      <w:bookmarkEnd w:id="218"/>
      <w:bookmarkStart w:id="219" w:name="_Toc184308097"/>
      <w:bookmarkEnd w:id="219"/>
      <w:bookmarkStart w:id="220" w:name="_Toc184308060"/>
      <w:bookmarkEnd w:id="220"/>
      <w:bookmarkStart w:id="221" w:name="_Toc184312108"/>
      <w:bookmarkEnd w:id="221"/>
      <w:bookmarkStart w:id="222" w:name="_Toc184310303"/>
      <w:bookmarkEnd w:id="222"/>
      <w:bookmarkStart w:id="223" w:name="_Toc184308069"/>
      <w:bookmarkEnd w:id="223"/>
      <w:bookmarkStart w:id="224" w:name="_Toc184312137"/>
      <w:bookmarkEnd w:id="224"/>
      <w:bookmarkStart w:id="225" w:name="_Toc184314414"/>
      <w:bookmarkEnd w:id="225"/>
      <w:bookmarkStart w:id="226" w:name="_Toc184313251"/>
      <w:bookmarkEnd w:id="226"/>
      <w:bookmarkStart w:id="227" w:name="_Toc184313277"/>
      <w:bookmarkEnd w:id="227"/>
      <w:bookmarkStart w:id="228" w:name="_Toc184313273"/>
      <w:bookmarkEnd w:id="228"/>
      <w:bookmarkStart w:id="229" w:name="_Toc184314475"/>
      <w:bookmarkEnd w:id="229"/>
      <w:bookmarkStart w:id="230" w:name="_Toc184313269"/>
      <w:bookmarkEnd w:id="230"/>
      <w:bookmarkStart w:id="231" w:name="_Toc184313272"/>
      <w:bookmarkEnd w:id="231"/>
      <w:bookmarkStart w:id="232" w:name="_Toc184313304"/>
      <w:bookmarkEnd w:id="232"/>
      <w:bookmarkStart w:id="233" w:name="_Toc184312100"/>
      <w:bookmarkEnd w:id="233"/>
      <w:bookmarkStart w:id="234" w:name="_Toc184314410"/>
      <w:bookmarkEnd w:id="234"/>
      <w:bookmarkStart w:id="235" w:name="_Toc184314436"/>
      <w:bookmarkEnd w:id="235"/>
      <w:bookmarkStart w:id="236" w:name="_Toc184312129"/>
      <w:bookmarkEnd w:id="236"/>
      <w:bookmarkStart w:id="237" w:name="_Toc184308100"/>
      <w:bookmarkEnd w:id="237"/>
      <w:bookmarkStart w:id="238" w:name="_Toc184308068"/>
      <w:bookmarkEnd w:id="238"/>
      <w:bookmarkStart w:id="239" w:name="_Toc184308098"/>
      <w:bookmarkEnd w:id="239"/>
      <w:bookmarkStart w:id="240" w:name="_Toc184312125"/>
      <w:bookmarkEnd w:id="240"/>
      <w:bookmarkStart w:id="241" w:name="_Toc184310295"/>
      <w:bookmarkEnd w:id="241"/>
      <w:bookmarkStart w:id="242" w:name="_Toc184314446"/>
      <w:bookmarkEnd w:id="242"/>
      <w:bookmarkStart w:id="243" w:name="_Toc184312073"/>
      <w:bookmarkEnd w:id="243"/>
      <w:bookmarkStart w:id="244" w:name="_Toc184310343"/>
      <w:bookmarkEnd w:id="244"/>
      <w:bookmarkStart w:id="245" w:name="_Toc184313241"/>
      <w:bookmarkEnd w:id="245"/>
      <w:bookmarkStart w:id="246" w:name="_Toc184310334"/>
      <w:bookmarkEnd w:id="246"/>
      <w:bookmarkStart w:id="247" w:name="_Toc184312067"/>
      <w:bookmarkEnd w:id="247"/>
      <w:bookmarkStart w:id="248" w:name="_Toc184310320"/>
      <w:bookmarkEnd w:id="248"/>
      <w:bookmarkStart w:id="249" w:name="_Toc184312127"/>
      <w:bookmarkEnd w:id="249"/>
      <w:bookmarkStart w:id="250" w:name="_Toc184308070"/>
      <w:bookmarkEnd w:id="250"/>
      <w:bookmarkStart w:id="251" w:name="_Toc184314448"/>
      <w:bookmarkEnd w:id="251"/>
      <w:bookmarkStart w:id="252" w:name="_Toc184312110"/>
      <w:bookmarkEnd w:id="252"/>
      <w:bookmarkStart w:id="253" w:name="_Toc184308079"/>
      <w:bookmarkEnd w:id="253"/>
      <w:bookmarkStart w:id="254" w:name="_Toc184308041"/>
      <w:bookmarkEnd w:id="254"/>
      <w:bookmarkStart w:id="255" w:name="_Toc184308075"/>
      <w:bookmarkEnd w:id="255"/>
      <w:bookmarkStart w:id="256" w:name="_Toc184313250"/>
      <w:bookmarkEnd w:id="256"/>
      <w:bookmarkStart w:id="257" w:name="_Toc184314451"/>
      <w:bookmarkEnd w:id="257"/>
      <w:bookmarkStart w:id="258" w:name="_Toc184308050"/>
      <w:bookmarkEnd w:id="258"/>
      <w:bookmarkStart w:id="259" w:name="_Toc184310291"/>
      <w:bookmarkEnd w:id="259"/>
      <w:bookmarkStart w:id="260" w:name="_Toc184314437"/>
      <w:bookmarkEnd w:id="260"/>
      <w:bookmarkStart w:id="261" w:name="_Toc184312070"/>
      <w:bookmarkEnd w:id="261"/>
      <w:bookmarkStart w:id="262" w:name="_Toc184312130"/>
      <w:bookmarkEnd w:id="262"/>
      <w:bookmarkStart w:id="263" w:name="_Toc184310286"/>
      <w:bookmarkEnd w:id="263"/>
      <w:bookmarkStart w:id="264" w:name="_Toc184313242"/>
      <w:bookmarkEnd w:id="264"/>
      <w:bookmarkStart w:id="265" w:name="_Toc184314441"/>
      <w:bookmarkEnd w:id="265"/>
      <w:bookmarkStart w:id="266" w:name="_Toc184313248"/>
      <w:bookmarkEnd w:id="266"/>
      <w:bookmarkStart w:id="267" w:name="_Toc184314434"/>
      <w:bookmarkEnd w:id="267"/>
      <w:bookmarkStart w:id="268" w:name="_Toc184312102"/>
      <w:bookmarkEnd w:id="268"/>
      <w:bookmarkStart w:id="269" w:name="_Toc184312117"/>
      <w:bookmarkEnd w:id="269"/>
      <w:bookmarkStart w:id="270" w:name="_Toc184308093"/>
      <w:bookmarkEnd w:id="270"/>
      <w:bookmarkStart w:id="271" w:name="_Toc184308090"/>
      <w:bookmarkEnd w:id="271"/>
      <w:bookmarkStart w:id="272" w:name="_Toc184313239"/>
      <w:bookmarkEnd w:id="272"/>
      <w:bookmarkStart w:id="273" w:name="_Toc184314477"/>
      <w:bookmarkEnd w:id="273"/>
      <w:bookmarkStart w:id="274" w:name="_Toc184314418"/>
      <w:bookmarkEnd w:id="274"/>
      <w:bookmarkStart w:id="275" w:name="_Toc184314482"/>
      <w:bookmarkEnd w:id="275"/>
      <w:bookmarkStart w:id="276" w:name="_Toc184310308"/>
      <w:bookmarkEnd w:id="276"/>
      <w:bookmarkStart w:id="277" w:name="_Toc184314476"/>
      <w:bookmarkEnd w:id="277"/>
      <w:bookmarkStart w:id="278" w:name="_Toc184313254"/>
      <w:bookmarkEnd w:id="278"/>
      <w:bookmarkStart w:id="279" w:name="_Toc184308061"/>
      <w:bookmarkEnd w:id="279"/>
      <w:bookmarkStart w:id="280" w:name="_Toc184314464"/>
      <w:bookmarkEnd w:id="280"/>
      <w:bookmarkStart w:id="281" w:name="_Toc184308102"/>
      <w:bookmarkEnd w:id="281"/>
      <w:bookmarkStart w:id="282" w:name="_Toc184314454"/>
      <w:bookmarkEnd w:id="282"/>
      <w:bookmarkStart w:id="283" w:name="_Toc184314428"/>
      <w:bookmarkEnd w:id="283"/>
      <w:bookmarkStart w:id="284" w:name="_Toc184310312"/>
      <w:bookmarkEnd w:id="284"/>
      <w:bookmarkStart w:id="285" w:name="_Toc184312115"/>
      <w:bookmarkEnd w:id="285"/>
      <w:bookmarkStart w:id="286" w:name="_Toc184308081"/>
      <w:bookmarkEnd w:id="286"/>
      <w:bookmarkStart w:id="287" w:name="_Toc184310309"/>
      <w:bookmarkEnd w:id="287"/>
      <w:bookmarkStart w:id="288" w:name="_Toc184312107"/>
      <w:bookmarkEnd w:id="288"/>
      <w:bookmarkStart w:id="289" w:name="_Toc184310297"/>
      <w:bookmarkEnd w:id="289"/>
      <w:bookmarkStart w:id="290" w:name="_Toc184312114"/>
      <w:bookmarkEnd w:id="290"/>
      <w:bookmarkStart w:id="291" w:name="_Toc184313302"/>
      <w:bookmarkEnd w:id="291"/>
      <w:bookmarkStart w:id="292" w:name="_Toc184313290"/>
      <w:bookmarkEnd w:id="292"/>
      <w:bookmarkStart w:id="293" w:name="_Toc184312091"/>
      <w:bookmarkEnd w:id="293"/>
      <w:bookmarkStart w:id="294" w:name="_Toc184310292"/>
      <w:bookmarkEnd w:id="294"/>
      <w:bookmarkStart w:id="295" w:name="_Toc184308052"/>
      <w:bookmarkEnd w:id="295"/>
      <w:bookmarkStart w:id="296" w:name="_Toc184312094"/>
      <w:bookmarkEnd w:id="296"/>
      <w:bookmarkStart w:id="297" w:name="_Toc184314447"/>
      <w:bookmarkEnd w:id="297"/>
      <w:bookmarkStart w:id="298" w:name="_Toc184310298"/>
      <w:bookmarkEnd w:id="298"/>
      <w:bookmarkStart w:id="299" w:name="_Toc184313240"/>
      <w:bookmarkEnd w:id="299"/>
      <w:bookmarkStart w:id="300" w:name="_Toc184312076"/>
      <w:bookmarkEnd w:id="300"/>
      <w:bookmarkStart w:id="301" w:name="_Toc184313295"/>
      <w:bookmarkEnd w:id="301"/>
      <w:bookmarkStart w:id="302" w:name="_Toc184308042"/>
      <w:bookmarkEnd w:id="302"/>
      <w:bookmarkStart w:id="303" w:name="_Toc184308071"/>
      <w:bookmarkEnd w:id="303"/>
      <w:bookmarkStart w:id="304" w:name="_Toc184308107"/>
      <w:bookmarkEnd w:id="304"/>
      <w:bookmarkStart w:id="305" w:name="_Toc184312138"/>
      <w:bookmarkEnd w:id="305"/>
      <w:bookmarkStart w:id="306" w:name="_Toc184314466"/>
      <w:bookmarkEnd w:id="306"/>
      <w:bookmarkStart w:id="307" w:name="_Toc184313292"/>
      <w:bookmarkEnd w:id="307"/>
      <w:bookmarkStart w:id="308" w:name="_Toc184310307"/>
      <w:bookmarkEnd w:id="308"/>
      <w:bookmarkStart w:id="309" w:name="_Toc184312080"/>
      <w:bookmarkEnd w:id="309"/>
      <w:bookmarkStart w:id="310" w:name="_Toc184310313"/>
      <w:bookmarkEnd w:id="310"/>
      <w:bookmarkStart w:id="311" w:name="_Toc184308085"/>
      <w:bookmarkEnd w:id="311"/>
      <w:bookmarkStart w:id="312" w:name="_Toc184313245"/>
      <w:bookmarkEnd w:id="312"/>
      <w:bookmarkStart w:id="313" w:name="_Toc184313296"/>
      <w:bookmarkEnd w:id="313"/>
      <w:bookmarkStart w:id="314" w:name="_Toc184312136"/>
      <w:bookmarkEnd w:id="314"/>
      <w:bookmarkStart w:id="315" w:name="_Toc184313265"/>
      <w:bookmarkEnd w:id="315"/>
      <w:bookmarkStart w:id="316" w:name="_Toc184308053"/>
      <w:bookmarkEnd w:id="316"/>
      <w:bookmarkStart w:id="317" w:name="_Toc184313262"/>
      <w:bookmarkEnd w:id="317"/>
      <w:bookmarkStart w:id="318" w:name="_Toc184314417"/>
      <w:bookmarkEnd w:id="318"/>
      <w:bookmarkStart w:id="319" w:name="_Toc184308059"/>
      <w:bookmarkEnd w:id="319"/>
      <w:bookmarkStart w:id="320" w:name="_Toc184310311"/>
      <w:bookmarkEnd w:id="320"/>
      <w:bookmarkStart w:id="321" w:name="_Toc184310329"/>
      <w:bookmarkEnd w:id="321"/>
      <w:bookmarkStart w:id="322" w:name="_Toc184310316"/>
      <w:bookmarkEnd w:id="322"/>
      <w:bookmarkStart w:id="323" w:name="_Toc184313261"/>
      <w:bookmarkEnd w:id="323"/>
      <w:bookmarkStart w:id="324" w:name="_Toc184313300"/>
      <w:bookmarkEnd w:id="324"/>
      <w:bookmarkStart w:id="325" w:name="_Toc184314420"/>
      <w:bookmarkEnd w:id="325"/>
      <w:bookmarkStart w:id="326" w:name="_Toc184312099"/>
      <w:bookmarkEnd w:id="326"/>
      <w:bookmarkStart w:id="327" w:name="_Toc184314416"/>
      <w:bookmarkEnd w:id="327"/>
      <w:bookmarkStart w:id="328" w:name="_Toc184313255"/>
      <w:bookmarkEnd w:id="328"/>
      <w:bookmarkStart w:id="329" w:name="_Toc184310274"/>
      <w:bookmarkEnd w:id="329"/>
      <w:bookmarkStart w:id="330" w:name="_Toc184308074"/>
      <w:bookmarkEnd w:id="330"/>
      <w:bookmarkStart w:id="331" w:name="_Toc184313275"/>
      <w:bookmarkEnd w:id="331"/>
      <w:bookmarkStart w:id="332" w:name="_Toc184308064"/>
      <w:bookmarkEnd w:id="332"/>
      <w:bookmarkStart w:id="333" w:name="_Toc184310332"/>
      <w:bookmarkEnd w:id="333"/>
      <w:bookmarkStart w:id="334" w:name="_Toc184312089"/>
      <w:bookmarkEnd w:id="334"/>
      <w:bookmarkStart w:id="335" w:name="_Toc184308095"/>
      <w:bookmarkEnd w:id="335"/>
      <w:bookmarkStart w:id="336" w:name="_Toc184314473"/>
      <w:bookmarkEnd w:id="336"/>
      <w:bookmarkStart w:id="337" w:name="_Toc184308045"/>
      <w:bookmarkEnd w:id="337"/>
      <w:bookmarkStart w:id="338" w:name="_Toc184314467"/>
      <w:bookmarkEnd w:id="338"/>
      <w:bookmarkStart w:id="339" w:name="_Toc184313276"/>
      <w:bookmarkEnd w:id="339"/>
      <w:bookmarkStart w:id="340" w:name="_Toc184308086"/>
      <w:bookmarkEnd w:id="340"/>
      <w:bookmarkStart w:id="341" w:name="_Toc184313268"/>
      <w:bookmarkEnd w:id="341"/>
      <w:bookmarkStart w:id="342" w:name="_Toc184314432"/>
      <w:bookmarkEnd w:id="342"/>
      <w:bookmarkStart w:id="343" w:name="_Toc184308104"/>
      <w:bookmarkEnd w:id="343"/>
      <w:bookmarkStart w:id="344" w:name="_Toc184313253"/>
      <w:bookmarkEnd w:id="344"/>
      <w:bookmarkStart w:id="345" w:name="_Toc184310335"/>
      <w:bookmarkEnd w:id="345"/>
      <w:bookmarkStart w:id="346" w:name="_Toc184313264"/>
      <w:bookmarkEnd w:id="346"/>
      <w:bookmarkStart w:id="347" w:name="_Toc184308084"/>
      <w:bookmarkEnd w:id="347"/>
      <w:bookmarkStart w:id="348" w:name="_Toc184312093"/>
      <w:bookmarkEnd w:id="348"/>
      <w:bookmarkStart w:id="349" w:name="_Toc184312109"/>
      <w:bookmarkEnd w:id="349"/>
      <w:bookmarkStart w:id="350" w:name="_Toc184313247"/>
      <w:bookmarkEnd w:id="350"/>
      <w:bookmarkStart w:id="351" w:name="_Toc184312068"/>
      <w:bookmarkEnd w:id="351"/>
      <w:bookmarkStart w:id="352" w:name="_Toc184308078"/>
      <w:bookmarkEnd w:id="352"/>
      <w:bookmarkStart w:id="353" w:name="_Toc184310339"/>
      <w:bookmarkEnd w:id="353"/>
      <w:bookmarkStart w:id="354" w:name="_Toc184312096"/>
      <w:bookmarkEnd w:id="354"/>
      <w:bookmarkStart w:id="355" w:name="_Toc184314444"/>
      <w:bookmarkEnd w:id="355"/>
      <w:bookmarkStart w:id="356" w:name="_Toc184312081"/>
      <w:bookmarkEnd w:id="356"/>
      <w:bookmarkStart w:id="357" w:name="_Toc184312097"/>
      <w:bookmarkEnd w:id="357"/>
      <w:bookmarkStart w:id="358" w:name="_Toc184313305"/>
      <w:bookmarkEnd w:id="358"/>
      <w:bookmarkStart w:id="359" w:name="_Toc184308057"/>
      <w:bookmarkEnd w:id="359"/>
      <w:bookmarkStart w:id="360" w:name="_Toc184314442"/>
      <w:bookmarkEnd w:id="360"/>
      <w:bookmarkStart w:id="361" w:name="_Toc184313286"/>
      <w:bookmarkEnd w:id="361"/>
      <w:bookmarkStart w:id="362" w:name="_Toc184310322"/>
      <w:bookmarkEnd w:id="362"/>
      <w:bookmarkStart w:id="363" w:name="_Toc184314429"/>
      <w:bookmarkEnd w:id="363"/>
      <w:bookmarkStart w:id="364" w:name="_Toc184314465"/>
      <w:bookmarkEnd w:id="364"/>
      <w:bookmarkStart w:id="365" w:name="_Toc184312122"/>
      <w:bookmarkEnd w:id="365"/>
      <w:bookmarkStart w:id="366" w:name="_Toc184313303"/>
      <w:bookmarkEnd w:id="366"/>
      <w:bookmarkStart w:id="367" w:name="_Toc184312133"/>
      <w:bookmarkEnd w:id="367"/>
      <w:bookmarkStart w:id="368" w:name="_Toc184313291"/>
      <w:bookmarkEnd w:id="368"/>
      <w:bookmarkStart w:id="369" w:name="_Toc184313293"/>
      <w:bookmarkEnd w:id="369"/>
      <w:bookmarkStart w:id="370" w:name="_Toc184312095"/>
      <w:bookmarkEnd w:id="370"/>
      <w:bookmarkStart w:id="371" w:name="_Toc184314431"/>
      <w:bookmarkEnd w:id="371"/>
      <w:bookmarkStart w:id="372" w:name="_Toc184310282"/>
      <w:bookmarkEnd w:id="372"/>
      <w:bookmarkStart w:id="373" w:name="_Toc184310319"/>
      <w:bookmarkEnd w:id="373"/>
      <w:bookmarkStart w:id="374" w:name="_Toc184313310"/>
      <w:bookmarkEnd w:id="374"/>
      <w:bookmarkStart w:id="375" w:name="_Toc184313287"/>
      <w:bookmarkEnd w:id="375"/>
      <w:bookmarkStart w:id="376" w:name="_Toc184314435"/>
      <w:bookmarkEnd w:id="376"/>
      <w:bookmarkStart w:id="377" w:name="_Toc184313298"/>
      <w:bookmarkEnd w:id="377"/>
      <w:bookmarkStart w:id="378" w:name="_Toc184313308"/>
      <w:bookmarkEnd w:id="378"/>
      <w:bookmarkStart w:id="379" w:name="_Toc184314452"/>
      <w:bookmarkEnd w:id="379"/>
      <w:bookmarkStart w:id="380" w:name="_Toc184310341"/>
      <w:bookmarkEnd w:id="380"/>
      <w:bookmarkStart w:id="381" w:name="_Toc184310331"/>
      <w:bookmarkEnd w:id="381"/>
      <w:bookmarkStart w:id="382" w:name="_Toc184313263"/>
      <w:bookmarkEnd w:id="382"/>
      <w:bookmarkStart w:id="383" w:name="_Toc184308101"/>
      <w:bookmarkEnd w:id="383"/>
      <w:bookmarkStart w:id="384" w:name="_Toc184314457"/>
      <w:bookmarkEnd w:id="384"/>
      <w:bookmarkStart w:id="385" w:name="_Toc184314479"/>
      <w:bookmarkEnd w:id="385"/>
      <w:bookmarkStart w:id="386" w:name="_Toc184312090"/>
      <w:bookmarkEnd w:id="386"/>
      <w:bookmarkStart w:id="387" w:name="_Toc184308072"/>
      <w:bookmarkEnd w:id="387"/>
      <w:bookmarkStart w:id="388" w:name="_Toc184312101"/>
      <w:bookmarkEnd w:id="388"/>
      <w:bookmarkStart w:id="389" w:name="_Toc184314478"/>
      <w:bookmarkEnd w:id="389"/>
      <w:bookmarkStart w:id="390" w:name="_Toc184310340"/>
      <w:bookmarkEnd w:id="390"/>
      <w:bookmarkStart w:id="391" w:name="_Toc184310290"/>
      <w:bookmarkEnd w:id="391"/>
      <w:bookmarkStart w:id="392" w:name="_Toc184313257"/>
      <w:bookmarkEnd w:id="392"/>
      <w:bookmarkStart w:id="393" w:name="_Toc184312082"/>
      <w:bookmarkEnd w:id="393"/>
      <w:bookmarkStart w:id="394" w:name="_Toc184312124"/>
      <w:bookmarkEnd w:id="394"/>
      <w:bookmarkStart w:id="395" w:name="_Toc184312116"/>
      <w:bookmarkEnd w:id="395"/>
      <w:bookmarkStart w:id="396" w:name="_Toc184308089"/>
      <w:bookmarkEnd w:id="396"/>
      <w:bookmarkStart w:id="397" w:name="_Toc184310310"/>
      <w:bookmarkEnd w:id="397"/>
      <w:bookmarkStart w:id="398" w:name="_Toc184313249"/>
      <w:bookmarkEnd w:id="398"/>
      <w:bookmarkStart w:id="399" w:name="_Toc184308054"/>
      <w:bookmarkEnd w:id="399"/>
      <w:bookmarkStart w:id="400" w:name="_Toc184314450"/>
      <w:bookmarkEnd w:id="400"/>
      <w:bookmarkStart w:id="401" w:name="_Toc184310326"/>
      <w:bookmarkEnd w:id="401"/>
      <w:bookmarkStart w:id="402" w:name="_Toc184310273"/>
      <w:bookmarkEnd w:id="402"/>
      <w:bookmarkStart w:id="403" w:name="_Toc184310283"/>
      <w:bookmarkEnd w:id="403"/>
      <w:bookmarkStart w:id="404" w:name="_Toc184314433"/>
      <w:bookmarkEnd w:id="404"/>
      <w:bookmarkStart w:id="405" w:name="_Toc184310318"/>
      <w:bookmarkEnd w:id="405"/>
      <w:bookmarkStart w:id="406" w:name="_Toc184314443"/>
      <w:bookmarkEnd w:id="406"/>
      <w:bookmarkStart w:id="407" w:name="_Toc184308056"/>
      <w:bookmarkEnd w:id="407"/>
      <w:bookmarkStart w:id="408" w:name="_Toc184313270"/>
      <w:bookmarkEnd w:id="408"/>
      <w:bookmarkStart w:id="409" w:name="_Toc184312072"/>
      <w:bookmarkEnd w:id="409"/>
      <w:bookmarkStart w:id="410" w:name="_Toc184313285"/>
      <w:bookmarkEnd w:id="410"/>
      <w:bookmarkStart w:id="411" w:name="_Toc184312103"/>
      <w:bookmarkEnd w:id="411"/>
      <w:bookmarkStart w:id="412" w:name="_Toc184308108"/>
      <w:bookmarkEnd w:id="412"/>
      <w:bookmarkStart w:id="413" w:name="_Toc184312139"/>
      <w:bookmarkEnd w:id="413"/>
      <w:bookmarkStart w:id="414" w:name="_Toc184308046"/>
      <w:bookmarkEnd w:id="414"/>
      <w:bookmarkStart w:id="415" w:name="_Toc184310321"/>
      <w:bookmarkEnd w:id="415"/>
      <w:bookmarkStart w:id="416" w:name="_Toc184310336"/>
      <w:bookmarkEnd w:id="416"/>
      <w:bookmarkStart w:id="417" w:name="_Toc184313244"/>
      <w:bookmarkEnd w:id="417"/>
      <w:bookmarkStart w:id="418" w:name="_Toc184308051"/>
      <w:bookmarkEnd w:id="418"/>
      <w:bookmarkStart w:id="419" w:name="_Toc184314424"/>
      <w:bookmarkEnd w:id="419"/>
      <w:bookmarkStart w:id="420" w:name="_Toc184308065"/>
      <w:bookmarkEnd w:id="420"/>
      <w:bookmarkStart w:id="421" w:name="_Toc184313306"/>
      <w:bookmarkEnd w:id="421"/>
      <w:bookmarkStart w:id="422" w:name="_Toc184308076"/>
      <w:bookmarkEnd w:id="422"/>
      <w:bookmarkStart w:id="423" w:name="_Toc184313266"/>
      <w:bookmarkEnd w:id="423"/>
      <w:bookmarkStart w:id="424" w:name="_Toc184313307"/>
      <w:bookmarkEnd w:id="424"/>
      <w:bookmarkStart w:id="425" w:name="_Toc184314456"/>
      <w:bookmarkEnd w:id="425"/>
      <w:bookmarkStart w:id="426" w:name="_Toc184312132"/>
      <w:bookmarkEnd w:id="426"/>
      <w:bookmarkStart w:id="427" w:name="_Toc184312112"/>
      <w:bookmarkEnd w:id="427"/>
      <w:bookmarkStart w:id="428" w:name="_Toc184308073"/>
      <w:bookmarkEnd w:id="428"/>
      <w:bookmarkStart w:id="429" w:name="_Toc184310288"/>
      <w:bookmarkEnd w:id="429"/>
      <w:r>
        <w:rPr>
          <w:rFonts w:hint="eastAsia" w:ascii="宋体" w:hAnsi="宋体" w:cs="宋体"/>
          <w:b/>
          <w:color w:val="000000" w:themeColor="text1"/>
          <w:sz w:val="36"/>
          <w:szCs w:val="36"/>
          <w:highlight w:val="none"/>
          <w14:textFill>
            <w14:solidFill>
              <w14:schemeClr w14:val="tx1"/>
            </w14:solidFill>
          </w14:textFill>
        </w:rPr>
        <w:t>评标办法</w:t>
      </w:r>
      <w:bookmarkEnd w:id="63"/>
      <w:bookmarkEnd w:id="64"/>
    </w:p>
    <w:p w14:paraId="48D0EC79">
      <w:pPr>
        <w:snapToGrid w:val="0"/>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评标办法前附表</w:t>
      </w:r>
    </w:p>
    <w:tbl>
      <w:tblPr>
        <w:tblStyle w:val="64"/>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49"/>
        <w:gridCol w:w="5925"/>
        <w:gridCol w:w="1066"/>
      </w:tblGrid>
      <w:tr w14:paraId="4DF1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657" w:type="dxa"/>
            <w:gridSpan w:val="2"/>
            <w:vAlign w:val="center"/>
          </w:tcPr>
          <w:p w14:paraId="68450C8E">
            <w:pPr>
              <w:keepNext w:val="0"/>
              <w:keepLines w:val="0"/>
              <w:pageBreakBefore w:val="0"/>
              <w:kinsoku/>
              <w:wordWrap/>
              <w:overflowPunct/>
              <w:topLinePunct w:val="0"/>
              <w:bidi w:val="0"/>
              <w:spacing w:line="24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bookmarkStart w:id="430" w:name="OLE_LINK20"/>
            <w:r>
              <w:rPr>
                <w:rFonts w:hint="eastAsia" w:ascii="宋体" w:hAnsi="宋体" w:eastAsia="宋体" w:cs="宋体"/>
                <w:b/>
                <w:bCs/>
                <w:color w:val="000000" w:themeColor="text1"/>
                <w:kern w:val="0"/>
                <w:szCs w:val="21"/>
                <w:highlight w:val="none"/>
                <w14:textFill>
                  <w14:solidFill>
                    <w14:schemeClr w14:val="tx1"/>
                  </w14:solidFill>
                </w14:textFill>
              </w:rPr>
              <w:t>评分项目</w:t>
            </w:r>
          </w:p>
        </w:tc>
        <w:tc>
          <w:tcPr>
            <w:tcW w:w="5925" w:type="dxa"/>
            <w:vAlign w:val="center"/>
          </w:tcPr>
          <w:p w14:paraId="3CA3902E">
            <w:pPr>
              <w:keepNext w:val="0"/>
              <w:keepLines w:val="0"/>
              <w:pageBreakBefore w:val="0"/>
              <w:kinsoku/>
              <w:wordWrap/>
              <w:overflowPunct/>
              <w:topLinePunct w:val="0"/>
              <w:bidi w:val="0"/>
              <w:spacing w:line="24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评分标准</w:t>
            </w:r>
          </w:p>
        </w:tc>
        <w:tc>
          <w:tcPr>
            <w:tcW w:w="1066" w:type="dxa"/>
            <w:vAlign w:val="center"/>
          </w:tcPr>
          <w:p w14:paraId="4886D1CA">
            <w:pPr>
              <w:keepNext w:val="0"/>
              <w:keepLines w:val="0"/>
              <w:pageBreakBefore w:val="0"/>
              <w:kinsoku/>
              <w:wordWrap/>
              <w:overflowPunct/>
              <w:topLinePunct w:val="0"/>
              <w:bidi w:val="0"/>
              <w:spacing w:line="24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评审类型</w:t>
            </w:r>
          </w:p>
        </w:tc>
      </w:tr>
      <w:tr w14:paraId="1FCE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7" w:type="dxa"/>
            <w:gridSpan w:val="2"/>
            <w:vAlign w:val="center"/>
          </w:tcPr>
          <w:p w14:paraId="28D49B3F">
            <w:pPr>
              <w:keepNext w:val="0"/>
              <w:keepLines w:val="0"/>
              <w:pageBreakBefore w:val="0"/>
              <w:widowControl/>
              <w:kinsoku/>
              <w:wordWrap/>
              <w:overflowPunct/>
              <w:topLinePunct w:val="0"/>
              <w:autoSpaceDE w:val="0"/>
              <w:autoSpaceDN w:val="0"/>
              <w:bidi w:val="0"/>
              <w:adjustRightInd w:val="0"/>
              <w:spacing w:beforeAutospacing="0" w:afterAutospacing="0" w:line="240" w:lineRule="auto"/>
              <w:ind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价格分</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w:t>
            </w:r>
          </w:p>
        </w:tc>
        <w:tc>
          <w:tcPr>
            <w:tcW w:w="5925" w:type="dxa"/>
            <w:vAlign w:val="center"/>
          </w:tcPr>
          <w:p w14:paraId="22F4448A">
            <w:pPr>
              <w:keepNext w:val="0"/>
              <w:keepLines w:val="0"/>
              <w:pageBreakBefore w:val="0"/>
              <w:widowControl/>
              <w:tabs>
                <w:tab w:val="left" w:pos="0"/>
              </w:tabs>
              <w:kinsoku/>
              <w:wordWrap/>
              <w:overflowPunct/>
              <w:topLinePunct w:val="0"/>
              <w:bidi w:val="0"/>
              <w:adjustRightInd w:val="0"/>
              <w:spacing w:beforeAutospacing="0" w:afterAutospacing="0" w:line="240" w:lineRule="auto"/>
              <w:ind w:right="0" w:rightChars="0"/>
              <w:jc w:val="left"/>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参与评审的价格=投标报价</w:t>
            </w:r>
            <w:r>
              <w:rPr>
                <w:rFonts w:hint="eastAsia" w:ascii="宋体" w:hAnsi="宋体" w:cs="宋体"/>
                <w:bCs/>
                <w:color w:val="000000" w:themeColor="text1"/>
                <w:kern w:val="0"/>
                <w:sz w:val="21"/>
                <w:szCs w:val="21"/>
                <w:highlight w:val="none"/>
                <w:lang w:val="en-US" w:eastAsia="zh-CN"/>
                <w14:textFill>
                  <w14:solidFill>
                    <w14:schemeClr w14:val="tx1"/>
                  </w14:solidFill>
                </w14:textFill>
              </w:rPr>
              <w:t>-小微企业价格扣除优惠值（如有）</w:t>
            </w:r>
          </w:p>
          <w:p w14:paraId="094F5D95">
            <w:pPr>
              <w:keepNext w:val="0"/>
              <w:keepLines w:val="0"/>
              <w:pageBreakBefore w:val="0"/>
              <w:widowControl/>
              <w:kinsoku/>
              <w:wordWrap/>
              <w:overflowPunct/>
              <w:topLinePunct w:val="0"/>
              <w:bidi w:val="0"/>
              <w:adjustRightInd/>
              <w:spacing w:beforeAutospacing="0" w:afterAutospacing="0" w:line="240" w:lineRule="auto"/>
              <w:ind w:right="0" w:rightChars="0"/>
              <w:jc w:val="left"/>
              <w:textAlignment w:val="auto"/>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基准价=满足招标文件要求且最低的参与评审的价格</w:t>
            </w:r>
          </w:p>
          <w:p w14:paraId="00183E4F">
            <w:pPr>
              <w:keepNext w:val="0"/>
              <w:keepLines w:val="0"/>
              <w:pageBreakBefore w:val="0"/>
              <w:widowControl/>
              <w:kinsoku/>
              <w:wordWrap/>
              <w:overflowPunct/>
              <w:topLinePunct w:val="0"/>
              <w:bidi w:val="0"/>
              <w:adjustRightInd/>
              <w:spacing w:beforeAutospacing="0" w:afterAutospacing="0" w:line="240" w:lineRule="auto"/>
              <w:ind w:right="0" w:rightChars="0"/>
              <w:jc w:val="left"/>
              <w:textAlignment w:val="auto"/>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基准价得分为满分</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分。</w:t>
            </w:r>
          </w:p>
          <w:p w14:paraId="612F6DDB">
            <w:pPr>
              <w:keepNext w:val="0"/>
              <w:keepLines w:val="0"/>
              <w:pageBreakBefore w:val="0"/>
              <w:widowControl/>
              <w:kinsoku/>
              <w:wordWrap/>
              <w:overflowPunct/>
              <w:topLinePunct w:val="0"/>
              <w:bidi w:val="0"/>
              <w:adjustRightInd/>
              <w:spacing w:beforeAutospacing="0" w:afterAutospacing="0" w:line="240" w:lineRule="auto"/>
              <w:ind w:right="0" w:rightChars="0"/>
              <w:jc w:val="left"/>
              <w:textAlignment w:val="auto"/>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投标报价得分=(评标基准价/参与评审的价格)×</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kern w:val="0"/>
                <w:sz w:val="21"/>
                <w:szCs w:val="21"/>
                <w:highlight w:val="none"/>
                <w14:textFill>
                  <w14:solidFill>
                    <w14:schemeClr w14:val="tx1"/>
                  </w14:solidFill>
                </w14:textFill>
              </w:rPr>
              <w:t>×100%</w:t>
            </w:r>
          </w:p>
          <w:p w14:paraId="60C3BD3C">
            <w:pPr>
              <w:keepNext w:val="0"/>
              <w:keepLines w:val="0"/>
              <w:pageBreakBefore w:val="0"/>
              <w:widowControl/>
              <w:kinsoku/>
              <w:wordWrap/>
              <w:overflowPunct/>
              <w:topLinePunct w:val="0"/>
              <w:bidi w:val="0"/>
              <w:adjustRightInd/>
              <w:spacing w:beforeAutospacing="0" w:afterAutospacing="0" w:line="240" w:lineRule="auto"/>
              <w:ind w:right="0" w:righ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注：价格得分小数点后保留2位小数，第3位小数四舍五入。</w:t>
            </w:r>
          </w:p>
        </w:tc>
        <w:tc>
          <w:tcPr>
            <w:tcW w:w="1066" w:type="dxa"/>
            <w:vAlign w:val="center"/>
          </w:tcPr>
          <w:p w14:paraId="1939394B">
            <w:pPr>
              <w:keepNext w:val="0"/>
              <w:keepLines w:val="0"/>
              <w:pageBreakBefore w:val="0"/>
              <w:widowControl/>
              <w:kinsoku/>
              <w:wordWrap/>
              <w:overflowPunct/>
              <w:topLinePunct w:val="0"/>
              <w:autoSpaceDE w:val="0"/>
              <w:autoSpaceDN w:val="0"/>
              <w:bidi w:val="0"/>
              <w:adjustRightInd w:val="0"/>
              <w:spacing w:beforeAutospacing="0" w:afterAutospacing="0" w:line="240" w:lineRule="auto"/>
              <w:ind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客观分</w:t>
            </w:r>
          </w:p>
        </w:tc>
      </w:tr>
      <w:tr w14:paraId="3D2F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008" w:type="dxa"/>
            <w:vMerge w:val="restart"/>
            <w:vAlign w:val="center"/>
          </w:tcPr>
          <w:p w14:paraId="757AAFE7">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商务分</w:t>
            </w:r>
          </w:p>
          <w:p w14:paraId="755DC917">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技术分</w:t>
            </w:r>
          </w:p>
          <w:p w14:paraId="065E1935">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90</w:t>
            </w:r>
            <w:r>
              <w:rPr>
                <w:rFonts w:hint="eastAsia" w:ascii="宋体" w:hAnsi="宋体" w:eastAsia="宋体" w:cs="宋体"/>
                <w:color w:val="000000" w:themeColor="text1"/>
                <w:kern w:val="0"/>
                <w:szCs w:val="21"/>
                <w:highlight w:val="none"/>
                <w14:textFill>
                  <w14:solidFill>
                    <w14:schemeClr w14:val="tx1"/>
                  </w14:solidFill>
                </w14:textFill>
              </w:rPr>
              <w:t>分）</w:t>
            </w:r>
          </w:p>
        </w:tc>
        <w:tc>
          <w:tcPr>
            <w:tcW w:w="1649" w:type="dxa"/>
            <w:vAlign w:val="center"/>
          </w:tcPr>
          <w:p w14:paraId="05C63E66">
            <w:pPr>
              <w:keepNext w:val="0"/>
              <w:keepLines w:val="0"/>
              <w:pageBreakBefore w:val="0"/>
              <w:kinsoku/>
              <w:wordWrap/>
              <w:overflowPunct/>
              <w:topLinePunct w:val="0"/>
              <w:bidi w:val="0"/>
              <w:spacing w:line="24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服务范围响应（35分）</w:t>
            </w:r>
          </w:p>
        </w:tc>
        <w:tc>
          <w:tcPr>
            <w:tcW w:w="5925" w:type="dxa"/>
            <w:vAlign w:val="center"/>
          </w:tcPr>
          <w:p w14:paraId="48BDABEF">
            <w:pPr>
              <w:keepNext w:val="0"/>
              <w:keepLines w:val="0"/>
              <w:pageBreakBefore w:val="0"/>
              <w:widowControl/>
              <w:kinsoku/>
              <w:wordWrap/>
              <w:overflowPunct/>
              <w:topLinePunct w:val="0"/>
              <w:bidi w:val="0"/>
              <w:spacing w:line="240" w:lineRule="auto"/>
              <w:jc w:val="left"/>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投标人完全响应招标文件《第三部分 采购需求》一、服务需求“</w:t>
            </w:r>
            <w:r>
              <w:rPr>
                <w:rFonts w:hint="eastAsia" w:ascii="宋体" w:hAnsi="宋体" w:cs="宋体"/>
                <w:b/>
                <w:bCs/>
                <w:color w:val="000000" w:themeColor="text1"/>
                <w:highlight w:val="none"/>
                <w:lang w:val="en-US" w:eastAsia="zh-CN"/>
                <w14:textFill>
                  <w14:solidFill>
                    <w14:schemeClr w14:val="tx1"/>
                  </w14:solidFill>
                </w14:textFill>
              </w:rPr>
              <w:t>（五）</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具体需求</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及</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功能</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要求</w:t>
            </w:r>
            <w:r>
              <w:rPr>
                <w:rFonts w:hint="eastAsia" w:ascii="宋体" w:hAnsi="宋体" w:cs="宋体"/>
                <w:color w:val="000000" w:themeColor="text1"/>
                <w:highlight w:val="none"/>
                <w:lang w:val="en-US" w:eastAsia="zh-CN"/>
                <w14:textFill>
                  <w14:solidFill>
                    <w14:schemeClr w14:val="tx1"/>
                  </w14:solidFill>
                </w14:textFill>
              </w:rPr>
              <w:t>”中所有要求的得35分，每负偏离1项未标“</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”的扣1分，每负偏离1项标“</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”的扣3分；当扣减至0分（或以下）时，作无效标处理。</w:t>
            </w:r>
          </w:p>
        </w:tc>
        <w:tc>
          <w:tcPr>
            <w:tcW w:w="1066" w:type="dxa"/>
            <w:vAlign w:val="center"/>
          </w:tcPr>
          <w:p w14:paraId="235F5B8D">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客观分</w:t>
            </w:r>
          </w:p>
        </w:tc>
      </w:tr>
      <w:tr w14:paraId="533D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1008" w:type="dxa"/>
            <w:vMerge w:val="continue"/>
            <w:vAlign w:val="center"/>
          </w:tcPr>
          <w:p w14:paraId="549393FD">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vAlign w:val="center"/>
          </w:tcPr>
          <w:p w14:paraId="2CFB4ABC">
            <w:pPr>
              <w:keepNext w:val="0"/>
              <w:keepLines w:val="0"/>
              <w:pageBreakBefore w:val="0"/>
              <w:kinsoku/>
              <w:wordWrap/>
              <w:overflowPunct/>
              <w:topLinePunct w:val="0"/>
              <w:bidi w:val="0"/>
              <w:spacing w:line="24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项目需求及现状分析（5分）</w:t>
            </w:r>
          </w:p>
        </w:tc>
        <w:tc>
          <w:tcPr>
            <w:tcW w:w="5925" w:type="dxa"/>
            <w:vAlign w:val="center"/>
          </w:tcPr>
          <w:p w14:paraId="26C7CCEB">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w:t>
            </w:r>
            <w:r>
              <w:rPr>
                <w:rFonts w:hint="eastAsia" w:ascii="宋体" w:hAnsi="宋体" w:eastAsia="宋体" w:cs="宋体"/>
                <w:color w:val="000000" w:themeColor="text1"/>
                <w:highlight w:val="none"/>
                <w:lang w:val="en-US" w:eastAsia="zh-CN"/>
                <w14:textFill>
                  <w14:solidFill>
                    <w14:schemeClr w14:val="tx1"/>
                  </w14:solidFill>
                </w14:textFill>
              </w:rPr>
              <w:t>提供的针对</w:t>
            </w:r>
            <w:r>
              <w:rPr>
                <w:rFonts w:hint="eastAsia" w:ascii="宋体" w:hAnsi="宋体" w:eastAsia="宋体" w:cs="宋体"/>
                <w:color w:val="000000" w:themeColor="text1"/>
                <w:highlight w:val="none"/>
                <w14:textFill>
                  <w14:solidFill>
                    <w14:schemeClr w14:val="tx1"/>
                  </w14:solidFill>
                </w14:textFill>
              </w:rPr>
              <w:t>本项目</w:t>
            </w:r>
            <w:r>
              <w:rPr>
                <w:rFonts w:hint="eastAsia" w:ascii="宋体" w:hAnsi="宋体" w:eastAsia="宋体" w:cs="宋体"/>
                <w:color w:val="000000" w:themeColor="text1"/>
                <w:highlight w:val="none"/>
                <w:lang w:val="en-US" w:eastAsia="zh-CN"/>
                <w14:textFill>
                  <w14:solidFill>
                    <w14:schemeClr w14:val="tx1"/>
                  </w14:solidFill>
                </w14:textFill>
              </w:rPr>
              <w:t>的建设目标、现状分析</w:t>
            </w:r>
            <w:r>
              <w:rPr>
                <w:rFonts w:hint="eastAsia" w:ascii="宋体" w:hAnsi="宋体" w:eastAsia="宋体" w:cs="宋体"/>
                <w:color w:val="000000" w:themeColor="text1"/>
                <w:highlight w:val="none"/>
                <w14:textFill>
                  <w14:solidFill>
                    <w14:schemeClr w14:val="tx1"/>
                  </w14:solidFill>
                </w14:textFill>
              </w:rPr>
              <w:t>进行评议。</w:t>
            </w:r>
          </w:p>
          <w:p w14:paraId="7B0EA1C1">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w:t>
            </w:r>
            <w:r>
              <w:rPr>
                <w:rFonts w:hint="eastAsia" w:ascii="宋体" w:hAnsi="宋体" w:eastAsia="宋体" w:cs="宋体"/>
                <w:color w:val="000000" w:themeColor="text1"/>
                <w:highlight w:val="none"/>
                <w:lang w:val="en-US" w:eastAsia="zh-CN"/>
                <w14:textFill>
                  <w14:solidFill>
                    <w14:schemeClr w14:val="tx1"/>
                  </w14:solidFill>
                </w14:textFill>
              </w:rPr>
              <w:t>建设目标符合采购需求，</w:t>
            </w:r>
            <w:r>
              <w:rPr>
                <w:rFonts w:hint="eastAsia" w:ascii="宋体" w:hAnsi="宋体" w:eastAsia="宋体" w:cs="宋体"/>
                <w:color w:val="000000" w:themeColor="text1"/>
                <w:highlight w:val="none"/>
                <w14:textFill>
                  <w14:solidFill>
                    <w14:schemeClr w14:val="tx1"/>
                  </w14:solidFill>
                </w14:textFill>
              </w:rPr>
              <w:t>分析</w:t>
            </w:r>
            <w:r>
              <w:rPr>
                <w:rFonts w:hint="eastAsia" w:ascii="宋体" w:hAnsi="宋体" w:eastAsia="宋体" w:cs="宋体"/>
                <w:color w:val="000000" w:themeColor="text1"/>
                <w:highlight w:val="none"/>
                <w:lang w:val="en-US" w:eastAsia="zh-CN"/>
                <w14:textFill>
                  <w14:solidFill>
                    <w14:schemeClr w14:val="tx1"/>
                  </w14:solidFill>
                </w14:textFill>
              </w:rPr>
              <w:t>内容</w:t>
            </w:r>
            <w:r>
              <w:rPr>
                <w:rFonts w:hint="eastAsia" w:ascii="宋体" w:hAnsi="宋体" w:eastAsia="宋体" w:cs="宋体"/>
                <w:color w:val="000000" w:themeColor="text1"/>
                <w:highlight w:val="none"/>
                <w14:textFill>
                  <w14:solidFill>
                    <w14:schemeClr w14:val="tx1"/>
                  </w14:solidFill>
                </w14:textFill>
              </w:rPr>
              <w:t xml:space="preserve">详细完善、充分理解现状的得5分；  </w:t>
            </w:r>
          </w:p>
          <w:p w14:paraId="1268E615">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w:t>
            </w:r>
            <w:r>
              <w:rPr>
                <w:rFonts w:hint="eastAsia" w:ascii="宋体" w:hAnsi="宋体" w:eastAsia="宋体" w:cs="宋体"/>
                <w:color w:val="000000" w:themeColor="text1"/>
                <w:highlight w:val="none"/>
                <w:lang w:val="en-US" w:eastAsia="zh-CN"/>
                <w14:textFill>
                  <w14:solidFill>
                    <w14:schemeClr w14:val="tx1"/>
                  </w14:solidFill>
                </w14:textFill>
              </w:rPr>
              <w:t>建设目标基本符合采购需求，</w:t>
            </w:r>
            <w:r>
              <w:rPr>
                <w:rFonts w:hint="eastAsia" w:ascii="宋体" w:hAnsi="宋体" w:eastAsia="宋体" w:cs="宋体"/>
                <w:color w:val="000000" w:themeColor="text1"/>
                <w:highlight w:val="none"/>
                <w14:textFill>
                  <w14:solidFill>
                    <w14:schemeClr w14:val="tx1"/>
                  </w14:solidFill>
                </w14:textFill>
              </w:rPr>
              <w:t>分析</w:t>
            </w:r>
            <w:r>
              <w:rPr>
                <w:rFonts w:hint="eastAsia" w:ascii="宋体" w:hAnsi="宋体" w:eastAsia="宋体" w:cs="宋体"/>
                <w:color w:val="000000" w:themeColor="text1"/>
                <w:highlight w:val="none"/>
                <w:lang w:val="en-US" w:eastAsia="zh-CN"/>
                <w14:textFill>
                  <w14:solidFill>
                    <w14:schemeClr w14:val="tx1"/>
                  </w14:solidFill>
                </w14:textFill>
              </w:rPr>
              <w:t>内容</w:t>
            </w:r>
            <w:r>
              <w:rPr>
                <w:rFonts w:hint="eastAsia" w:ascii="宋体" w:hAnsi="宋体" w:eastAsia="宋体" w:cs="宋体"/>
                <w:color w:val="000000" w:themeColor="text1"/>
                <w:highlight w:val="none"/>
                <w14:textFill>
                  <w14:solidFill>
                    <w14:schemeClr w14:val="tx1"/>
                  </w14:solidFill>
                </w14:textFill>
              </w:rPr>
              <w:t>较为完善、基本合理可行但有所欠缺的得3分；</w:t>
            </w:r>
          </w:p>
          <w:p w14:paraId="07DFCD71">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w:t>
            </w:r>
            <w:r>
              <w:rPr>
                <w:rFonts w:hint="eastAsia" w:ascii="宋体" w:hAnsi="宋体" w:eastAsia="宋体" w:cs="宋体"/>
                <w:color w:val="000000" w:themeColor="text1"/>
                <w:highlight w:val="none"/>
                <w:lang w:val="en-US" w:eastAsia="zh-CN"/>
                <w14:textFill>
                  <w14:solidFill>
                    <w14:schemeClr w14:val="tx1"/>
                  </w14:solidFill>
                </w14:textFill>
              </w:rPr>
              <w:t>建设目标不符合采购需求，</w:t>
            </w:r>
            <w:r>
              <w:rPr>
                <w:rFonts w:hint="eastAsia" w:ascii="宋体" w:hAnsi="宋体" w:eastAsia="宋体" w:cs="宋体"/>
                <w:color w:val="000000" w:themeColor="text1"/>
                <w:highlight w:val="none"/>
                <w14:textFill>
                  <w14:solidFill>
                    <w14:schemeClr w14:val="tx1"/>
                  </w14:solidFill>
                </w14:textFill>
              </w:rPr>
              <w:t xml:space="preserve">分析内容不全、有明显不合理之处的得1分；    </w:t>
            </w:r>
          </w:p>
          <w:p w14:paraId="49EBAAB3">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④未提供相关内容不得分。</w:t>
            </w:r>
          </w:p>
        </w:tc>
        <w:tc>
          <w:tcPr>
            <w:tcW w:w="1066" w:type="dxa"/>
            <w:vAlign w:val="center"/>
          </w:tcPr>
          <w:p w14:paraId="0F6BF742">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highlight w:val="none"/>
                <w:lang w:eastAsia="zh-Han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主观分</w:t>
            </w:r>
          </w:p>
        </w:tc>
      </w:tr>
      <w:tr w14:paraId="48E3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008" w:type="dxa"/>
            <w:vMerge w:val="continue"/>
            <w:vAlign w:val="center"/>
          </w:tcPr>
          <w:p w14:paraId="07BF47E5">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vAlign w:val="center"/>
          </w:tcPr>
          <w:p w14:paraId="7D9F1B0B">
            <w:pPr>
              <w:widowControl/>
              <w:snapToGrid w:val="0"/>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重点难点分析</w:t>
            </w:r>
          </w:p>
          <w:p w14:paraId="72035481">
            <w:pPr>
              <w:widowControl/>
              <w:snapToGrid w:val="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（5分）</w:t>
            </w:r>
          </w:p>
        </w:tc>
        <w:tc>
          <w:tcPr>
            <w:tcW w:w="5925" w:type="dxa"/>
            <w:vAlign w:val="center"/>
          </w:tcPr>
          <w:p w14:paraId="62C835B1">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根据投标人针对本项目的重点难点分析进行评审：</w:t>
            </w:r>
          </w:p>
          <w:p w14:paraId="55F9E65B">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①重点难点分析透彻、全面的得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p w14:paraId="16408D67">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②重点难点分析</w:t>
            </w:r>
            <w:r>
              <w:rPr>
                <w:rFonts w:hint="eastAsia" w:ascii="宋体" w:hAnsi="宋体" w:cs="宋体"/>
                <w:color w:val="000000" w:themeColor="text1"/>
                <w:highlight w:val="none"/>
                <w:lang w:val="en-US" w:eastAsia="zh-CN"/>
                <w14:textFill>
                  <w14:solidFill>
                    <w14:schemeClr w14:val="tx1"/>
                  </w14:solidFill>
                </w14:textFill>
              </w:rPr>
              <w:t>较</w:t>
            </w:r>
            <w:r>
              <w:rPr>
                <w:rFonts w:hint="eastAsia" w:ascii="宋体" w:hAnsi="宋体" w:eastAsia="宋体" w:cs="宋体"/>
                <w:color w:val="000000" w:themeColor="text1"/>
                <w:highlight w:val="none"/>
                <w14:textFill>
                  <w14:solidFill>
                    <w14:schemeClr w14:val="tx1"/>
                  </w14:solidFill>
                </w14:textFill>
              </w:rPr>
              <w:t>全面的得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w:t>
            </w:r>
          </w:p>
          <w:p w14:paraId="465D2004">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③重点难点分析不全面的得1分；</w:t>
            </w:r>
          </w:p>
          <w:p w14:paraId="3E02E912">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④未提供相关内容的不得分。</w:t>
            </w:r>
          </w:p>
        </w:tc>
        <w:tc>
          <w:tcPr>
            <w:tcW w:w="1066" w:type="dxa"/>
            <w:vAlign w:val="center"/>
          </w:tcPr>
          <w:p w14:paraId="15C116C7">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主观分</w:t>
            </w:r>
          </w:p>
        </w:tc>
      </w:tr>
      <w:tr w14:paraId="1239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vAlign w:val="center"/>
          </w:tcPr>
          <w:p w14:paraId="1232341B">
            <w:pPr>
              <w:keepNext w:val="0"/>
              <w:keepLines w:val="0"/>
              <w:pageBreakBefore w:val="0"/>
              <w:kinsoku/>
              <w:wordWrap/>
              <w:overflowPunct/>
              <w:topLinePunct w:val="0"/>
              <w:bidi w:val="0"/>
              <w:spacing w:line="24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shd w:val="clear" w:color="auto" w:fill="auto"/>
            <w:vAlign w:val="center"/>
          </w:tcPr>
          <w:p w14:paraId="6B697860">
            <w:pPr>
              <w:widowControl/>
              <w:snapToGrid w:val="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重点难点解决方案</w:t>
            </w:r>
            <w:r>
              <w:rPr>
                <w:rFonts w:hint="eastAsia" w:ascii="宋体" w:hAnsi="宋体" w:eastAsia="宋体" w:cs="宋体"/>
                <w:color w:val="000000" w:themeColor="text1"/>
                <w:szCs w:val="21"/>
                <w:highlight w:val="none"/>
                <w14:textFill>
                  <w14:solidFill>
                    <w14:schemeClr w14:val="tx1"/>
                  </w14:solidFill>
                </w14:textFill>
              </w:rPr>
              <w:t>（5分）</w:t>
            </w:r>
          </w:p>
        </w:tc>
        <w:tc>
          <w:tcPr>
            <w:tcW w:w="5925" w:type="dxa"/>
            <w:shd w:val="clear" w:color="auto" w:fill="auto"/>
            <w:vAlign w:val="center"/>
          </w:tcPr>
          <w:p w14:paraId="02CCAB2D">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根据投标人针对本项目的重点难点解决方案进行评审：</w:t>
            </w:r>
          </w:p>
          <w:p w14:paraId="7AC93215">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①重点难点解决措施针对性</w:t>
            </w:r>
            <w:r>
              <w:rPr>
                <w:rFonts w:hint="eastAsia" w:ascii="宋体" w:hAnsi="宋体" w:cs="宋体"/>
                <w:color w:val="000000" w:themeColor="text1"/>
                <w:highlight w:val="none"/>
                <w:lang w:val="en-US" w:eastAsia="zh-CN"/>
                <w14:textFill>
                  <w14:solidFill>
                    <w14:schemeClr w14:val="tx1"/>
                  </w14:solidFill>
                </w14:textFill>
              </w:rPr>
              <w:t>强</w:t>
            </w:r>
            <w:r>
              <w:rPr>
                <w:rFonts w:hint="eastAsia" w:ascii="宋体" w:hAnsi="宋体" w:eastAsia="宋体" w:cs="宋体"/>
                <w:color w:val="000000" w:themeColor="text1"/>
                <w:highlight w:val="none"/>
                <w14:textFill>
                  <w14:solidFill>
                    <w14:schemeClr w14:val="tx1"/>
                  </w14:solidFill>
                </w14:textFill>
              </w:rPr>
              <w:t>的得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p w14:paraId="06F59A6E">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②重点难点解决措施</w:t>
            </w:r>
            <w:r>
              <w:rPr>
                <w:rFonts w:hint="eastAsia"/>
                <w:color w:val="000000" w:themeColor="text1"/>
                <w:highlight w:val="none"/>
                <w:lang w:val="en-US" w:eastAsia="zh-CN"/>
                <w14:textFill>
                  <w14:solidFill>
                    <w14:schemeClr w14:val="tx1"/>
                  </w14:solidFill>
                </w14:textFill>
              </w:rPr>
              <w:t>具有一定的针对性</w:t>
            </w:r>
            <w:r>
              <w:rPr>
                <w:rFonts w:hint="eastAsia" w:ascii="宋体" w:hAnsi="宋体" w:eastAsia="宋体" w:cs="宋体"/>
                <w:color w:val="000000" w:themeColor="text1"/>
                <w:highlight w:val="none"/>
                <w14:textFill>
                  <w14:solidFill>
                    <w14:schemeClr w14:val="tx1"/>
                  </w14:solidFill>
                </w14:textFill>
              </w:rPr>
              <w:t>，但略有不足的得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w:t>
            </w:r>
          </w:p>
          <w:p w14:paraId="2A8D3D97">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③重点难点解决措施无针对性的得1分；</w:t>
            </w:r>
          </w:p>
          <w:p w14:paraId="51B198BF">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④未提供相关内容的不得分。</w:t>
            </w:r>
          </w:p>
        </w:tc>
        <w:tc>
          <w:tcPr>
            <w:tcW w:w="1066" w:type="dxa"/>
            <w:vAlign w:val="center"/>
          </w:tcPr>
          <w:p w14:paraId="06F4021B">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主观分</w:t>
            </w:r>
          </w:p>
        </w:tc>
      </w:tr>
      <w:tr w14:paraId="3013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vAlign w:val="center"/>
          </w:tcPr>
          <w:p w14:paraId="62781055">
            <w:pPr>
              <w:keepNext w:val="0"/>
              <w:keepLines w:val="0"/>
              <w:pageBreakBefore w:val="0"/>
              <w:kinsoku/>
              <w:wordWrap/>
              <w:overflowPunct/>
              <w:topLinePunct w:val="0"/>
              <w:bidi w:val="0"/>
              <w:spacing w:line="24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vAlign w:val="center"/>
          </w:tcPr>
          <w:p w14:paraId="656F5F58">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p>
          <w:p w14:paraId="2724E71F">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项目实施方案(</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分）</w:t>
            </w:r>
          </w:p>
        </w:tc>
        <w:tc>
          <w:tcPr>
            <w:tcW w:w="5925" w:type="dxa"/>
            <w:vAlign w:val="center"/>
          </w:tcPr>
          <w:p w14:paraId="235128E1">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w:t>
            </w:r>
            <w:r>
              <w:rPr>
                <w:rFonts w:hint="eastAsia" w:ascii="宋体" w:hAnsi="宋体" w:eastAsia="宋体" w:cs="宋体"/>
                <w:color w:val="000000" w:themeColor="text1"/>
                <w:highlight w:val="none"/>
                <w:lang w:val="en-US" w:eastAsia="zh-CN"/>
                <w14:textFill>
                  <w14:solidFill>
                    <w14:schemeClr w14:val="tx1"/>
                  </w14:solidFill>
                </w14:textFill>
              </w:rPr>
              <w:t>提供的项目实施</w:t>
            </w:r>
            <w:r>
              <w:rPr>
                <w:rFonts w:hint="eastAsia" w:ascii="宋体" w:hAnsi="宋体" w:cs="宋体"/>
                <w:color w:val="000000" w:themeColor="text1"/>
                <w:highlight w:val="none"/>
                <w:lang w:val="en-US" w:eastAsia="zh-CN"/>
                <w14:textFill>
                  <w14:solidFill>
                    <w14:schemeClr w14:val="tx1"/>
                  </w14:solidFill>
                </w14:textFill>
              </w:rPr>
              <w:t>方案</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包括</w:t>
            </w:r>
            <w:r>
              <w:rPr>
                <w:rFonts w:hint="eastAsia" w:ascii="宋体" w:hAnsi="宋体" w:cs="宋体"/>
                <w:color w:val="000000" w:themeColor="text1"/>
                <w:highlight w:val="none"/>
                <w:lang w:val="en-US" w:eastAsia="zh-CN"/>
                <w14:textFill>
                  <w14:solidFill>
                    <w14:schemeClr w14:val="tx1"/>
                  </w14:solidFill>
                </w14:textFill>
              </w:rPr>
              <w:t>实施内容、实施流程、实施计划等）</w:t>
            </w:r>
            <w:r>
              <w:rPr>
                <w:rFonts w:hint="eastAsia" w:ascii="宋体" w:hAnsi="宋体" w:eastAsia="宋体" w:cs="宋体"/>
                <w:color w:val="000000" w:themeColor="text1"/>
                <w:highlight w:val="none"/>
                <w14:textFill>
                  <w14:solidFill>
                    <w14:schemeClr w14:val="tx1"/>
                  </w14:solidFill>
                </w14:textFill>
              </w:rPr>
              <w:t>进行评议：</w:t>
            </w:r>
          </w:p>
          <w:p w14:paraId="753B63BB">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w:t>
            </w:r>
            <w:r>
              <w:rPr>
                <w:rFonts w:hint="eastAsia" w:ascii="宋体" w:hAnsi="宋体" w:eastAsia="宋体" w:cs="宋体"/>
                <w:color w:val="000000" w:themeColor="text1"/>
                <w:highlight w:val="none"/>
                <w:lang w:val="en-US" w:eastAsia="zh-CN"/>
                <w14:textFill>
                  <w14:solidFill>
                    <w14:schemeClr w14:val="tx1"/>
                  </w14:solidFill>
                </w14:textFill>
              </w:rPr>
              <w:t>项目实施内容全面，实施流程规范</w:t>
            </w:r>
            <w:r>
              <w:rPr>
                <w:rFonts w:hint="eastAsia" w:ascii="宋体" w:hAnsi="宋体" w:cs="宋体"/>
                <w:color w:val="000000" w:themeColor="text1"/>
                <w:highlight w:val="none"/>
                <w:lang w:val="en-US" w:eastAsia="zh-CN"/>
                <w14:textFill>
                  <w14:solidFill>
                    <w14:schemeClr w14:val="tx1"/>
                  </w14:solidFill>
                </w14:textFill>
              </w:rPr>
              <w:t>，实施计划合理</w:t>
            </w:r>
            <w:r>
              <w:rPr>
                <w:rFonts w:hint="eastAsia" w:ascii="宋体" w:hAnsi="宋体" w:eastAsia="宋体" w:cs="宋体"/>
                <w:color w:val="000000" w:themeColor="text1"/>
                <w:highlight w:val="none"/>
                <w14:textFill>
                  <w14:solidFill>
                    <w14:schemeClr w14:val="tx1"/>
                  </w14:solidFill>
                </w14:textFill>
              </w:rPr>
              <w:t>的得</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p w14:paraId="51384037">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w:t>
            </w:r>
            <w:r>
              <w:rPr>
                <w:rFonts w:hint="eastAsia" w:ascii="宋体" w:hAnsi="宋体" w:eastAsia="宋体" w:cs="宋体"/>
                <w:color w:val="000000" w:themeColor="text1"/>
                <w:highlight w:val="none"/>
                <w:lang w:val="en-US" w:eastAsia="zh-CN"/>
                <w14:textFill>
                  <w14:solidFill>
                    <w14:schemeClr w14:val="tx1"/>
                  </w14:solidFill>
                </w14:textFill>
              </w:rPr>
              <w:t>项目实施内容较全面，实施流程</w:t>
            </w:r>
            <w:r>
              <w:rPr>
                <w:rFonts w:hint="eastAsia" w:ascii="宋体" w:hAnsi="宋体" w:cs="宋体"/>
                <w:color w:val="000000" w:themeColor="text1"/>
                <w:highlight w:val="none"/>
                <w:lang w:val="en-US" w:eastAsia="zh-CN"/>
                <w14:textFill>
                  <w14:solidFill>
                    <w14:schemeClr w14:val="tx1"/>
                  </w14:solidFill>
                </w14:textFill>
              </w:rPr>
              <w:t>较</w:t>
            </w:r>
            <w:r>
              <w:rPr>
                <w:rFonts w:hint="eastAsia" w:ascii="宋体" w:hAnsi="宋体" w:eastAsia="宋体" w:cs="宋体"/>
                <w:color w:val="000000" w:themeColor="text1"/>
                <w:highlight w:val="none"/>
                <w:lang w:val="en-US" w:eastAsia="zh-CN"/>
                <w14:textFill>
                  <w14:solidFill>
                    <w14:schemeClr w14:val="tx1"/>
                  </w14:solidFill>
                </w14:textFill>
              </w:rPr>
              <w:t>规范</w:t>
            </w:r>
            <w:r>
              <w:rPr>
                <w:rFonts w:hint="eastAsia" w:ascii="宋体" w:hAnsi="宋体" w:cs="宋体"/>
                <w:color w:val="000000" w:themeColor="text1"/>
                <w:highlight w:val="none"/>
                <w:lang w:val="en-US" w:eastAsia="zh-CN"/>
                <w14:textFill>
                  <w14:solidFill>
                    <w14:schemeClr w14:val="tx1"/>
                  </w14:solidFill>
                </w14:textFill>
              </w:rPr>
              <w:t>，实施计划较合理</w:t>
            </w:r>
            <w:r>
              <w:rPr>
                <w:rFonts w:hint="eastAsia" w:ascii="宋体" w:hAnsi="宋体" w:eastAsia="宋体" w:cs="宋体"/>
                <w:color w:val="000000" w:themeColor="text1"/>
                <w:highlight w:val="none"/>
                <w14:textFill>
                  <w14:solidFill>
                    <w14:schemeClr w14:val="tx1"/>
                  </w14:solidFill>
                </w14:textFill>
              </w:rPr>
              <w:t>的得</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p>
          <w:p w14:paraId="6557B09B">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w:t>
            </w:r>
            <w:r>
              <w:rPr>
                <w:rFonts w:hint="eastAsia" w:ascii="宋体" w:hAnsi="宋体" w:eastAsia="宋体" w:cs="宋体"/>
                <w:color w:val="000000" w:themeColor="text1"/>
                <w:highlight w:val="none"/>
                <w:lang w:val="en-US" w:eastAsia="zh-CN"/>
                <w14:textFill>
                  <w14:solidFill>
                    <w14:schemeClr w14:val="tx1"/>
                  </w14:solidFill>
                </w14:textFill>
              </w:rPr>
              <w:t>项目实施内容不全面，实施流程不规范</w:t>
            </w:r>
            <w:r>
              <w:rPr>
                <w:rFonts w:hint="eastAsia" w:ascii="宋体" w:hAnsi="宋体" w:cs="宋体"/>
                <w:color w:val="000000" w:themeColor="text1"/>
                <w:highlight w:val="none"/>
                <w:lang w:val="en-US" w:eastAsia="zh-CN"/>
                <w14:textFill>
                  <w14:solidFill>
                    <w14:schemeClr w14:val="tx1"/>
                  </w14:solidFill>
                </w14:textFill>
              </w:rPr>
              <w:t>，实施计划不合理</w:t>
            </w:r>
            <w:r>
              <w:rPr>
                <w:rFonts w:hint="eastAsia" w:ascii="宋体" w:hAnsi="宋体" w:eastAsia="宋体" w:cs="宋体"/>
                <w:color w:val="000000" w:themeColor="text1"/>
                <w:highlight w:val="none"/>
                <w14:textFill>
                  <w14:solidFill>
                    <w14:schemeClr w14:val="tx1"/>
                  </w14:solidFill>
                </w14:textFill>
              </w:rPr>
              <w:t>的得1分；</w:t>
            </w:r>
          </w:p>
          <w:p w14:paraId="326FC523">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④未提供相关内容不得分。</w:t>
            </w:r>
          </w:p>
        </w:tc>
        <w:tc>
          <w:tcPr>
            <w:tcW w:w="1066" w:type="dxa"/>
            <w:vAlign w:val="center"/>
          </w:tcPr>
          <w:p w14:paraId="5EC066FA">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主观分</w:t>
            </w:r>
          </w:p>
        </w:tc>
      </w:tr>
      <w:tr w14:paraId="6865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vAlign w:val="center"/>
          </w:tcPr>
          <w:p w14:paraId="303ED431">
            <w:pPr>
              <w:keepNext w:val="0"/>
              <w:keepLines w:val="0"/>
              <w:pageBreakBefore w:val="0"/>
              <w:kinsoku/>
              <w:wordWrap/>
              <w:overflowPunct/>
              <w:topLinePunct w:val="0"/>
              <w:bidi w:val="0"/>
              <w:spacing w:line="24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vMerge w:val="restart"/>
            <w:vAlign w:val="center"/>
          </w:tcPr>
          <w:p w14:paraId="00D4EED8">
            <w:pPr>
              <w:keepNext w:val="0"/>
              <w:keepLines w:val="0"/>
              <w:pageBreakBefore w:val="0"/>
              <w:kinsoku/>
              <w:wordWrap/>
              <w:overflowPunct/>
              <w:topLinePunct w:val="0"/>
              <w:bidi w:val="0"/>
              <w:spacing w:line="240" w:lineRule="auto"/>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拟派实施团队</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分）</w:t>
            </w:r>
          </w:p>
        </w:tc>
        <w:tc>
          <w:tcPr>
            <w:tcW w:w="5925" w:type="dxa"/>
            <w:shd w:val="clear" w:color="auto" w:fill="auto"/>
            <w:vAlign w:val="center"/>
          </w:tcPr>
          <w:p w14:paraId="3146C102">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根据投标人拟派本项目的实施团队，包括人员结构、数量进行评议：</w:t>
            </w:r>
          </w:p>
          <w:p w14:paraId="3CCE07ED">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①人员结构合理、人员数量满足项目需求的得5分；</w:t>
            </w:r>
          </w:p>
          <w:p w14:paraId="77FA1ADB">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②人员结构较合理、人员数量基本</w:t>
            </w:r>
            <w:r>
              <w:rPr>
                <w:rFonts w:hint="eastAsia" w:ascii="宋体" w:hAnsi="宋体" w:cs="宋体"/>
                <w:color w:val="000000" w:themeColor="text1"/>
                <w:highlight w:val="none"/>
                <w:lang w:val="en-US" w:eastAsia="zh-CN"/>
                <w14:textFill>
                  <w14:solidFill>
                    <w14:schemeClr w14:val="tx1"/>
                  </w14:solidFill>
                </w14:textFill>
              </w:rPr>
              <w:t>满足</w:t>
            </w:r>
            <w:r>
              <w:rPr>
                <w:rFonts w:hint="eastAsia" w:ascii="宋体" w:hAnsi="宋体" w:eastAsia="宋体" w:cs="宋体"/>
                <w:color w:val="000000" w:themeColor="text1"/>
                <w:highlight w:val="none"/>
                <w:lang w:val="en-US" w:eastAsia="zh-CN"/>
                <w14:textFill>
                  <w14:solidFill>
                    <w14:schemeClr w14:val="tx1"/>
                  </w14:solidFill>
                </w14:textFill>
              </w:rPr>
              <w:t>项目需求的得3分；</w:t>
            </w:r>
          </w:p>
          <w:p w14:paraId="62844C08">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③人员结构不合理、人员数量不能满足项目需求的得1分；</w:t>
            </w:r>
          </w:p>
          <w:p w14:paraId="4DF04809">
            <w:pPr>
              <w:keepNext w:val="0"/>
              <w:keepLines w:val="0"/>
              <w:pageBreakBefore w:val="0"/>
              <w:kinsoku/>
              <w:wordWrap/>
              <w:overflowPunct/>
              <w:topLinePunct w:val="0"/>
              <w:bidi w:val="0"/>
              <w:spacing w:line="24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④未提供相关内容不得分。</w:t>
            </w:r>
          </w:p>
        </w:tc>
        <w:tc>
          <w:tcPr>
            <w:tcW w:w="1066" w:type="dxa"/>
            <w:vAlign w:val="center"/>
          </w:tcPr>
          <w:p w14:paraId="65C4E8FB">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主观分</w:t>
            </w:r>
          </w:p>
        </w:tc>
      </w:tr>
      <w:tr w14:paraId="3512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vAlign w:val="center"/>
          </w:tcPr>
          <w:p w14:paraId="67CE3D13">
            <w:pPr>
              <w:keepNext w:val="0"/>
              <w:keepLines w:val="0"/>
              <w:pageBreakBefore w:val="0"/>
              <w:kinsoku/>
              <w:wordWrap/>
              <w:overflowPunct/>
              <w:topLinePunct w:val="0"/>
              <w:bidi w:val="0"/>
              <w:spacing w:line="24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vMerge w:val="continue"/>
            <w:vAlign w:val="center"/>
          </w:tcPr>
          <w:p w14:paraId="6B7EDAFF">
            <w:pPr>
              <w:keepNext w:val="0"/>
              <w:keepLines w:val="0"/>
              <w:pageBreakBefore w:val="0"/>
              <w:kinsoku/>
              <w:wordWrap/>
              <w:overflowPunct/>
              <w:topLinePunct w:val="0"/>
              <w:bidi w:val="0"/>
              <w:spacing w:line="240" w:lineRule="auto"/>
              <w:jc w:val="center"/>
              <w:rPr>
                <w:rFonts w:hint="eastAsia" w:ascii="宋体" w:hAnsi="宋体" w:cs="宋体"/>
                <w:color w:val="000000" w:themeColor="text1"/>
                <w:kern w:val="0"/>
                <w:szCs w:val="21"/>
                <w:highlight w:val="none"/>
                <w:lang w:val="en-US" w:eastAsia="zh-CN"/>
                <w14:textFill>
                  <w14:solidFill>
                    <w14:schemeClr w14:val="tx1"/>
                  </w14:solidFill>
                </w14:textFill>
              </w:rPr>
            </w:pPr>
          </w:p>
        </w:tc>
        <w:tc>
          <w:tcPr>
            <w:tcW w:w="5925" w:type="dxa"/>
            <w:shd w:val="clear" w:color="auto" w:fill="auto"/>
            <w:vAlign w:val="center"/>
          </w:tcPr>
          <w:p w14:paraId="24C821D9">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根据投标人提供的人员</w:t>
            </w:r>
            <w:r>
              <w:rPr>
                <w:rFonts w:hint="eastAsia" w:ascii="宋体" w:hAnsi="宋体" w:cs="宋体"/>
                <w:color w:val="000000" w:themeColor="text1"/>
                <w:highlight w:val="none"/>
                <w:lang w:val="en-US" w:eastAsia="zh-CN"/>
                <w14:textFill>
                  <w14:solidFill>
                    <w14:schemeClr w14:val="tx1"/>
                  </w14:solidFill>
                </w14:textFill>
              </w:rPr>
              <w:t>考核及</w:t>
            </w:r>
            <w:r>
              <w:rPr>
                <w:rFonts w:hint="eastAsia" w:ascii="宋体" w:hAnsi="宋体" w:eastAsia="宋体" w:cs="宋体"/>
                <w:color w:val="000000" w:themeColor="text1"/>
                <w:highlight w:val="none"/>
                <w:lang w:val="en-US" w:eastAsia="zh-CN"/>
                <w14:textFill>
                  <w14:solidFill>
                    <w14:schemeClr w14:val="tx1"/>
                  </w14:solidFill>
                </w14:textFill>
              </w:rPr>
              <w:t>管理制度进行评议：</w:t>
            </w:r>
          </w:p>
          <w:p w14:paraId="0449F732">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①人员考核制度及管理制度完整、合理的得5分；</w:t>
            </w:r>
          </w:p>
          <w:p w14:paraId="7B47294D">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②人员考核制度及管理制度较完整、较合理的得3分；</w:t>
            </w:r>
          </w:p>
          <w:p w14:paraId="5259C954">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③人员考核制度及管理制度不完整、不合理的得1分；</w:t>
            </w:r>
          </w:p>
          <w:p w14:paraId="6D004059">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④未提供相关方案的不得分。</w:t>
            </w:r>
          </w:p>
        </w:tc>
        <w:tc>
          <w:tcPr>
            <w:tcW w:w="1066" w:type="dxa"/>
            <w:vAlign w:val="center"/>
          </w:tcPr>
          <w:p w14:paraId="7A712E0C">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主观分</w:t>
            </w:r>
          </w:p>
        </w:tc>
      </w:tr>
      <w:tr w14:paraId="5387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vAlign w:val="center"/>
          </w:tcPr>
          <w:p w14:paraId="6A47781F">
            <w:pPr>
              <w:keepNext w:val="0"/>
              <w:keepLines w:val="0"/>
              <w:pageBreakBefore w:val="0"/>
              <w:kinsoku/>
              <w:wordWrap/>
              <w:overflowPunct/>
              <w:topLinePunct w:val="0"/>
              <w:bidi w:val="0"/>
              <w:spacing w:line="24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vAlign w:val="center"/>
          </w:tcPr>
          <w:p w14:paraId="4EFF5B02">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质量保证措施</w:t>
            </w:r>
            <w:r>
              <w:rPr>
                <w:rFonts w:hint="eastAsia" w:ascii="宋体" w:hAnsi="宋体" w:eastAsia="宋体" w:cs="宋体"/>
                <w:color w:val="000000" w:themeColor="text1"/>
                <w:szCs w:val="21"/>
                <w:highlight w:val="none"/>
                <w14:textFill>
                  <w14:solidFill>
                    <w14:schemeClr w14:val="tx1"/>
                  </w14:solidFill>
                </w14:textFill>
              </w:rPr>
              <w:t>（5分）</w:t>
            </w:r>
          </w:p>
        </w:tc>
        <w:tc>
          <w:tcPr>
            <w:tcW w:w="5925" w:type="dxa"/>
            <w:vAlign w:val="center"/>
          </w:tcPr>
          <w:p w14:paraId="57AE827D">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根据投标人针对本项目的质量保证措施进行评议：</w:t>
            </w:r>
          </w:p>
          <w:p w14:paraId="611A7B77">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①</w:t>
            </w:r>
            <w:r>
              <w:rPr>
                <w:rFonts w:hint="eastAsia" w:ascii="宋体" w:hAnsi="宋体" w:eastAsia="宋体" w:cs="宋体"/>
                <w:color w:val="000000" w:themeColor="text1"/>
                <w:highlight w:val="none"/>
                <w14:textFill>
                  <w14:solidFill>
                    <w14:schemeClr w14:val="tx1"/>
                  </w14:solidFill>
                </w14:textFill>
              </w:rPr>
              <w:t>质量保证措施可行、方案全面的得</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p w14:paraId="46928B3F">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②</w:t>
            </w:r>
            <w:r>
              <w:rPr>
                <w:rFonts w:hint="eastAsia" w:ascii="宋体" w:hAnsi="宋体" w:eastAsia="宋体" w:cs="宋体"/>
                <w:color w:val="000000" w:themeColor="text1"/>
                <w:highlight w:val="none"/>
                <w14:textFill>
                  <w14:solidFill>
                    <w14:schemeClr w14:val="tx1"/>
                  </w14:solidFill>
                </w14:textFill>
              </w:rPr>
              <w:t>质量保证措施较可行、方案较全面的得</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p>
          <w:p w14:paraId="19BE9A21">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③</w:t>
            </w:r>
            <w:r>
              <w:rPr>
                <w:rFonts w:hint="eastAsia" w:ascii="宋体" w:hAnsi="宋体" w:eastAsia="宋体" w:cs="宋体"/>
                <w:color w:val="000000" w:themeColor="text1"/>
                <w:highlight w:val="none"/>
                <w14:textFill>
                  <w14:solidFill>
                    <w14:schemeClr w14:val="tx1"/>
                  </w14:solidFill>
                </w14:textFill>
              </w:rPr>
              <w:t>质量保证措施不可行、方案不全面的得1分；</w:t>
            </w:r>
          </w:p>
          <w:p w14:paraId="0620B28B">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④</w:t>
            </w:r>
            <w:r>
              <w:rPr>
                <w:rFonts w:hint="eastAsia" w:ascii="宋体" w:hAnsi="宋体" w:eastAsia="宋体" w:cs="宋体"/>
                <w:color w:val="000000" w:themeColor="text1"/>
                <w:highlight w:val="none"/>
                <w14:textFill>
                  <w14:solidFill>
                    <w14:schemeClr w14:val="tx1"/>
                  </w14:solidFill>
                </w14:textFill>
              </w:rPr>
              <w:t>未提供相关内容不得分。</w:t>
            </w:r>
          </w:p>
        </w:tc>
        <w:tc>
          <w:tcPr>
            <w:tcW w:w="1066" w:type="dxa"/>
            <w:vAlign w:val="center"/>
          </w:tcPr>
          <w:p w14:paraId="036CF495">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主观分</w:t>
            </w:r>
          </w:p>
        </w:tc>
      </w:tr>
      <w:tr w14:paraId="276D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1008" w:type="dxa"/>
            <w:vMerge w:val="continue"/>
            <w:vAlign w:val="center"/>
          </w:tcPr>
          <w:p w14:paraId="60A80DA0">
            <w:pPr>
              <w:keepNext w:val="0"/>
              <w:keepLines w:val="0"/>
              <w:pageBreakBefore w:val="0"/>
              <w:kinsoku/>
              <w:wordWrap/>
              <w:overflowPunct/>
              <w:topLinePunct w:val="0"/>
              <w:bidi w:val="0"/>
              <w:spacing w:line="24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shd w:val="clear" w:color="auto" w:fill="auto"/>
            <w:vAlign w:val="center"/>
          </w:tcPr>
          <w:p w14:paraId="6F7C3211">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验收方案</w:t>
            </w:r>
            <w:r>
              <w:rPr>
                <w:rFonts w:hint="eastAsia" w:ascii="宋体" w:hAnsi="宋体" w:eastAsia="宋体" w:cs="宋体"/>
                <w:color w:val="000000" w:themeColor="text1"/>
                <w:szCs w:val="21"/>
                <w:highlight w:val="none"/>
                <w14:textFill>
                  <w14:solidFill>
                    <w14:schemeClr w14:val="tx1"/>
                  </w14:solidFill>
                </w14:textFill>
              </w:rPr>
              <w:t>（5分）</w:t>
            </w:r>
          </w:p>
        </w:tc>
        <w:tc>
          <w:tcPr>
            <w:tcW w:w="5925" w:type="dxa"/>
            <w:shd w:val="clear" w:color="auto" w:fill="auto"/>
            <w:vAlign w:val="top"/>
          </w:tcPr>
          <w:p w14:paraId="6AB149B7">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根据投标人提供的项目整体验收方案</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包括验收前自检、验收内容、验收标准、技术支持资料、验收发现问题的整改保障措施</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进行评议：</w:t>
            </w:r>
          </w:p>
          <w:p w14:paraId="3FE99A95">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①方案内容详细完善，针对性强，具有可操作性，整体安排合理，验收保障措施考虑到位的，得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p w14:paraId="14D12D0C">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②方案内容较详细，具有一定针对性，可操作性一般，整体安排较合理，验收保障措施基本考虑到位的，得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p>
          <w:p w14:paraId="5F88F7B2">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③方案内容简单笼统，缺乏针对性，可操作性弱，整体安排欠合理，验收保障措施考虑不够到位的，得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w:t>
            </w:r>
          </w:p>
          <w:p w14:paraId="529E36D7">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④未提供相关内容的不得分。</w:t>
            </w:r>
          </w:p>
        </w:tc>
        <w:tc>
          <w:tcPr>
            <w:tcW w:w="1066" w:type="dxa"/>
            <w:vAlign w:val="center"/>
          </w:tcPr>
          <w:p w14:paraId="1BDAEF65">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主观分</w:t>
            </w:r>
          </w:p>
        </w:tc>
      </w:tr>
      <w:tr w14:paraId="4AC8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vAlign w:val="center"/>
          </w:tcPr>
          <w:p w14:paraId="1177AE77">
            <w:pPr>
              <w:keepNext w:val="0"/>
              <w:keepLines w:val="0"/>
              <w:pageBreakBefore w:val="0"/>
              <w:kinsoku/>
              <w:wordWrap/>
              <w:overflowPunct/>
              <w:topLinePunct w:val="0"/>
              <w:bidi w:val="0"/>
              <w:spacing w:line="24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shd w:val="clear" w:color="auto" w:fill="auto"/>
            <w:vAlign w:val="center"/>
          </w:tcPr>
          <w:p w14:paraId="7523F0D3">
            <w:pPr>
              <w:widowControl/>
              <w:snapToGrid w:val="0"/>
              <w:jc w:val="center"/>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保密方案</w:t>
            </w:r>
            <w:r>
              <w:rPr>
                <w:rFonts w:hint="eastAsia" w:ascii="宋体" w:hAnsi="宋体" w:eastAsia="宋体" w:cs="宋体"/>
                <w:color w:val="000000" w:themeColor="text1"/>
                <w:szCs w:val="21"/>
                <w:highlight w:val="none"/>
                <w14:textFill>
                  <w14:solidFill>
                    <w14:schemeClr w14:val="tx1"/>
                  </w14:solidFill>
                </w14:textFill>
              </w:rPr>
              <w:t>（5分）</w:t>
            </w:r>
          </w:p>
        </w:tc>
        <w:tc>
          <w:tcPr>
            <w:tcW w:w="5925" w:type="dxa"/>
            <w:shd w:val="clear" w:color="auto" w:fill="auto"/>
            <w:vAlign w:val="center"/>
          </w:tcPr>
          <w:p w14:paraId="5EE74A90">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根据投标人针对本项目的保密方案（包括</w:t>
            </w:r>
            <w:r>
              <w:rPr>
                <w:rFonts w:hint="eastAsia" w:ascii="宋体" w:hAnsi="宋体" w:eastAsia="宋体" w:cs="宋体"/>
                <w:color w:val="000000" w:themeColor="text1"/>
                <w:highlight w:val="none"/>
                <w:lang w:val="en-US" w:eastAsia="zh-CN"/>
                <w14:textFill>
                  <w14:solidFill>
                    <w14:schemeClr w14:val="tx1"/>
                  </w14:solidFill>
                </w14:textFill>
              </w:rPr>
              <w:t>保密制度、防范措施、人员保密教育等</w:t>
            </w:r>
            <w:r>
              <w:rPr>
                <w:rFonts w:hint="eastAsia" w:ascii="宋体" w:hAnsi="宋体" w:eastAsia="宋体" w:cs="宋体"/>
                <w:color w:val="000000" w:themeColor="text1"/>
                <w:highlight w:val="none"/>
                <w14:textFill>
                  <w14:solidFill>
                    <w14:schemeClr w14:val="tx1"/>
                  </w14:solidFill>
                </w14:textFill>
              </w:rPr>
              <w:t>）进行评审：</w:t>
            </w:r>
          </w:p>
          <w:p w14:paraId="17403910">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①保密方案内容完整，保密制度健全，防范措施完善，人员保密教育到位，能严格履行保密责任的得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p w14:paraId="401ED778">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②保密方案内容较为完整，保密制度较为健全，防范措施较完善，人员保密教育基本到位，基本能履行保密责任的得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p>
          <w:p w14:paraId="7A9AFC2C">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③保密方案内容简单笼统，缺乏具体操作细则，保密责任不明确或难以落实的得1分；</w:t>
            </w:r>
          </w:p>
          <w:p w14:paraId="12B8AD84">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④未提供相关内容的不得分。</w:t>
            </w:r>
          </w:p>
        </w:tc>
        <w:tc>
          <w:tcPr>
            <w:tcW w:w="1066" w:type="dxa"/>
            <w:vAlign w:val="center"/>
          </w:tcPr>
          <w:p w14:paraId="6A246097">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主观分</w:t>
            </w:r>
          </w:p>
        </w:tc>
      </w:tr>
      <w:tr w14:paraId="2D13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vAlign w:val="center"/>
          </w:tcPr>
          <w:p w14:paraId="5395D6F9">
            <w:pPr>
              <w:keepNext w:val="0"/>
              <w:keepLines w:val="0"/>
              <w:pageBreakBefore w:val="0"/>
              <w:kinsoku/>
              <w:wordWrap/>
              <w:overflowPunct/>
              <w:topLinePunct w:val="0"/>
              <w:bidi w:val="0"/>
              <w:spacing w:line="24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shd w:val="clear" w:color="auto" w:fill="auto"/>
            <w:vAlign w:val="center"/>
          </w:tcPr>
          <w:p w14:paraId="115F3611">
            <w:pPr>
              <w:widowControl/>
              <w:snapToGrid w:val="0"/>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文档管理方案</w:t>
            </w:r>
            <w:r>
              <w:rPr>
                <w:rFonts w:hint="eastAsia" w:ascii="宋体" w:hAnsi="宋体" w:eastAsia="宋体" w:cs="宋体"/>
                <w:color w:val="000000" w:themeColor="text1"/>
                <w:szCs w:val="21"/>
                <w:highlight w:val="none"/>
                <w14:textFill>
                  <w14:solidFill>
                    <w14:schemeClr w14:val="tx1"/>
                  </w14:solidFill>
                </w14:textFill>
              </w:rPr>
              <w:t>（5分）</w:t>
            </w:r>
          </w:p>
        </w:tc>
        <w:tc>
          <w:tcPr>
            <w:tcW w:w="5925" w:type="dxa"/>
            <w:shd w:val="clear" w:color="auto" w:fill="auto"/>
            <w:vAlign w:val="center"/>
          </w:tcPr>
          <w:p w14:paraId="0BB4C2EA">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w:t>
            </w:r>
            <w:r>
              <w:rPr>
                <w:rFonts w:hint="eastAsia" w:ascii="宋体" w:hAnsi="宋体" w:cs="宋体"/>
                <w:color w:val="000000" w:themeColor="text1"/>
                <w:highlight w:val="none"/>
                <w:lang w:val="en-US" w:eastAsia="zh-CN"/>
                <w14:textFill>
                  <w14:solidFill>
                    <w14:schemeClr w14:val="tx1"/>
                  </w14:solidFill>
                </w14:textFill>
              </w:rPr>
              <w:t>测评过程</w:t>
            </w:r>
            <w:r>
              <w:rPr>
                <w:rFonts w:hint="eastAsia" w:ascii="宋体" w:hAnsi="宋体" w:eastAsia="宋体" w:cs="宋体"/>
                <w:color w:val="000000" w:themeColor="text1"/>
                <w:highlight w:val="none"/>
                <w:lang w:val="en-US" w:eastAsia="zh-CN"/>
                <w14:textFill>
                  <w14:solidFill>
                    <w14:schemeClr w14:val="tx1"/>
                  </w14:solidFill>
                </w14:textFill>
              </w:rPr>
              <w:t>中的</w:t>
            </w:r>
            <w:r>
              <w:rPr>
                <w:rFonts w:hint="eastAsia" w:ascii="宋体" w:hAnsi="宋体" w:eastAsia="宋体" w:cs="宋体"/>
                <w:color w:val="000000" w:themeColor="text1"/>
                <w:highlight w:val="none"/>
                <w14:textFill>
                  <w14:solidFill>
                    <w14:schemeClr w14:val="tx1"/>
                  </w14:solidFill>
                </w14:textFill>
              </w:rPr>
              <w:t>文档管理方案进行评议：</w:t>
            </w:r>
          </w:p>
          <w:p w14:paraId="3F85DFD0">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w:t>
            </w:r>
            <w:r>
              <w:rPr>
                <w:rFonts w:hint="eastAsia" w:ascii="宋体" w:hAnsi="宋体" w:eastAsia="宋体" w:cs="宋体"/>
                <w:color w:val="000000" w:themeColor="text1"/>
                <w:highlight w:val="none"/>
                <w:lang w:val="zh-CN"/>
                <w14:textFill>
                  <w14:solidFill>
                    <w14:schemeClr w14:val="tx1"/>
                  </w14:solidFill>
                </w14:textFill>
              </w:rPr>
              <w:t>方案内容编制全面，能很好契合项目实际情况</w:t>
            </w:r>
            <w:r>
              <w:rPr>
                <w:rFonts w:hint="eastAsia" w:ascii="宋体" w:hAnsi="宋体" w:eastAsia="宋体" w:cs="宋体"/>
                <w:color w:val="000000" w:themeColor="text1"/>
                <w:highlight w:val="none"/>
                <w14:textFill>
                  <w14:solidFill>
                    <w14:schemeClr w14:val="tx1"/>
                  </w14:solidFill>
                </w14:textFill>
              </w:rPr>
              <w:t>的得</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p w14:paraId="4A15A5A0">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w:t>
            </w:r>
            <w:r>
              <w:rPr>
                <w:rFonts w:hint="eastAsia" w:ascii="宋体" w:hAnsi="宋体" w:eastAsia="宋体" w:cs="宋体"/>
                <w:color w:val="000000" w:themeColor="text1"/>
                <w:highlight w:val="none"/>
                <w:lang w:val="zh-CN"/>
                <w14:textFill>
                  <w14:solidFill>
                    <w14:schemeClr w14:val="tx1"/>
                  </w14:solidFill>
                </w14:textFill>
              </w:rPr>
              <w:t>方案内容编制合理、基本契合项目情况，但方案内容操作性一般</w:t>
            </w:r>
            <w:r>
              <w:rPr>
                <w:rFonts w:hint="eastAsia" w:ascii="宋体" w:hAnsi="宋体" w:eastAsia="宋体" w:cs="宋体"/>
                <w:color w:val="000000" w:themeColor="text1"/>
                <w:highlight w:val="none"/>
                <w14:textFill>
                  <w14:solidFill>
                    <w14:schemeClr w14:val="tx1"/>
                  </w14:solidFill>
                </w14:textFill>
              </w:rPr>
              <w:t>的得</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p>
          <w:p w14:paraId="241CFB28">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w:t>
            </w:r>
            <w:r>
              <w:rPr>
                <w:rFonts w:hint="eastAsia" w:ascii="宋体" w:hAnsi="宋体" w:eastAsia="宋体" w:cs="宋体"/>
                <w:color w:val="000000" w:themeColor="text1"/>
                <w:highlight w:val="none"/>
                <w:lang w:val="zh-CN"/>
                <w14:textFill>
                  <w14:solidFill>
                    <w14:schemeClr w14:val="tx1"/>
                  </w14:solidFill>
                </w14:textFill>
              </w:rPr>
              <w:t>方案内容编制存在瑕疵，与项目实际情况存在出入，操作性差</w:t>
            </w:r>
            <w:r>
              <w:rPr>
                <w:rFonts w:hint="eastAsia" w:ascii="宋体" w:hAnsi="宋体" w:eastAsia="宋体" w:cs="宋体"/>
                <w:color w:val="000000" w:themeColor="text1"/>
                <w:highlight w:val="none"/>
                <w14:textFill>
                  <w14:solidFill>
                    <w14:schemeClr w14:val="tx1"/>
                  </w14:solidFill>
                </w14:textFill>
              </w:rPr>
              <w:t>的得1分；</w:t>
            </w:r>
          </w:p>
          <w:p w14:paraId="06E4BE6D">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④未提供相关内容</w:t>
            </w:r>
            <w:r>
              <w:rPr>
                <w:rFonts w:hint="eastAsia" w:ascii="宋体" w:hAnsi="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000000" w:themeColor="text1"/>
                <w:highlight w:val="none"/>
                <w14:textFill>
                  <w14:solidFill>
                    <w14:schemeClr w14:val="tx1"/>
                  </w14:solidFill>
                </w14:textFill>
              </w:rPr>
              <w:t>不得分。</w:t>
            </w:r>
          </w:p>
        </w:tc>
        <w:tc>
          <w:tcPr>
            <w:tcW w:w="1066" w:type="dxa"/>
            <w:vAlign w:val="center"/>
          </w:tcPr>
          <w:p w14:paraId="20EA3F65">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主观分</w:t>
            </w:r>
          </w:p>
        </w:tc>
      </w:tr>
      <w:tr w14:paraId="531A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vAlign w:val="center"/>
          </w:tcPr>
          <w:p w14:paraId="4798990B">
            <w:pPr>
              <w:keepNext w:val="0"/>
              <w:keepLines w:val="0"/>
              <w:pageBreakBefore w:val="0"/>
              <w:kinsoku/>
              <w:wordWrap/>
              <w:overflowPunct/>
              <w:topLinePunct w:val="0"/>
              <w:bidi w:val="0"/>
              <w:spacing w:line="24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vAlign w:val="center"/>
          </w:tcPr>
          <w:p w14:paraId="37871BE7">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技术支持</w:t>
            </w:r>
            <w:r>
              <w:rPr>
                <w:rFonts w:hint="eastAsia" w:ascii="宋体" w:hAnsi="宋体" w:eastAsia="宋体" w:cs="宋体"/>
                <w:color w:val="000000" w:themeColor="text1"/>
                <w:kern w:val="0"/>
                <w:szCs w:val="21"/>
                <w:highlight w:val="none"/>
                <w:lang w:val="en-US" w:eastAsia="zh-CN"/>
                <w14:textFill>
                  <w14:solidFill>
                    <w14:schemeClr w14:val="tx1"/>
                  </w14:solidFill>
                </w14:textFill>
              </w:rPr>
              <w:t>方案</w:t>
            </w:r>
          </w:p>
          <w:p w14:paraId="2A96D658">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分）</w:t>
            </w:r>
          </w:p>
        </w:tc>
        <w:tc>
          <w:tcPr>
            <w:tcW w:w="5925" w:type="dxa"/>
            <w:vAlign w:val="center"/>
          </w:tcPr>
          <w:p w14:paraId="267198B1">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根据投标人提供的</w:t>
            </w:r>
            <w:r>
              <w:rPr>
                <w:rFonts w:hint="eastAsia" w:ascii="宋体" w:hAnsi="宋体" w:eastAsia="宋体" w:cs="宋体"/>
                <w:color w:val="000000" w:themeColor="text1"/>
                <w:highlight w:val="none"/>
                <w:lang w:val="en-US" w:eastAsia="zh-CN"/>
                <w14:textFill>
                  <w14:solidFill>
                    <w14:schemeClr w14:val="tx1"/>
                  </w14:solidFill>
                </w14:textFill>
              </w:rPr>
              <w:t>针对本项目的</w:t>
            </w:r>
            <w:r>
              <w:rPr>
                <w:rFonts w:hint="eastAsia" w:ascii="宋体" w:hAnsi="宋体" w:cs="宋体"/>
                <w:color w:val="000000" w:themeColor="text1"/>
                <w:highlight w:val="none"/>
                <w:lang w:val="en-US" w:eastAsia="zh-CN"/>
                <w14:textFill>
                  <w14:solidFill>
                    <w14:schemeClr w14:val="tx1"/>
                  </w14:solidFill>
                </w14:textFill>
              </w:rPr>
              <w:t>技术支持承诺及</w:t>
            </w:r>
            <w:r>
              <w:rPr>
                <w:rFonts w:hint="eastAsia" w:ascii="宋体" w:hAnsi="宋体" w:eastAsia="宋体" w:cs="宋体"/>
                <w:color w:val="000000" w:themeColor="text1"/>
                <w:highlight w:val="none"/>
                <w14:textFill>
                  <w14:solidFill>
                    <w14:schemeClr w14:val="tx1"/>
                  </w14:solidFill>
                </w14:textFill>
              </w:rPr>
              <w:t>服务响应时间进行评议。</w:t>
            </w:r>
          </w:p>
          <w:p w14:paraId="0CE46349">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①方案详细完善、合理可行的得</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p w14:paraId="52D9587D">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②方案较为完善、基本合理可行但有所欠缺的得</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p>
          <w:p w14:paraId="351B636A">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③方案内容不全、有明显不合理之处的得1分；</w:t>
            </w:r>
          </w:p>
          <w:p w14:paraId="6CE18AAA">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④未提供相关内容不得分。</w:t>
            </w:r>
          </w:p>
        </w:tc>
        <w:tc>
          <w:tcPr>
            <w:tcW w:w="1066" w:type="dxa"/>
            <w:vAlign w:val="center"/>
          </w:tcPr>
          <w:p w14:paraId="1A099211">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主观分</w:t>
            </w:r>
          </w:p>
        </w:tc>
      </w:tr>
      <w:bookmarkEnd w:id="430"/>
    </w:tbl>
    <w:p w14:paraId="13718C54">
      <w:pPr>
        <w:snapToGrid w:val="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备注：（1）投标人编制投标文件（商务技术文件部分）时，建议按此目录（序号和内容）提供评标标准相应的商务技术资料。（2）评委在上表设定的分值范围内打分(四舍五入保留两位小数)，平均分值计算四舍五入保留两位小数点。 </w:t>
      </w:r>
      <w:r>
        <w:rPr>
          <w:rFonts w:hint="eastAsia" w:ascii="宋体" w:hAnsi="宋体" w:cs="宋体"/>
          <w:color w:val="000000" w:themeColor="text1"/>
          <w:szCs w:val="21"/>
          <w:highlight w:val="none"/>
          <w14:textFill>
            <w14:solidFill>
              <w14:schemeClr w14:val="tx1"/>
            </w14:solidFill>
          </w14:textFill>
        </w:rPr>
        <w:t> </w:t>
      </w:r>
    </w:p>
    <w:p w14:paraId="4E3EA4C7">
      <w:pPr>
        <w:rPr>
          <w:rFonts w:ascii="宋体" w:hAnsi="宋体" w:cs="宋体"/>
          <w:b/>
          <w:color w:val="000000" w:themeColor="text1"/>
          <w:sz w:val="24"/>
          <w:highlight w:val="none"/>
          <w14:textFill>
            <w14:solidFill>
              <w14:schemeClr w14:val="tx1"/>
            </w14:solidFill>
          </w14:textFill>
        </w:rPr>
      </w:pPr>
      <w:bookmarkStart w:id="431" w:name="_Toc22860"/>
      <w:r>
        <w:rPr>
          <w:rFonts w:hint="eastAsia" w:ascii="宋体" w:hAnsi="宋体" w:cs="宋体"/>
          <w:b/>
          <w:color w:val="000000" w:themeColor="text1"/>
          <w:sz w:val="24"/>
          <w:highlight w:val="none"/>
          <w14:textFill>
            <w14:solidFill>
              <w14:schemeClr w14:val="tx1"/>
            </w14:solidFill>
          </w14:textFill>
        </w:rPr>
        <w:br w:type="page"/>
      </w:r>
    </w:p>
    <w:p w14:paraId="0AAF4958">
      <w:pPr>
        <w:spacing w:line="360" w:lineRule="auto"/>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一、评标方法</w:t>
      </w:r>
      <w:bookmarkEnd w:id="431"/>
    </w:p>
    <w:p w14:paraId="125277EA">
      <w:pPr>
        <w:adjustRightInd/>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1.本项目采用综合评分法。</w:t>
      </w:r>
      <w:r>
        <w:rPr>
          <w:rFonts w:hint="eastAsia" w:ascii="宋体" w:hAnsi="宋体" w:cs="宋体"/>
          <w:color w:val="000000" w:themeColor="text1"/>
          <w:kern w:val="0"/>
          <w:sz w:val="24"/>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14:paraId="24D7CC5D">
      <w:pPr>
        <w:spacing w:line="360" w:lineRule="auto"/>
        <w:outlineLvl w:val="1"/>
        <w:rPr>
          <w:rFonts w:ascii="宋体" w:hAnsi="宋体" w:cs="宋体"/>
          <w:b/>
          <w:color w:val="000000" w:themeColor="text1"/>
          <w:sz w:val="24"/>
          <w:highlight w:val="none"/>
          <w14:textFill>
            <w14:solidFill>
              <w14:schemeClr w14:val="tx1"/>
            </w14:solidFill>
          </w14:textFill>
        </w:rPr>
      </w:pPr>
      <w:bookmarkStart w:id="432" w:name="_Toc29389"/>
      <w:r>
        <w:rPr>
          <w:rFonts w:hint="eastAsia" w:ascii="宋体" w:hAnsi="宋体" w:cs="宋体"/>
          <w:b/>
          <w:color w:val="000000" w:themeColor="text1"/>
          <w:sz w:val="24"/>
          <w:highlight w:val="none"/>
          <w14:textFill>
            <w14:solidFill>
              <w14:schemeClr w14:val="tx1"/>
            </w14:solidFill>
          </w14:textFill>
        </w:rPr>
        <w:t>二、评标标准</w:t>
      </w:r>
      <w:bookmarkEnd w:id="432"/>
    </w:p>
    <w:p w14:paraId="3AD42BA7">
      <w:pPr>
        <w:spacing w:line="360" w:lineRule="auto"/>
        <w:ind w:firstLine="472" w:firstLineChars="196"/>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评标标准：</w:t>
      </w:r>
      <w:r>
        <w:rPr>
          <w:rFonts w:hint="eastAsia" w:ascii="宋体" w:hAnsi="宋体" w:cs="宋体"/>
          <w:color w:val="000000" w:themeColor="text1"/>
          <w:kern w:val="0"/>
          <w:sz w:val="24"/>
          <w:highlight w:val="none"/>
          <w14:textFill>
            <w14:solidFill>
              <w14:schemeClr w14:val="tx1"/>
            </w14:solidFill>
          </w14:textFill>
        </w:rPr>
        <w:t>见评标办法前附表。</w:t>
      </w:r>
    </w:p>
    <w:p w14:paraId="361CE056">
      <w:pPr>
        <w:spacing w:line="360" w:lineRule="auto"/>
        <w:outlineLvl w:val="1"/>
        <w:rPr>
          <w:rFonts w:ascii="宋体" w:hAnsi="宋体" w:cs="宋体"/>
          <w:b/>
          <w:color w:val="000000" w:themeColor="text1"/>
          <w:sz w:val="24"/>
          <w:highlight w:val="none"/>
          <w14:textFill>
            <w14:solidFill>
              <w14:schemeClr w14:val="tx1"/>
            </w14:solidFill>
          </w14:textFill>
        </w:rPr>
      </w:pPr>
      <w:bookmarkStart w:id="433" w:name="_Toc1306"/>
      <w:r>
        <w:rPr>
          <w:rFonts w:hint="eastAsia" w:ascii="宋体" w:hAnsi="宋体" w:cs="宋体"/>
          <w:b/>
          <w:color w:val="000000" w:themeColor="text1"/>
          <w:sz w:val="24"/>
          <w:highlight w:val="none"/>
          <w14:textFill>
            <w14:solidFill>
              <w14:schemeClr w14:val="tx1"/>
            </w14:solidFill>
          </w14:textFill>
        </w:rPr>
        <w:t>三、评标程序</w:t>
      </w:r>
      <w:bookmarkEnd w:id="433"/>
    </w:p>
    <w:p w14:paraId="2872BB22">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3.1符合性审查。</w:t>
      </w:r>
      <w:r>
        <w:rPr>
          <w:rFonts w:hint="eastAsia" w:ascii="宋体" w:hAnsi="宋体" w:cs="宋体"/>
          <w:color w:val="000000" w:themeColor="text1"/>
          <w:kern w:val="0"/>
          <w:sz w:val="24"/>
          <w:highlight w:val="none"/>
          <w14:textFill>
            <w14:solidFill>
              <w14:schemeClr w14:val="tx1"/>
            </w14:solidFill>
          </w14:textFill>
        </w:rPr>
        <w:t>评标委员会应当对符合资格的投标人的投标文件进行符合性审查，以确定其是否满足招标文件的实质性要求。不满足招标文件的实质性要求的，投标无效。</w:t>
      </w:r>
    </w:p>
    <w:p w14:paraId="2A419F16">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3.2 比较与评价。</w:t>
      </w:r>
      <w:r>
        <w:rPr>
          <w:rFonts w:hint="eastAsia" w:ascii="宋体" w:hAnsi="宋体" w:cs="宋体"/>
          <w:color w:val="000000" w:themeColor="text1"/>
          <w:kern w:val="0"/>
          <w:sz w:val="24"/>
          <w:highlight w:val="none"/>
          <w14:textFill>
            <w14:solidFill>
              <w14:schemeClr w14:val="tx1"/>
            </w14:solidFill>
          </w14:textFill>
        </w:rPr>
        <w:t>评标委员会应当按照招标文件中规定的评标方法和标准，对符合性审查合格的投标文件进行商务和技术评估，综合比较与评价。</w:t>
      </w:r>
    </w:p>
    <w:p w14:paraId="248A1131">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3.3汇总商务技术得分。</w:t>
      </w:r>
      <w:r>
        <w:rPr>
          <w:rFonts w:hint="eastAsia" w:ascii="宋体" w:hAnsi="宋体" w:cs="宋体"/>
          <w:color w:val="000000" w:themeColor="text1"/>
          <w:kern w:val="0"/>
          <w:sz w:val="24"/>
          <w:highlight w:val="none"/>
          <w14:textFill>
            <w14:solidFill>
              <w14:schemeClr w14:val="tx1"/>
            </w14:solidFill>
          </w14:textFill>
        </w:rPr>
        <w:t>评标委员会各成员应当独立对每个投标人的商务和技术文件进行评价，并汇总商务技术得分情况。</w:t>
      </w:r>
    </w:p>
    <w:p w14:paraId="19D7445B">
      <w:pPr>
        <w:spacing w:line="360" w:lineRule="auto"/>
        <w:ind w:firstLine="472" w:firstLineChars="196"/>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3.4报价评审。</w:t>
      </w:r>
    </w:p>
    <w:p w14:paraId="29C9CC34">
      <w:pPr>
        <w:pStyle w:val="133"/>
        <w:spacing w:before="0"/>
        <w:ind w:firstLine="508" w:firstLineChars="212"/>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3.4.1投标文件报价出现前后不一致的，按照下列规定修正：</w:t>
      </w:r>
    </w:p>
    <w:p w14:paraId="22C71ED2">
      <w:pPr>
        <w:pStyle w:val="133"/>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3.4.1.1投标文件中开标一览表(报价表)内容与投标文件中相应内容不一致的，以开标一览表(报价表)为准；</w:t>
      </w:r>
    </w:p>
    <w:p w14:paraId="624C5D6B">
      <w:pPr>
        <w:pStyle w:val="133"/>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3.4.1.2大写金额和小写金额不一致的，以大写金额为准；</w:t>
      </w:r>
    </w:p>
    <w:p w14:paraId="74963F81">
      <w:pPr>
        <w:pStyle w:val="133"/>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3.4.1.3单价金额小数点或者百分比有明显错位的，以开标一览表的总价为准，并修改单价；</w:t>
      </w:r>
    </w:p>
    <w:p w14:paraId="352B963C">
      <w:pPr>
        <w:pStyle w:val="133"/>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3.4.1.4总价金额与按单价汇总金额不一致的，以单价金额计算结果为准。</w:t>
      </w:r>
    </w:p>
    <w:p w14:paraId="36CFFF4B">
      <w:pPr>
        <w:pStyle w:val="133"/>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3.4.1.5同时出现两种以上不一致的，按照3.4.1规定的顺序修正。修正后的报价按照财政部第87号令 《政府采购货物和服务招标投标管理办法》第五十一条第二款的规定经投标人确认后产生约束力。</w:t>
      </w:r>
    </w:p>
    <w:p w14:paraId="1F11EB58">
      <w:pPr>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3.4.2投标文件出现不是唯一的、有选择性投标报价的，投标无效。</w:t>
      </w:r>
    </w:p>
    <w:p w14:paraId="0BC0DF8A">
      <w:pPr>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3.4.3投标报价超过招标文件中规定的预算金额或者最高限价的，投标无效。</w:t>
      </w:r>
    </w:p>
    <w:p w14:paraId="3D0C9CB2">
      <w:pPr>
        <w:snapToGrid w:val="0"/>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3.4.4</w:t>
      </w:r>
      <w:r>
        <w:rPr>
          <w:rFonts w:hint="eastAsia" w:ascii="宋体" w:hAnsi="宋体" w:eastAsia="宋体" w:cs="宋体"/>
          <w:color w:val="000000" w:themeColor="text1"/>
          <w:kern w:val="0"/>
          <w:sz w:val="24"/>
          <w:highlight w:val="none"/>
          <w:lang w:val="en-US" w:eastAsia="zh-CN"/>
          <w14:textFill>
            <w14:solidFill>
              <w14:schemeClr w14:val="tx1"/>
            </w14:solidFill>
          </w14:textFill>
        </w:rPr>
        <w:t>异常低价审查</w:t>
      </w:r>
    </w:p>
    <w:p w14:paraId="46FB43D1">
      <w:pPr>
        <w:snapToGrid w:val="0"/>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3.4.4.1评审中出现下列情形之一的，评标委员会应当启动异常低价投标审查程序：</w:t>
      </w:r>
    </w:p>
    <w:p w14:paraId="5C0E5516">
      <w:pPr>
        <w:snapToGrid w:val="0"/>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（1）投标报价低于全部通过符合性审查供应商投标报价平均值50%的，即投标报价＜全部通过符合性审查供应商投标报价平均值×50%；</w:t>
      </w:r>
    </w:p>
    <w:p w14:paraId="7A3FE11C">
      <w:pPr>
        <w:pStyle w:val="133"/>
        <w:keepNext w:val="0"/>
        <w:keepLines w:val="0"/>
        <w:pageBreakBefore w:val="0"/>
        <w:widowControl w:val="0"/>
        <w:kinsoku/>
        <w:wordWrap/>
        <w:overflowPunct/>
        <w:topLinePunct w:val="0"/>
        <w:autoSpaceDE/>
        <w:autoSpaceDN/>
        <w:bidi w:val="0"/>
        <w:adjustRightInd w:val="0"/>
        <w:snapToGrid/>
        <w:spacing w:before="0"/>
        <w:ind w:firstLine="480"/>
        <w:textAlignment w:val="auto"/>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（2）投标报价低于通过符合性审查的次低报价供应商投标报价50%的，即投标报价＜通过符合性审查的次低报价供应商投标报价×50%；</w:t>
      </w:r>
    </w:p>
    <w:p w14:paraId="5E1A3908">
      <w:pPr>
        <w:pStyle w:val="133"/>
        <w:keepNext w:val="0"/>
        <w:keepLines w:val="0"/>
        <w:pageBreakBefore w:val="0"/>
        <w:widowControl w:val="0"/>
        <w:kinsoku/>
        <w:wordWrap/>
        <w:overflowPunct/>
        <w:topLinePunct w:val="0"/>
        <w:autoSpaceDE/>
        <w:autoSpaceDN/>
        <w:bidi w:val="0"/>
        <w:adjustRightInd w:val="0"/>
        <w:snapToGrid/>
        <w:spacing w:before="0"/>
        <w:ind w:firstLine="480"/>
        <w:textAlignment w:val="auto"/>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（3）投标报价低于采购项目最高限价45%的，即投标报价＜采购项目最高限价×45%；</w:t>
      </w:r>
    </w:p>
    <w:p w14:paraId="7B54BFDA">
      <w:pPr>
        <w:pStyle w:val="133"/>
        <w:keepNext w:val="0"/>
        <w:keepLines w:val="0"/>
        <w:pageBreakBefore w:val="0"/>
        <w:widowControl w:val="0"/>
        <w:kinsoku/>
        <w:wordWrap/>
        <w:overflowPunct/>
        <w:topLinePunct w:val="0"/>
        <w:autoSpaceDE/>
        <w:autoSpaceDN/>
        <w:bidi w:val="0"/>
        <w:adjustRightInd w:val="0"/>
        <w:snapToGrid/>
        <w:spacing w:before="0"/>
        <w:ind w:firstLine="480"/>
        <w:textAlignment w:val="auto"/>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（4）评标委员会基于专业判断，认为供应商报价过低，有可能影响产品质量或者不能诚信履约的其他情形。</w:t>
      </w:r>
    </w:p>
    <w:p w14:paraId="4E2DDCA8">
      <w:pPr>
        <w:pStyle w:val="133"/>
        <w:keepNext w:val="0"/>
        <w:keepLines w:val="0"/>
        <w:pageBreakBefore w:val="0"/>
        <w:widowControl w:val="0"/>
        <w:kinsoku/>
        <w:wordWrap/>
        <w:overflowPunct/>
        <w:topLinePunct w:val="0"/>
        <w:autoSpaceDE/>
        <w:autoSpaceDN/>
        <w:bidi w:val="0"/>
        <w:adjustRightInd w:val="0"/>
        <w:snapToGrid/>
        <w:spacing w:before="0"/>
        <w:ind w:firstLine="480"/>
        <w:textAlignment w:val="auto"/>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相关法律法规对供应商报价有规定的，从其规定。</w:t>
      </w:r>
    </w:p>
    <w:p w14:paraId="1EE2719E">
      <w:pPr>
        <w:pStyle w:val="133"/>
        <w:keepNext w:val="0"/>
        <w:keepLines w:val="0"/>
        <w:pageBreakBefore w:val="0"/>
        <w:widowControl w:val="0"/>
        <w:kinsoku/>
        <w:wordWrap/>
        <w:overflowPunct/>
        <w:topLinePunct w:val="0"/>
        <w:autoSpaceDE/>
        <w:autoSpaceDN/>
        <w:bidi w:val="0"/>
        <w:adjustRightInd w:val="0"/>
        <w:snapToGrid/>
        <w:spacing w:before="0"/>
        <w:ind w:firstLine="480"/>
        <w:textAlignment w:val="auto"/>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3.4.4.2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40BA0FBC">
      <w:pPr>
        <w:pStyle w:val="133"/>
        <w:keepNext w:val="0"/>
        <w:keepLines w:val="0"/>
        <w:pageBreakBefore w:val="0"/>
        <w:widowControl w:val="0"/>
        <w:kinsoku/>
        <w:wordWrap/>
        <w:overflowPunct/>
        <w:topLinePunct w:val="0"/>
        <w:autoSpaceDE/>
        <w:autoSpaceDN/>
        <w:bidi w:val="0"/>
        <w:adjustRightInd w:val="0"/>
        <w:snapToGrid/>
        <w:spacing w:before="0"/>
        <w:ind w:firstLine="480"/>
        <w:textAlignment w:val="auto"/>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04C3D5D7">
      <w:pPr>
        <w:pStyle w:val="133"/>
        <w:keepNext w:val="0"/>
        <w:keepLines w:val="0"/>
        <w:pageBreakBefore w:val="0"/>
        <w:widowControl w:val="0"/>
        <w:kinsoku/>
        <w:wordWrap/>
        <w:overflowPunct/>
        <w:topLinePunct w:val="0"/>
        <w:autoSpaceDE/>
        <w:autoSpaceDN/>
        <w:bidi w:val="0"/>
        <w:adjustRightInd w:val="0"/>
        <w:snapToGrid/>
        <w:spacing w:before="0"/>
        <w:ind w:firstLine="480"/>
        <w:textAlignment w:val="auto"/>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异常低价投标审查的启动原因、审查意见和审查结果应当在评审报告中记录，并随供应商提供的相关书面说明及证明材料，以及评标委员会有关互联网浏览、查询历史一并归档。</w:t>
      </w:r>
    </w:p>
    <w:p w14:paraId="710B900C">
      <w:pPr>
        <w:pStyle w:val="133"/>
        <w:keepNext w:val="0"/>
        <w:keepLines w:val="0"/>
        <w:pageBreakBefore w:val="0"/>
        <w:widowControl w:val="0"/>
        <w:kinsoku/>
        <w:wordWrap/>
        <w:overflowPunct/>
        <w:topLinePunct w:val="0"/>
        <w:autoSpaceDE/>
        <w:autoSpaceDN/>
        <w:bidi w:val="0"/>
        <w:adjustRightInd w:val="0"/>
        <w:snapToGrid/>
        <w:spacing w:before="0"/>
        <w:ind w:firstLine="480"/>
        <w:textAlignment w:val="auto"/>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3.4.5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755F9FB3">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3.5排序与推荐。</w:t>
      </w:r>
      <w:r>
        <w:rPr>
          <w:rFonts w:hint="eastAsia" w:ascii="宋体" w:hAnsi="宋体" w:cs="宋体"/>
          <w:color w:val="000000" w:themeColor="text1"/>
          <w:kern w:val="0"/>
          <w:sz w:val="24"/>
          <w:highlight w:val="none"/>
          <w14:textFill>
            <w14:solidFill>
              <w14:schemeClr w14:val="tx1"/>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r>
        <w:rPr>
          <w:rFonts w:hint="eastAsia" w:ascii="宋体" w:hAnsi="宋体" w:cs="宋体"/>
          <w:b/>
          <w:bCs/>
          <w:color w:val="000000" w:themeColor="text1"/>
          <w:kern w:val="0"/>
          <w:sz w:val="24"/>
          <w:highlight w:val="none"/>
          <w14:textFill>
            <w14:solidFill>
              <w14:schemeClr w14:val="tx1"/>
            </w14:solidFill>
          </w14:textFill>
        </w:rPr>
        <w:t>中标候选人数量：</w:t>
      </w:r>
      <w:r>
        <w:rPr>
          <w:rFonts w:hint="eastAsia" w:ascii="宋体" w:hAnsi="宋体" w:cs="宋体"/>
          <w:color w:val="000000" w:themeColor="text1"/>
          <w:kern w:val="0"/>
          <w:sz w:val="24"/>
          <w:highlight w:val="none"/>
          <w14:textFill>
            <w14:solidFill>
              <w14:schemeClr w14:val="tx1"/>
            </w14:solidFill>
          </w14:textFill>
        </w:rPr>
        <w:t>有效投标供应商数量等于3家时，中标候选人数量为1家；有效投标供应商数量等于4家时，中标候选人数量为2家；有效投标供应商数量大于等于5家时，中标候选人数量为3家。</w:t>
      </w:r>
    </w:p>
    <w:p w14:paraId="23794AEC">
      <w:pPr>
        <w:spacing w:line="360" w:lineRule="auto"/>
        <w:ind w:firstLine="480"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6C0C9F2">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3.6编写评标报告。</w:t>
      </w:r>
      <w:r>
        <w:rPr>
          <w:rFonts w:hint="eastAsia" w:ascii="宋体" w:hAnsi="宋体" w:cs="宋体"/>
          <w:color w:val="000000" w:themeColor="text1"/>
          <w:kern w:val="0"/>
          <w:sz w:val="24"/>
          <w:highlight w:val="none"/>
          <w14:textFill>
            <w14:solidFill>
              <w14:schemeClr w14:val="tx1"/>
            </w14:solidFill>
          </w14:textFill>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5F661AC">
      <w:pPr>
        <w:spacing w:line="360" w:lineRule="auto"/>
        <w:outlineLvl w:val="1"/>
        <w:rPr>
          <w:rFonts w:ascii="宋体" w:hAnsi="宋体" w:cs="宋体"/>
          <w:b/>
          <w:color w:val="000000" w:themeColor="text1"/>
          <w:sz w:val="24"/>
          <w:highlight w:val="none"/>
          <w14:textFill>
            <w14:solidFill>
              <w14:schemeClr w14:val="tx1"/>
            </w14:solidFill>
          </w14:textFill>
        </w:rPr>
      </w:pPr>
      <w:bookmarkStart w:id="434" w:name="_Toc29108"/>
      <w:r>
        <w:rPr>
          <w:rFonts w:hint="eastAsia" w:ascii="宋体" w:hAnsi="宋体" w:cs="宋体"/>
          <w:b/>
          <w:color w:val="000000" w:themeColor="text1"/>
          <w:sz w:val="24"/>
          <w:highlight w:val="none"/>
          <w14:textFill>
            <w14:solidFill>
              <w14:schemeClr w14:val="tx1"/>
            </w14:solidFill>
          </w14:textFill>
        </w:rPr>
        <w:t>四、评标中的其他事项</w:t>
      </w:r>
      <w:bookmarkEnd w:id="434"/>
    </w:p>
    <w:p w14:paraId="2CDD12DA">
      <w:pPr>
        <w:pStyle w:val="133"/>
        <w:spacing w:before="0"/>
        <w:ind w:firstLine="472" w:firstLineChars="196"/>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b/>
          <w:color w:val="000000" w:themeColor="text1"/>
          <w:kern w:val="0"/>
          <w:szCs w:val="24"/>
          <w:highlight w:val="none"/>
          <w14:textFill>
            <w14:solidFill>
              <w14:schemeClr w14:val="tx1"/>
            </w14:solidFill>
          </w14:textFill>
        </w:rPr>
        <w:t>4.1投标人澄清、说明或者补正。</w:t>
      </w:r>
      <w:r>
        <w:rPr>
          <w:rFonts w:hint="eastAsia" w:ascii="宋体" w:hAnsi="宋体" w:cs="宋体"/>
          <w:color w:val="000000" w:themeColor="text1"/>
          <w:kern w:val="0"/>
          <w:szCs w:val="24"/>
          <w:highlight w:val="none"/>
          <w14:textFill>
            <w14:solidFill>
              <w14:schemeClr w14:val="tx1"/>
            </w14:solidFill>
          </w14:textFill>
        </w:rPr>
        <w:t>对于投标文件中含义不明确、同类问题表述不一致或者有明显文字和计算错误的内容需要投标人作出必要的澄清、说明或者补正的，评标委员会和投标人通过电子交易平台交换数据电文，投标人提交使用电子签章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F9D15A2">
      <w:pPr>
        <w:pStyle w:val="24"/>
        <w:spacing w:line="360" w:lineRule="auto"/>
        <w:ind w:left="954" w:leftChars="226" w:hanging="479" w:firstLineChars="0"/>
        <w:rPr>
          <w:rFonts w:cs="宋体"/>
          <w:color w:val="000000" w:themeColor="text1"/>
          <w:szCs w:val="21"/>
          <w:highlight w:val="none"/>
          <w14:textFill>
            <w14:solidFill>
              <w14:schemeClr w14:val="tx1"/>
            </w14:solidFill>
          </w14:textFill>
        </w:rPr>
      </w:pPr>
      <w:r>
        <w:rPr>
          <w:rFonts w:hint="eastAsia" w:cs="宋体"/>
          <w:b/>
          <w:color w:val="000000" w:themeColor="text1"/>
          <w:kern w:val="0"/>
          <w:highlight w:val="none"/>
          <w14:textFill>
            <w14:solidFill>
              <w14:schemeClr w14:val="tx1"/>
            </w14:solidFill>
          </w14:textFill>
        </w:rPr>
        <w:t>4.2投标无效。</w:t>
      </w:r>
      <w:r>
        <w:rPr>
          <w:rFonts w:hint="eastAsia" w:cs="宋体"/>
          <w:color w:val="000000" w:themeColor="text1"/>
          <w:szCs w:val="21"/>
          <w:highlight w:val="none"/>
          <w14:textFill>
            <w14:solidFill>
              <w14:schemeClr w14:val="tx1"/>
            </w14:solidFill>
          </w14:textFill>
        </w:rPr>
        <w:t>有下列情形之一的，投标无效：</w:t>
      </w:r>
    </w:p>
    <w:p w14:paraId="0360C03D">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4.2.1投标人不具备招标文件中规定的资格要求的（投标人未提供有效的资格文件的，视为投标人不具备招标文件中规定的资格要求）；</w:t>
      </w:r>
    </w:p>
    <w:p w14:paraId="24B426E1">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4.2.2投标文件未按照招标文件要求签署、盖章的；</w:t>
      </w:r>
    </w:p>
    <w:p w14:paraId="3D4E4C5C">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4.2.3投标文件含有采购人不能接受的附加条件的；</w:t>
      </w:r>
    </w:p>
    <w:p w14:paraId="179DAACA">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4.2.4投标文件中承诺的投标有效期少于招标文件中载明的投标有效期的；</w:t>
      </w:r>
    </w:p>
    <w:p w14:paraId="376C6595">
      <w:pPr>
        <w:snapToGrid w:val="0"/>
        <w:spacing w:line="360" w:lineRule="auto"/>
        <w:ind w:firstLine="120" w:firstLineChars="5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4.2.5投标文件出现不是唯一的、有选择性投标报价的;</w:t>
      </w:r>
    </w:p>
    <w:p w14:paraId="353F1AA4">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4.2.6投标报价超过招标文件中规定的预算金额或者最高限价的;</w:t>
      </w:r>
    </w:p>
    <w:p w14:paraId="684BF6C3">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4.2.7</w:t>
      </w:r>
      <w:r>
        <w:rPr>
          <w:rFonts w:hint="eastAsia" w:ascii="宋体" w:hAnsi="宋体" w:cs="宋体"/>
          <w:color w:val="000000" w:themeColor="text1"/>
          <w:kern w:val="0"/>
          <w:sz w:val="24"/>
          <w:highlight w:val="none"/>
          <w:lang w:val="en-US" w:eastAsia="zh-CN"/>
          <w14:textFill>
            <w14:solidFill>
              <w14:schemeClr w14:val="tx1"/>
            </w14:solidFill>
          </w14:textFill>
        </w:rPr>
        <w:t>评标委员会启动异常低价投标审查程序后，投标人不能提供书面说明、证明材料，或者提供的书面说明、证明材料不能证明其报价合理性的</w:t>
      </w:r>
      <w:r>
        <w:rPr>
          <w:rFonts w:hint="eastAsia" w:ascii="宋体" w:hAnsi="宋体" w:cs="宋体"/>
          <w:color w:val="000000" w:themeColor="text1"/>
          <w:kern w:val="0"/>
          <w:sz w:val="24"/>
          <w:highlight w:val="none"/>
          <w14:textFill>
            <w14:solidFill>
              <w14:schemeClr w14:val="tx1"/>
            </w14:solidFill>
          </w14:textFill>
        </w:rPr>
        <w:t>;</w:t>
      </w:r>
    </w:p>
    <w:p w14:paraId="072594DE">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4.2.8投标人对根据修正原则修正后的报价不确认的；</w:t>
      </w:r>
    </w:p>
    <w:p w14:paraId="45A796F2">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4.2.9投标人提供虚假材料投标的；</w:t>
      </w:r>
    </w:p>
    <w:p w14:paraId="2CE6ACE1">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4.2.10投标人有恶意串通、妨碍其他投标人的竞争行为、损害采购人或者其他投标人的合法权益情形的；</w:t>
      </w:r>
    </w:p>
    <w:p w14:paraId="21F50463">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4.2.11投标人仅提交备份投标文件，未在电子交易平台传输递交投标文件的，投标无效；</w:t>
      </w:r>
    </w:p>
    <w:p w14:paraId="25D8B017">
      <w:pPr>
        <w:pStyle w:val="4"/>
        <w:ind w:left="862" w:leftChars="205"/>
        <w:rPr>
          <w:rFonts w:ascii="宋体" w:hAnsi="宋体" w:eastAsia="宋体" w:cs="宋体"/>
          <w:b w:val="0"/>
          <w:bCs w:val="0"/>
          <w:color w:val="000000" w:themeColor="text1"/>
          <w:kern w:val="0"/>
          <w:sz w:val="24"/>
          <w:szCs w:val="24"/>
          <w:highlight w:val="none"/>
          <w:lang w:val="en-US"/>
          <w14:textFill>
            <w14:solidFill>
              <w14:schemeClr w14:val="tx1"/>
            </w14:solidFill>
          </w14:textFill>
        </w:rPr>
      </w:pPr>
      <w:bookmarkStart w:id="435" w:name="_Toc16784"/>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4.2.12 投标文件不满足招标文件的其它实质性要求的；</w:t>
      </w:r>
      <w:bookmarkEnd w:id="435"/>
    </w:p>
    <w:p w14:paraId="449497D8">
      <w:pPr>
        <w:numPr>
          <w:ilvl w:val="0"/>
          <w:numId w:val="0"/>
        </w:numPr>
        <w:adjustRightInd/>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4.2.13</w:t>
      </w:r>
      <w:r>
        <w:rPr>
          <w:rFonts w:hint="eastAsia" w:ascii="宋体" w:hAnsi="宋体"/>
          <w:color w:val="000000" w:themeColor="text1"/>
          <w:sz w:val="24"/>
          <w:highlight w:val="none"/>
          <w14:textFill>
            <w14:solidFill>
              <w14:schemeClr w14:val="tx1"/>
            </w14:solidFill>
          </w14:textFill>
        </w:rPr>
        <w:t>参与同一个采购包（标段）的供应商存在下列情形之一且无法合理解释的，其响应文件无效：</w:t>
      </w:r>
    </w:p>
    <w:p w14:paraId="44910856">
      <w:pPr>
        <w:numPr>
          <w:ilvl w:val="0"/>
          <w:numId w:val="0"/>
        </w:numPr>
        <w:adjustRightInd/>
        <w:spacing w:line="360" w:lineRule="auto"/>
        <w:ind w:firstLine="480" w:firstLineChars="200"/>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不同供应商的电子投标（响应）文件上传计算机的网卡MAC地址或硬盘序列号等硬件信息相同的</w:t>
      </w:r>
      <w:r>
        <w:rPr>
          <w:rFonts w:hint="eastAsia" w:ascii="宋体" w:hAnsi="宋体" w:cs="宋体"/>
          <w:color w:val="000000" w:themeColor="text1"/>
          <w:kern w:val="0"/>
          <w:sz w:val="24"/>
          <w:highlight w:val="none"/>
          <w:lang w:eastAsia="zh-CN"/>
          <w14:textFill>
            <w14:solidFill>
              <w14:schemeClr w14:val="tx1"/>
            </w14:solidFill>
          </w14:textFill>
        </w:rPr>
        <w:t>。</w:t>
      </w:r>
    </w:p>
    <w:p w14:paraId="3503CECD">
      <w:pPr>
        <w:numPr>
          <w:ilvl w:val="0"/>
          <w:numId w:val="0"/>
        </w:numPr>
        <w:adjustRightInd/>
        <w:spacing w:line="360" w:lineRule="auto"/>
        <w:ind w:firstLine="480" w:firstLineChars="200"/>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上传的电子投标（响应）文件若出现使用本项目其他投标（响应）供应商的数字证书加密的，或者加盖本项目其他投标（响应）供应商的电子印章的</w:t>
      </w:r>
      <w:r>
        <w:rPr>
          <w:rFonts w:hint="eastAsia" w:ascii="宋体" w:hAnsi="宋体" w:eastAsia="宋体" w:cs="宋体"/>
          <w:color w:val="000000" w:themeColor="text1"/>
          <w:kern w:val="0"/>
          <w:sz w:val="24"/>
          <w:highlight w:val="none"/>
          <w:lang w:eastAsia="zh-CN"/>
          <w14:textFill>
            <w14:solidFill>
              <w14:schemeClr w14:val="tx1"/>
            </w14:solidFill>
          </w14:textFill>
        </w:rPr>
        <w:t>。</w:t>
      </w:r>
    </w:p>
    <w:p w14:paraId="307CAF95">
      <w:pPr>
        <w:numPr>
          <w:ilvl w:val="0"/>
          <w:numId w:val="0"/>
        </w:numPr>
        <w:adjustRightInd/>
        <w:spacing w:line="360" w:lineRule="auto"/>
        <w:ind w:firstLine="480" w:firstLineChars="200"/>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不同供应商的投标（响应）文件的内容存在3处（含）以上错误一致的</w:t>
      </w:r>
      <w:r>
        <w:rPr>
          <w:rFonts w:hint="eastAsia" w:ascii="宋体" w:hAnsi="宋体" w:eastAsia="宋体" w:cs="宋体"/>
          <w:color w:val="000000" w:themeColor="text1"/>
          <w:kern w:val="0"/>
          <w:sz w:val="24"/>
          <w:highlight w:val="none"/>
          <w:lang w:eastAsia="zh-CN"/>
          <w14:textFill>
            <w14:solidFill>
              <w14:schemeClr w14:val="tx1"/>
            </w14:solidFill>
          </w14:textFill>
        </w:rPr>
        <w:t>。</w:t>
      </w:r>
    </w:p>
    <w:p w14:paraId="7CA9247A">
      <w:pPr>
        <w:numPr>
          <w:ilvl w:val="0"/>
          <w:numId w:val="0"/>
        </w:numPr>
        <w:adjustRightInd/>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不同供应商联系人为同一人或不同联系人的联系电话一致的。</w:t>
      </w:r>
    </w:p>
    <w:p w14:paraId="46C650A3">
      <w:pPr>
        <w:spacing w:line="360" w:lineRule="auto"/>
        <w:ind w:firstLine="480" w:firstLineChars="200"/>
        <w:rPr>
          <w:rFonts w:hint="eastAsia" w:eastAsia="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（5）不同供应商在相同Internet主机分配地址（相同IP地址）获取招标文件或网上投标的</w:t>
      </w:r>
      <w:r>
        <w:rPr>
          <w:rFonts w:hint="eastAsia" w:ascii="宋体" w:hAnsi="宋体"/>
          <w:color w:val="000000" w:themeColor="text1"/>
          <w:sz w:val="24"/>
          <w:highlight w:val="none"/>
          <w:lang w:eastAsia="zh-CN"/>
          <w14:textFill>
            <w14:solidFill>
              <w14:schemeClr w14:val="tx1"/>
            </w14:solidFill>
          </w14:textFill>
        </w:rPr>
        <w:t>；</w:t>
      </w:r>
    </w:p>
    <w:p w14:paraId="08B01E47">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4.2.14法律、法规、规章（适用本市的）及省级以上规范性文件（适用本市的）规定的其他无效情形。</w:t>
      </w:r>
    </w:p>
    <w:p w14:paraId="063E8F30">
      <w:pPr>
        <w:pStyle w:val="24"/>
        <w:snapToGrid w:val="0"/>
        <w:spacing w:line="360" w:lineRule="auto"/>
        <w:ind w:firstLine="472" w:firstLineChars="196"/>
        <w:rPr>
          <w:rFonts w:cs="宋体"/>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5.废标。</w:t>
      </w:r>
      <w:r>
        <w:rPr>
          <w:rFonts w:hint="eastAsia" w:cs="宋体"/>
          <w:color w:val="000000" w:themeColor="text1"/>
          <w:highlight w:val="none"/>
          <w14:textFill>
            <w14:solidFill>
              <w14:schemeClr w14:val="tx1"/>
            </w14:solidFill>
          </w14:textFill>
        </w:rPr>
        <w:t>根据《中华人民共和国政府采购法》第三十六条之规定，在采购中，出现下列情形之一的，应予废标：</w:t>
      </w:r>
    </w:p>
    <w:p w14:paraId="6BB0A8E7">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5.1符合专业条件的供应商或者对招标文件作实质响应的供应商不足3家的；</w:t>
      </w:r>
    </w:p>
    <w:p w14:paraId="78E8840E">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5.2出现影响采购公正的违法、违规行为的；</w:t>
      </w:r>
    </w:p>
    <w:p w14:paraId="0CB12E6A">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5.3投标人的报价均超过了采购预算，采购人不能支付的；</w:t>
      </w:r>
    </w:p>
    <w:p w14:paraId="16DE7210">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5.4因重大变故，采购任务取消的。</w:t>
      </w:r>
    </w:p>
    <w:p w14:paraId="79A89CEE">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废标后，采购代理机构应当将废标理由通知所有投标人。</w:t>
      </w:r>
    </w:p>
    <w:p w14:paraId="1277EAA7">
      <w:pPr>
        <w:pStyle w:val="24"/>
        <w:snapToGrid w:val="0"/>
        <w:spacing w:line="360" w:lineRule="auto"/>
        <w:ind w:firstLine="590" w:firstLineChars="245"/>
        <w:rPr>
          <w:rFonts w:cs="宋体"/>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6.修改招标文件，重新组织采购活动。</w:t>
      </w:r>
      <w:r>
        <w:rPr>
          <w:rFonts w:hint="eastAsia" w:cs="宋体"/>
          <w:color w:val="000000" w:themeColor="text1"/>
          <w:highlight w:val="none"/>
          <w14:textFill>
            <w14:solidFill>
              <w14:schemeClr w14:val="tx1"/>
            </w14:solidFill>
          </w14:textFill>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5FB12988">
      <w:pPr>
        <w:pStyle w:val="24"/>
        <w:snapToGrid w:val="0"/>
        <w:spacing w:line="360" w:lineRule="auto"/>
        <w:ind w:firstLine="482"/>
        <w:rPr>
          <w:rFonts w:cs="宋体"/>
          <w:color w:val="000000" w:themeColor="text1"/>
          <w:highlight w:val="none"/>
          <w14:textFill>
            <w14:solidFill>
              <w14:schemeClr w14:val="tx1"/>
            </w14:solidFill>
          </w14:textFill>
        </w:rPr>
      </w:pPr>
      <w:r>
        <w:rPr>
          <w:rFonts w:hint="eastAsia" w:cs="宋体"/>
          <w:b/>
          <w:color w:val="000000" w:themeColor="text1"/>
          <w:kern w:val="0"/>
          <w:highlight w:val="none"/>
          <w14:textFill>
            <w14:solidFill>
              <w14:schemeClr w14:val="tx1"/>
            </w14:solidFill>
          </w14:textFill>
        </w:rPr>
        <w:t>7.重新开展采购。</w:t>
      </w:r>
      <w:r>
        <w:rPr>
          <w:rFonts w:hint="eastAsia" w:cs="宋体"/>
          <w:color w:val="000000" w:themeColor="text1"/>
          <w:highlight w:val="none"/>
          <w14:textFill>
            <w14:solidFill>
              <w14:schemeClr w14:val="tx1"/>
            </w14:solidFill>
          </w14:textFill>
        </w:rPr>
        <w:t>有政府采购法第七十一条、第七十二条规定的违法行为之一，影响或者可能影响中标结果的，依照下列规定处理：</w:t>
      </w:r>
    </w:p>
    <w:p w14:paraId="701AE2B1">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7.1未确定中标供应商的，终止本次政府采购活动，重新开展政府采购活动。</w:t>
      </w:r>
    </w:p>
    <w:p w14:paraId="3CAFD4D9">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7.2已确定中标供应商但尚未签订政府采购合同的，中标结果无效，从合格的中标候选人中另行确定中标供应商；没有合格的中标候选人的，重新开展政府采购活动。</w:t>
      </w:r>
    </w:p>
    <w:p w14:paraId="7AE29686">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7.3政府采购合同已签订但尚未履行的，撤销合同，从合格的中标候选人中另行确定中标供应商；没有合格的中标候选人的，重新开展政府采购活动。</w:t>
      </w:r>
    </w:p>
    <w:p w14:paraId="7ACB1914">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7.4政府采购合同已经履行，给采购人、供应商造成损失的，由责任人承担赔偿责任。</w:t>
      </w:r>
    </w:p>
    <w:p w14:paraId="7DDB4101">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7.5政府采购当事人有其他违反政府采购法或者政府采购法实施条例等法律法规规定的行为，经改正后仍然影响或者可能影响中标结果或者依法被认定为中标无效的，依照7.1-7.4规定处理。</w:t>
      </w:r>
    </w:p>
    <w:bookmarkEnd w:id="62"/>
    <w:p w14:paraId="6B5F1131">
      <w:pPr>
        <w:rPr>
          <w:color w:val="000000" w:themeColor="text1"/>
          <w:highlight w:val="none"/>
          <w14:textFill>
            <w14:solidFill>
              <w14:schemeClr w14:val="tx1"/>
            </w14:solidFill>
          </w14:textFill>
        </w:rPr>
      </w:pPr>
      <w:bookmarkStart w:id="436" w:name="第五部分"/>
      <w:bookmarkStart w:id="437" w:name="_Toc86217003"/>
      <w:r>
        <w:rPr>
          <w:color w:val="000000" w:themeColor="text1"/>
          <w:highlight w:val="none"/>
          <w14:textFill>
            <w14:solidFill>
              <w14:schemeClr w14:val="tx1"/>
            </w14:solidFill>
          </w14:textFill>
        </w:rPr>
        <w:br w:type="page"/>
      </w:r>
    </w:p>
    <w:p w14:paraId="1184A828">
      <w:pPr>
        <w:numPr>
          <w:ilvl w:val="0"/>
          <w:numId w:val="5"/>
        </w:numPr>
        <w:spacing w:line="360" w:lineRule="auto"/>
        <w:jc w:val="center"/>
        <w:outlineLvl w:val="0"/>
        <w:rPr>
          <w:rFonts w:ascii="宋体" w:hAnsi="宋体" w:cs="宋体"/>
          <w:b/>
          <w:color w:val="000000" w:themeColor="text1"/>
          <w:sz w:val="36"/>
          <w:szCs w:val="36"/>
          <w:highlight w:val="none"/>
          <w14:textFill>
            <w14:solidFill>
              <w14:schemeClr w14:val="tx1"/>
            </w14:solidFill>
          </w14:textFill>
        </w:rPr>
      </w:pPr>
      <w:bookmarkStart w:id="438" w:name="_Toc20593"/>
      <w:bookmarkStart w:id="439" w:name="_Toc12957"/>
      <w:r>
        <w:rPr>
          <w:rFonts w:hint="eastAsia" w:ascii="宋体" w:hAnsi="宋体" w:cs="宋体"/>
          <w:b/>
          <w:color w:val="000000" w:themeColor="text1"/>
          <w:sz w:val="36"/>
          <w:szCs w:val="36"/>
          <w:highlight w:val="none"/>
          <w14:textFill>
            <w14:solidFill>
              <w14:schemeClr w14:val="tx1"/>
            </w14:solidFill>
          </w14:textFill>
        </w:rPr>
        <w:t>拟签订的合同文本</w:t>
      </w:r>
      <w:bookmarkEnd w:id="438"/>
      <w:bookmarkEnd w:id="439"/>
    </w:p>
    <w:p w14:paraId="5B2D5BF4">
      <w:pPr>
        <w:spacing w:line="360" w:lineRule="exact"/>
        <w:ind w:right="23" w:firstLine="708" w:firstLineChars="196"/>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pacing w:val="20"/>
          <w:sz w:val="32"/>
          <w:highlight w:val="none"/>
          <w:lang w:val="en-US" w:eastAsia="zh-CN"/>
          <w14:textFill>
            <w14:solidFill>
              <w14:schemeClr w14:val="tx1"/>
            </w14:solidFill>
          </w14:textFill>
        </w:rPr>
        <w:t>政府</w:t>
      </w:r>
      <w:r>
        <w:rPr>
          <w:rFonts w:hint="eastAsia" w:ascii="宋体" w:hAnsi="宋体" w:eastAsia="宋体" w:cs="宋体"/>
          <w:b/>
          <w:color w:val="000000" w:themeColor="text1"/>
          <w:spacing w:val="20"/>
          <w:sz w:val="32"/>
          <w:highlight w:val="none"/>
          <w14:textFill>
            <w14:solidFill>
              <w14:schemeClr w14:val="tx1"/>
            </w14:solidFill>
          </w14:textFill>
        </w:rPr>
        <w:t>采购合同</w:t>
      </w:r>
    </w:p>
    <w:tbl>
      <w:tblPr>
        <w:tblStyle w:val="65"/>
        <w:tblW w:w="8829" w:type="dxa"/>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456"/>
        <w:gridCol w:w="1364"/>
        <w:gridCol w:w="2313"/>
      </w:tblGrid>
      <w:tr w14:paraId="4A8F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nil"/>
              <w:left w:val="nil"/>
              <w:bottom w:val="nil"/>
              <w:right w:val="nil"/>
            </w:tcBorders>
            <w:noWrap w:val="0"/>
            <w:vAlign w:val="center"/>
          </w:tcPr>
          <w:p w14:paraId="3C7ECE2E">
            <w:pPr>
              <w:keepNext w:val="0"/>
              <w:keepLines w:val="0"/>
              <w:pageBreakBefore w:val="0"/>
              <w:widowControl w:val="0"/>
              <w:kinsoku/>
              <w:wordWrap/>
              <w:overflowPunct/>
              <w:topLinePunct w:val="0"/>
              <w:autoSpaceDE/>
              <w:autoSpaceDN/>
              <w:bidi w:val="0"/>
              <w:adjustRightInd/>
              <w:snapToGrid/>
              <w:spacing w:line="520" w:lineRule="exact"/>
              <w:ind w:left="-357" w:leftChars="-170" w:firstLine="358" w:firstLineChars="170"/>
              <w:jc w:val="lef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需方（甲方）：</w:t>
            </w:r>
          </w:p>
        </w:tc>
        <w:tc>
          <w:tcPr>
            <w:tcW w:w="3456" w:type="dxa"/>
            <w:tcBorders>
              <w:top w:val="nil"/>
              <w:left w:val="nil"/>
              <w:bottom w:val="nil"/>
              <w:right w:val="nil"/>
            </w:tcBorders>
            <w:noWrap w:val="0"/>
            <w:vAlign w:val="center"/>
          </w:tcPr>
          <w:p w14:paraId="091FFD22">
            <w:pPr>
              <w:keepNext w:val="0"/>
              <w:keepLines w:val="0"/>
              <w:pageBreakBefore w:val="0"/>
              <w:widowControl w:val="0"/>
              <w:kinsoku/>
              <w:wordWrap/>
              <w:overflowPunct/>
              <w:topLinePunct w:val="0"/>
              <w:autoSpaceDE/>
              <w:autoSpaceDN/>
              <w:bidi w:val="0"/>
              <w:adjustRightInd/>
              <w:snapToGrid/>
              <w:spacing w:line="520" w:lineRule="exact"/>
              <w:ind w:left="-357" w:leftChars="-170" w:firstLine="358" w:firstLineChars="170"/>
              <w:jc w:val="lef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u w:val="single"/>
                <w:lang w:val="en-US" w:eastAsia="zh-CN"/>
                <w14:textFill>
                  <w14:solidFill>
                    <w14:schemeClr w14:val="tx1"/>
                  </w14:solidFill>
                </w14:textFill>
              </w:rPr>
              <w:t xml:space="preserve">宁波市北仑区人民医院        </w:t>
            </w:r>
          </w:p>
        </w:tc>
        <w:tc>
          <w:tcPr>
            <w:tcW w:w="1364" w:type="dxa"/>
            <w:tcBorders>
              <w:top w:val="nil"/>
              <w:left w:val="nil"/>
              <w:bottom w:val="nil"/>
              <w:right w:val="nil"/>
            </w:tcBorders>
            <w:noWrap w:val="0"/>
            <w:vAlign w:val="center"/>
          </w:tcPr>
          <w:p w14:paraId="50021395">
            <w:pPr>
              <w:keepNext w:val="0"/>
              <w:keepLines w:val="0"/>
              <w:pageBreakBefore w:val="0"/>
              <w:widowControl w:val="0"/>
              <w:kinsoku/>
              <w:wordWrap/>
              <w:overflowPunct/>
              <w:topLinePunct w:val="0"/>
              <w:autoSpaceDE/>
              <w:autoSpaceDN/>
              <w:bidi w:val="0"/>
              <w:adjustRightInd/>
              <w:snapToGrid/>
              <w:spacing w:line="520" w:lineRule="exact"/>
              <w:ind w:left="-357" w:leftChars="-170" w:firstLine="358" w:firstLineChars="170"/>
              <w:jc w:val="lef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合同编号：</w:t>
            </w:r>
          </w:p>
        </w:tc>
        <w:tc>
          <w:tcPr>
            <w:tcW w:w="2313" w:type="dxa"/>
            <w:tcBorders>
              <w:top w:val="nil"/>
              <w:left w:val="nil"/>
              <w:bottom w:val="nil"/>
              <w:right w:val="nil"/>
            </w:tcBorders>
            <w:noWrap w:val="0"/>
            <w:vAlign w:val="center"/>
          </w:tcPr>
          <w:p w14:paraId="4EE5F6F8">
            <w:pPr>
              <w:keepNext w:val="0"/>
              <w:keepLines w:val="0"/>
              <w:pageBreakBefore w:val="0"/>
              <w:widowControl w:val="0"/>
              <w:kinsoku/>
              <w:wordWrap/>
              <w:overflowPunct/>
              <w:topLinePunct w:val="0"/>
              <w:autoSpaceDE/>
              <w:autoSpaceDN/>
              <w:bidi w:val="0"/>
              <w:adjustRightInd/>
              <w:snapToGrid/>
              <w:spacing w:line="520" w:lineRule="exact"/>
              <w:ind w:left="-357" w:leftChars="-170" w:firstLine="358" w:firstLineChars="170"/>
              <w:jc w:val="both"/>
              <w:textAlignment w:val="auto"/>
              <w:rPr>
                <w:rFonts w:hint="eastAsia" w:ascii="宋体" w:hAnsi="宋体" w:eastAsia="宋体" w:cs="宋体"/>
                <w:b/>
                <w:bCs/>
                <w:color w:val="000000" w:themeColor="text1"/>
                <w:highlight w:val="none"/>
                <w:u w:val="single"/>
                <w:lang w:val="en-US" w:eastAsia="zh-CN"/>
                <w14:textFill>
                  <w14:solidFill>
                    <w14:schemeClr w14:val="tx1"/>
                  </w14:solidFill>
                </w14:textFill>
              </w:rPr>
            </w:pPr>
            <w:r>
              <w:rPr>
                <w:rFonts w:hint="eastAsia" w:ascii="宋体" w:hAnsi="宋体" w:eastAsia="宋体" w:cs="宋体"/>
                <w:b/>
                <w:bCs/>
                <w:color w:val="000000" w:themeColor="text1"/>
                <w:highlight w:val="none"/>
                <w:u w:val="single"/>
                <w:lang w:val="en-US" w:eastAsia="zh-CN"/>
                <w14:textFill>
                  <w14:solidFill>
                    <w14:schemeClr w14:val="tx1"/>
                  </w14:solidFill>
                </w14:textFill>
              </w:rPr>
              <w:t xml:space="preserve">                        </w:t>
            </w:r>
          </w:p>
        </w:tc>
      </w:tr>
      <w:tr w14:paraId="566A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96" w:type="dxa"/>
            <w:tcBorders>
              <w:top w:val="nil"/>
              <w:left w:val="nil"/>
              <w:bottom w:val="nil"/>
              <w:right w:val="nil"/>
            </w:tcBorders>
            <w:noWrap w:val="0"/>
            <w:vAlign w:val="center"/>
          </w:tcPr>
          <w:p w14:paraId="085DB11F">
            <w:pPr>
              <w:keepNext w:val="0"/>
              <w:keepLines w:val="0"/>
              <w:pageBreakBefore w:val="0"/>
              <w:widowControl w:val="0"/>
              <w:kinsoku/>
              <w:wordWrap/>
              <w:overflowPunct/>
              <w:topLinePunct w:val="0"/>
              <w:autoSpaceDE/>
              <w:autoSpaceDN/>
              <w:bidi w:val="0"/>
              <w:adjustRightInd/>
              <w:snapToGrid/>
              <w:spacing w:line="400" w:lineRule="exact"/>
              <w:ind w:left="-357" w:leftChars="-170" w:firstLine="358" w:firstLineChars="170"/>
              <w:jc w:val="both"/>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供方（乙方）：</w:t>
            </w:r>
          </w:p>
        </w:tc>
        <w:tc>
          <w:tcPr>
            <w:tcW w:w="3456" w:type="dxa"/>
            <w:tcBorders>
              <w:top w:val="nil"/>
              <w:left w:val="nil"/>
              <w:bottom w:val="nil"/>
              <w:right w:val="nil"/>
            </w:tcBorders>
            <w:noWrap w:val="0"/>
            <w:vAlign w:val="center"/>
          </w:tcPr>
          <w:p w14:paraId="746365F7">
            <w:pPr>
              <w:keepNext w:val="0"/>
              <w:keepLines w:val="0"/>
              <w:pageBreakBefore w:val="0"/>
              <w:widowControl w:val="0"/>
              <w:kinsoku/>
              <w:wordWrap/>
              <w:overflowPunct/>
              <w:topLinePunct w:val="0"/>
              <w:autoSpaceDE/>
              <w:autoSpaceDN/>
              <w:bidi w:val="0"/>
              <w:adjustRightInd/>
              <w:snapToGrid/>
              <w:spacing w:line="400" w:lineRule="exact"/>
              <w:ind w:left="-357" w:leftChars="-170" w:firstLine="358" w:firstLineChars="170"/>
              <w:jc w:val="both"/>
              <w:textAlignment w:val="auto"/>
              <w:rPr>
                <w:rFonts w:hint="eastAsia" w:ascii="宋体" w:hAnsi="宋体" w:eastAsia="宋体" w:cs="宋体"/>
                <w:b/>
                <w:bCs/>
                <w:color w:val="000000" w:themeColor="text1"/>
                <w:highlight w:val="none"/>
                <w:u w:val="single"/>
                <w:lang w:val="en-US" w:eastAsia="zh-CN"/>
                <w14:textFill>
                  <w14:solidFill>
                    <w14:schemeClr w14:val="tx1"/>
                  </w14:solidFill>
                </w14:textFill>
              </w:rPr>
            </w:pPr>
            <w:r>
              <w:rPr>
                <w:rFonts w:hint="eastAsia" w:ascii="宋体" w:hAnsi="宋体" w:eastAsia="宋体" w:cs="宋体"/>
                <w:b/>
                <w:bCs/>
                <w:color w:val="000000" w:themeColor="text1"/>
                <w:highlight w:val="none"/>
                <w:u w:val="single"/>
                <w:lang w:val="en-US" w:eastAsia="zh-CN"/>
                <w14:textFill>
                  <w14:solidFill>
                    <w14:schemeClr w14:val="tx1"/>
                  </w14:solidFill>
                </w14:textFill>
              </w:rPr>
              <w:t xml:space="preserve">                             </w:t>
            </w:r>
          </w:p>
        </w:tc>
        <w:tc>
          <w:tcPr>
            <w:tcW w:w="1364" w:type="dxa"/>
            <w:tcBorders>
              <w:top w:val="nil"/>
              <w:left w:val="nil"/>
              <w:bottom w:val="nil"/>
              <w:right w:val="nil"/>
            </w:tcBorders>
            <w:noWrap w:val="0"/>
            <w:vAlign w:val="center"/>
          </w:tcPr>
          <w:p w14:paraId="361CF048">
            <w:pPr>
              <w:keepNext w:val="0"/>
              <w:keepLines w:val="0"/>
              <w:pageBreakBefore w:val="0"/>
              <w:widowControl w:val="0"/>
              <w:kinsoku/>
              <w:wordWrap/>
              <w:overflowPunct/>
              <w:topLinePunct w:val="0"/>
              <w:autoSpaceDE/>
              <w:autoSpaceDN/>
              <w:bidi w:val="0"/>
              <w:adjustRightInd/>
              <w:snapToGrid/>
              <w:spacing w:line="400" w:lineRule="exact"/>
              <w:ind w:left="-357" w:leftChars="-170" w:firstLine="358" w:firstLineChars="170"/>
              <w:jc w:val="lef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签约地点：</w:t>
            </w:r>
          </w:p>
        </w:tc>
        <w:tc>
          <w:tcPr>
            <w:tcW w:w="2313" w:type="dxa"/>
            <w:tcBorders>
              <w:top w:val="nil"/>
              <w:left w:val="nil"/>
              <w:bottom w:val="nil"/>
              <w:right w:val="nil"/>
            </w:tcBorders>
            <w:noWrap w:val="0"/>
            <w:vAlign w:val="center"/>
          </w:tcPr>
          <w:p w14:paraId="2556E499">
            <w:pPr>
              <w:keepNext w:val="0"/>
              <w:keepLines w:val="0"/>
              <w:pageBreakBefore w:val="0"/>
              <w:widowControl w:val="0"/>
              <w:kinsoku/>
              <w:wordWrap/>
              <w:overflowPunct/>
              <w:topLinePunct w:val="0"/>
              <w:autoSpaceDE/>
              <w:autoSpaceDN/>
              <w:bidi w:val="0"/>
              <w:adjustRightInd/>
              <w:snapToGrid/>
              <w:spacing w:line="400" w:lineRule="exact"/>
              <w:ind w:left="-357" w:leftChars="-170" w:firstLine="358" w:firstLineChars="170"/>
              <w:jc w:val="both"/>
              <w:textAlignment w:val="auto"/>
              <w:rPr>
                <w:rFonts w:hint="eastAsia" w:ascii="宋体" w:hAnsi="宋体" w:eastAsia="宋体" w:cs="宋体"/>
                <w:b/>
                <w:bCs/>
                <w:color w:val="000000" w:themeColor="text1"/>
                <w:highlight w:val="none"/>
                <w:u w:val="single"/>
                <w:lang w:val="en-US" w:eastAsia="zh-CN"/>
                <w14:textFill>
                  <w14:solidFill>
                    <w14:schemeClr w14:val="tx1"/>
                  </w14:solidFill>
                </w14:textFill>
              </w:rPr>
            </w:pPr>
            <w:r>
              <w:rPr>
                <w:rFonts w:hint="eastAsia" w:ascii="宋体" w:hAnsi="宋体" w:eastAsia="宋体" w:cs="宋体"/>
                <w:b/>
                <w:bCs/>
                <w:color w:val="000000" w:themeColor="text1"/>
                <w:highlight w:val="none"/>
                <w:u w:val="single"/>
                <w:lang w:val="en-US" w:eastAsia="zh-CN"/>
                <w14:textFill>
                  <w14:solidFill>
                    <w14:schemeClr w14:val="tx1"/>
                  </w14:solidFill>
                </w14:textFill>
              </w:rPr>
              <w:t xml:space="preserve">                       </w:t>
            </w:r>
          </w:p>
        </w:tc>
      </w:tr>
      <w:tr w14:paraId="470A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96" w:type="dxa"/>
            <w:tcBorders>
              <w:top w:val="nil"/>
              <w:left w:val="nil"/>
              <w:bottom w:val="nil"/>
              <w:right w:val="nil"/>
            </w:tcBorders>
            <w:noWrap w:val="0"/>
            <w:vAlign w:val="center"/>
          </w:tcPr>
          <w:p w14:paraId="0231019C">
            <w:pPr>
              <w:keepNext w:val="0"/>
              <w:keepLines w:val="0"/>
              <w:pageBreakBefore w:val="0"/>
              <w:widowControl w:val="0"/>
              <w:kinsoku/>
              <w:wordWrap/>
              <w:overflowPunct/>
              <w:topLinePunct w:val="0"/>
              <w:autoSpaceDE/>
              <w:autoSpaceDN/>
              <w:bidi w:val="0"/>
              <w:adjustRightInd/>
              <w:snapToGrid/>
              <w:spacing w:line="400" w:lineRule="exact"/>
              <w:ind w:left="-357" w:leftChars="-170" w:firstLine="358" w:firstLineChars="170"/>
              <w:jc w:val="both"/>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出资人（丙方）：</w:t>
            </w:r>
          </w:p>
        </w:tc>
        <w:tc>
          <w:tcPr>
            <w:tcW w:w="3456" w:type="dxa"/>
            <w:tcBorders>
              <w:top w:val="nil"/>
              <w:left w:val="nil"/>
              <w:bottom w:val="nil"/>
              <w:right w:val="nil"/>
            </w:tcBorders>
            <w:noWrap w:val="0"/>
            <w:vAlign w:val="center"/>
          </w:tcPr>
          <w:p w14:paraId="79507DFC">
            <w:pPr>
              <w:keepNext w:val="0"/>
              <w:keepLines w:val="0"/>
              <w:pageBreakBefore w:val="0"/>
              <w:widowControl w:val="0"/>
              <w:kinsoku/>
              <w:wordWrap/>
              <w:overflowPunct/>
              <w:topLinePunct w:val="0"/>
              <w:autoSpaceDE/>
              <w:autoSpaceDN/>
              <w:bidi w:val="0"/>
              <w:adjustRightInd/>
              <w:snapToGrid/>
              <w:spacing w:line="400" w:lineRule="exact"/>
              <w:ind w:left="-357" w:leftChars="-170" w:firstLine="358" w:firstLineChars="170"/>
              <w:jc w:val="both"/>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u w:val="single"/>
                <w:lang w:val="en-US" w:eastAsia="zh-CN"/>
                <w14:textFill>
                  <w14:solidFill>
                    <w14:schemeClr w14:val="tx1"/>
                  </w14:solidFill>
                </w14:textFill>
              </w:rPr>
              <w:t xml:space="preserve">宁波市仑开投资有限公司        </w:t>
            </w:r>
          </w:p>
        </w:tc>
        <w:tc>
          <w:tcPr>
            <w:tcW w:w="1364" w:type="dxa"/>
            <w:tcBorders>
              <w:top w:val="nil"/>
              <w:left w:val="nil"/>
              <w:bottom w:val="nil"/>
              <w:right w:val="nil"/>
            </w:tcBorders>
            <w:noWrap w:val="0"/>
            <w:vAlign w:val="center"/>
          </w:tcPr>
          <w:p w14:paraId="0877AD12">
            <w:pPr>
              <w:keepNext w:val="0"/>
              <w:keepLines w:val="0"/>
              <w:pageBreakBefore w:val="0"/>
              <w:widowControl w:val="0"/>
              <w:kinsoku/>
              <w:wordWrap/>
              <w:overflowPunct/>
              <w:topLinePunct w:val="0"/>
              <w:autoSpaceDE/>
              <w:autoSpaceDN/>
              <w:bidi w:val="0"/>
              <w:adjustRightInd/>
              <w:snapToGrid/>
              <w:spacing w:line="400" w:lineRule="exact"/>
              <w:ind w:left="-357" w:leftChars="-170" w:firstLine="780" w:firstLineChars="370"/>
              <w:jc w:val="lef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p>
        </w:tc>
        <w:tc>
          <w:tcPr>
            <w:tcW w:w="2313" w:type="dxa"/>
            <w:tcBorders>
              <w:top w:val="nil"/>
              <w:left w:val="nil"/>
              <w:bottom w:val="nil"/>
              <w:right w:val="nil"/>
            </w:tcBorders>
            <w:noWrap w:val="0"/>
            <w:vAlign w:val="center"/>
          </w:tcPr>
          <w:p w14:paraId="7BDE9BC0">
            <w:pPr>
              <w:keepNext w:val="0"/>
              <w:keepLines w:val="0"/>
              <w:pageBreakBefore w:val="0"/>
              <w:widowControl w:val="0"/>
              <w:kinsoku/>
              <w:wordWrap/>
              <w:overflowPunct/>
              <w:topLinePunct w:val="0"/>
              <w:autoSpaceDE/>
              <w:autoSpaceDN/>
              <w:bidi w:val="0"/>
              <w:adjustRightInd/>
              <w:snapToGrid/>
              <w:spacing w:line="400" w:lineRule="exact"/>
              <w:ind w:left="-357" w:leftChars="-170" w:firstLine="358" w:firstLineChars="170"/>
              <w:jc w:val="both"/>
              <w:textAlignment w:val="auto"/>
              <w:rPr>
                <w:rFonts w:hint="eastAsia" w:ascii="宋体" w:hAnsi="宋体" w:eastAsia="宋体" w:cs="宋体"/>
                <w:b/>
                <w:bCs/>
                <w:color w:val="000000" w:themeColor="text1"/>
                <w:highlight w:val="none"/>
                <w:u w:val="single"/>
                <w:lang w:val="en-US" w:eastAsia="zh-CN"/>
                <w14:textFill>
                  <w14:solidFill>
                    <w14:schemeClr w14:val="tx1"/>
                  </w14:solidFill>
                </w14:textFill>
              </w:rPr>
            </w:pPr>
          </w:p>
        </w:tc>
      </w:tr>
    </w:tbl>
    <w:p w14:paraId="2814CD53">
      <w:pPr>
        <w:adjustRightInd w:val="0"/>
        <w:snapToGrid w:val="0"/>
        <w:spacing w:before="0" w:beforeLines="0"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依据《中华人民共和国民法典》</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《中华人民共和国政府采购法》等有关的法律法规，以及</w:t>
      </w:r>
      <w:r>
        <w:rPr>
          <w:rFonts w:hint="eastAsia" w:ascii="宋体" w:hAnsi="宋体" w:eastAsia="宋体" w:cs="宋体"/>
          <w:i w:val="0"/>
          <w:iCs w:val="0"/>
          <w:color w:val="000000" w:themeColor="text1"/>
          <w:szCs w:val="21"/>
          <w:highlight w:val="none"/>
          <w:u w:val="none"/>
          <w:lang w:eastAsia="zh-CN"/>
          <w14:textFill>
            <w14:solidFill>
              <w14:schemeClr w14:val="tx1"/>
            </w14:solidFill>
          </w14:textFill>
        </w:rPr>
        <w:t>本采购项目</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招标</w:t>
      </w:r>
      <w:r>
        <w:rPr>
          <w:rFonts w:hint="eastAsia" w:ascii="宋体" w:hAnsi="宋体" w:eastAsia="宋体" w:cs="宋体"/>
          <w:color w:val="000000" w:themeColor="text1"/>
          <w:szCs w:val="21"/>
          <w:highlight w:val="none"/>
          <w:lang w:val="en-US" w:eastAsia="zh-CN"/>
          <w14:textFill>
            <w14:solidFill>
              <w14:schemeClr w14:val="tx1"/>
            </w14:solidFill>
          </w14:textFill>
        </w:rPr>
        <w:t>/谈判</w:t>
      </w:r>
      <w:r>
        <w:rPr>
          <w:rFonts w:hint="eastAsia" w:ascii="宋体" w:hAnsi="宋体" w:eastAsia="宋体" w:cs="宋体"/>
          <w:color w:val="000000" w:themeColor="text1"/>
          <w:szCs w:val="21"/>
          <w:highlight w:val="none"/>
          <w:lang w:eastAsia="zh-CN"/>
          <w14:textFill>
            <w14:solidFill>
              <w14:schemeClr w14:val="tx1"/>
            </w14:solidFill>
          </w14:textFill>
        </w:rPr>
        <w:t>文件等</w:t>
      </w:r>
      <w:r>
        <w:rPr>
          <w:rFonts w:hint="eastAsia" w:ascii="宋体" w:hAnsi="宋体" w:eastAsia="宋体" w:cs="宋体"/>
          <w:color w:val="000000" w:themeColor="text1"/>
          <w:szCs w:val="21"/>
          <w:highlight w:val="none"/>
          <w14:textFill>
            <w14:solidFill>
              <w14:schemeClr w14:val="tx1"/>
            </w14:solidFill>
          </w14:textFill>
        </w:rPr>
        <w:t>采购文件</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乙方的《投标（响应）文件》及《中标（成交）通知书》，甲</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丙三</w:t>
      </w:r>
      <w:r>
        <w:rPr>
          <w:rFonts w:hint="eastAsia" w:ascii="宋体" w:hAnsi="宋体" w:eastAsia="宋体" w:cs="宋体"/>
          <w:color w:val="000000" w:themeColor="text1"/>
          <w:szCs w:val="21"/>
          <w:highlight w:val="none"/>
          <w14:textFill>
            <w14:solidFill>
              <w14:schemeClr w14:val="tx1"/>
            </w14:solidFill>
          </w14:textFill>
        </w:rPr>
        <w:t>方同意签订本合同。本</w:t>
      </w:r>
      <w:r>
        <w:rPr>
          <w:rFonts w:hint="eastAsia" w:ascii="宋体" w:hAnsi="宋体" w:eastAsia="宋体" w:cs="宋体"/>
          <w:color w:val="000000" w:themeColor="text1"/>
          <w:szCs w:val="21"/>
          <w:highlight w:val="none"/>
          <w:lang w:val="en-US" w:eastAsia="zh-CN"/>
          <w14:textFill>
            <w14:solidFill>
              <w14:schemeClr w14:val="tx1"/>
            </w14:solidFill>
          </w14:textFill>
        </w:rPr>
        <w:t>合同</w:t>
      </w:r>
      <w:r>
        <w:rPr>
          <w:rFonts w:hint="eastAsia" w:ascii="宋体" w:hAnsi="宋体" w:eastAsia="宋体" w:cs="宋体"/>
          <w:color w:val="000000" w:themeColor="text1"/>
          <w:szCs w:val="21"/>
          <w:highlight w:val="none"/>
          <w14:textFill>
            <w14:solidFill>
              <w14:schemeClr w14:val="tx1"/>
            </w14:solidFill>
          </w14:textFill>
        </w:rPr>
        <w:t>协议书与下列文件一起构成合同文件，如下述文件之间有任何抵触、矛盾或歧义，</w:t>
      </w:r>
      <w:r>
        <w:rPr>
          <w:rFonts w:hint="eastAsia" w:ascii="宋体" w:hAnsi="宋体" w:eastAsia="宋体" w:cs="宋体"/>
          <w:color w:val="000000" w:themeColor="text1"/>
          <w:szCs w:val="21"/>
          <w:highlight w:val="none"/>
          <w:lang w:val="en-US" w:eastAsia="zh-CN"/>
          <w14:textFill>
            <w14:solidFill>
              <w14:schemeClr w14:val="tx1"/>
            </w14:solidFill>
          </w14:textFill>
        </w:rPr>
        <w:t>除合同另有规定外，</w:t>
      </w:r>
      <w:r>
        <w:rPr>
          <w:rFonts w:hint="eastAsia" w:ascii="宋体" w:hAnsi="宋体" w:eastAsia="宋体" w:cs="宋体"/>
          <w:color w:val="000000" w:themeColor="text1"/>
          <w:szCs w:val="21"/>
          <w:highlight w:val="none"/>
          <w14:textFill>
            <w14:solidFill>
              <w14:schemeClr w14:val="tx1"/>
            </w14:solidFill>
          </w14:textFill>
        </w:rPr>
        <w:t>应按以下顺序解释：</w:t>
      </w:r>
    </w:p>
    <w:p w14:paraId="61A05642">
      <w:pPr>
        <w:numPr>
          <w:ilvl w:val="0"/>
          <w:numId w:val="6"/>
        </w:numPr>
        <w:adjustRightInd w:val="0"/>
        <w:snapToGrid w:val="0"/>
        <w:spacing w:before="0" w:beforeLines="0" w:line="400" w:lineRule="exact"/>
        <w:ind w:left="425" w:leftChars="0" w:hanging="5" w:firstLineChars="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合同协议书及其变更、补充</w:t>
      </w:r>
      <w:r>
        <w:rPr>
          <w:rFonts w:hint="eastAsia" w:ascii="宋体" w:hAnsi="宋体" w:eastAsia="宋体" w:cs="宋体"/>
          <w:color w:val="000000" w:themeColor="text1"/>
          <w:szCs w:val="21"/>
          <w:highlight w:val="none"/>
          <w:lang w:eastAsia="zh-CN"/>
          <w14:textFill>
            <w14:solidFill>
              <w14:schemeClr w14:val="tx1"/>
            </w14:solidFill>
          </w14:textFill>
        </w:rPr>
        <w:t>协议</w:t>
      </w:r>
    </w:p>
    <w:p w14:paraId="27200DAB">
      <w:pPr>
        <w:numPr>
          <w:ilvl w:val="0"/>
          <w:numId w:val="6"/>
        </w:numPr>
        <w:adjustRightInd w:val="0"/>
        <w:snapToGrid w:val="0"/>
        <w:spacing w:before="0" w:beforeLines="0" w:line="400" w:lineRule="exact"/>
        <w:ind w:left="425" w:leftChars="0" w:hanging="5" w:firstLineChars="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w:t>
      </w:r>
      <w:r>
        <w:rPr>
          <w:rFonts w:hint="eastAsia" w:ascii="宋体" w:hAnsi="宋体" w:eastAsia="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通知书</w:t>
      </w:r>
    </w:p>
    <w:p w14:paraId="5B5AEA8C">
      <w:pPr>
        <w:numPr>
          <w:ilvl w:val="0"/>
          <w:numId w:val="6"/>
        </w:numPr>
        <w:adjustRightInd w:val="0"/>
        <w:snapToGrid w:val="0"/>
        <w:spacing w:before="0" w:beforeLines="0" w:line="400" w:lineRule="exact"/>
        <w:ind w:left="425" w:leftChars="0" w:hanging="5" w:firstLineChars="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投标（响应）文件</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含乙方或乙方授权人提供的补充承诺</w:t>
      </w:r>
      <w:r>
        <w:rPr>
          <w:rFonts w:hint="eastAsia" w:ascii="宋体" w:hAnsi="宋体" w:eastAsia="宋体" w:cs="宋体"/>
          <w:color w:val="000000" w:themeColor="text1"/>
          <w:szCs w:val="21"/>
          <w:highlight w:val="none"/>
          <w:lang w:eastAsia="zh-CN"/>
          <w14:textFill>
            <w14:solidFill>
              <w14:schemeClr w14:val="tx1"/>
            </w14:solidFill>
          </w14:textFill>
        </w:rPr>
        <w:t>）</w:t>
      </w:r>
    </w:p>
    <w:p w14:paraId="7C3C127D">
      <w:pPr>
        <w:numPr>
          <w:ilvl w:val="0"/>
          <w:numId w:val="6"/>
        </w:numPr>
        <w:adjustRightInd w:val="0"/>
        <w:snapToGrid w:val="0"/>
        <w:spacing w:before="0" w:beforeLines="0" w:line="400" w:lineRule="exact"/>
        <w:ind w:left="425" w:leftChars="0" w:hanging="5"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采购文件</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含补充文件、答疑纪要</w:t>
      </w:r>
      <w:r>
        <w:rPr>
          <w:rFonts w:hint="eastAsia" w:ascii="宋体" w:hAnsi="宋体" w:eastAsia="宋体" w:cs="宋体"/>
          <w:color w:val="000000" w:themeColor="text1"/>
          <w:szCs w:val="21"/>
          <w:highlight w:val="none"/>
          <w:lang w:eastAsia="zh-CN"/>
          <w14:textFill>
            <w14:solidFill>
              <w14:schemeClr w14:val="tx1"/>
            </w14:solidFill>
          </w14:textFill>
        </w:rPr>
        <w:t>）</w:t>
      </w:r>
    </w:p>
    <w:p w14:paraId="74CCE81E">
      <w:pPr>
        <w:numPr>
          <w:ilvl w:val="0"/>
          <w:numId w:val="6"/>
        </w:numPr>
        <w:adjustRightInd w:val="0"/>
        <w:snapToGrid w:val="0"/>
        <w:spacing w:before="0" w:beforeLines="0" w:line="400" w:lineRule="exact"/>
        <w:ind w:left="425" w:leftChars="0" w:hanging="5" w:firstLineChars="0"/>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有关技术文件，图纸</w:t>
      </w:r>
    </w:p>
    <w:p w14:paraId="435FFDD3">
      <w:pPr>
        <w:numPr>
          <w:ilvl w:val="0"/>
          <w:numId w:val="6"/>
        </w:numPr>
        <w:adjustRightInd w:val="0"/>
        <w:snapToGrid w:val="0"/>
        <w:spacing w:before="0" w:beforeLines="0" w:line="400" w:lineRule="exact"/>
        <w:ind w:left="425" w:leftChars="0" w:hanging="5" w:firstLineChars="0"/>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7933CD06">
      <w:pPr>
        <w:pStyle w:val="973"/>
        <w:spacing w:beforeLines="0"/>
        <w:rPr>
          <w:rFonts w:hint="eastAsia" w:ascii="宋体" w:hAnsi="宋体" w:eastAsia="宋体" w:cs="宋体"/>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丙三</w:t>
      </w:r>
      <w:r>
        <w:rPr>
          <w:rFonts w:hint="eastAsia" w:ascii="宋体" w:hAnsi="宋体" w:eastAsia="宋体" w:cs="宋体"/>
          <w:color w:val="000000" w:themeColor="text1"/>
          <w:szCs w:val="21"/>
          <w:highlight w:val="none"/>
          <w14:textFill>
            <w14:solidFill>
              <w14:schemeClr w14:val="tx1"/>
            </w14:solidFill>
          </w14:textFill>
        </w:rPr>
        <w:t>方</w:t>
      </w:r>
      <w:r>
        <w:rPr>
          <w:rFonts w:hint="eastAsia" w:ascii="宋体" w:hAnsi="宋体" w:eastAsia="宋体" w:cs="宋体"/>
          <w:bCs w:val="0"/>
          <w:color w:val="000000" w:themeColor="text1"/>
          <w:kern w:val="2"/>
          <w:sz w:val="21"/>
          <w:szCs w:val="21"/>
          <w:highlight w:val="none"/>
          <w:lang w:val="en-US" w:eastAsia="zh-CN"/>
          <w14:textFill>
            <w14:solidFill>
              <w14:schemeClr w14:val="tx1"/>
            </w14:solidFill>
          </w14:textFill>
        </w:rPr>
        <w:t>有关项目实施过程中的洽商、变更等书面协议或文件作为本合同的组成部分。当文件有矛盾之处，以时间后者为准。</w:t>
      </w:r>
    </w:p>
    <w:p w14:paraId="28210B23">
      <w:pPr>
        <w:pStyle w:val="973"/>
        <w:numPr>
          <w:ilvl w:val="0"/>
          <w:numId w:val="0"/>
        </w:numPr>
        <w:spacing w:beforeLines="0"/>
        <w:ind w:leftChars="0"/>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一、项目信息</w:t>
      </w:r>
    </w:p>
    <w:p w14:paraId="50B8271F">
      <w:pPr>
        <w:numPr>
          <w:ilvl w:val="0"/>
          <w:numId w:val="7"/>
        </w:numPr>
        <w:adjustRightInd w:val="0"/>
        <w:snapToGrid w:val="0"/>
        <w:spacing w:before="0" w:beforeLines="0" w:line="400" w:lineRule="exact"/>
        <w:ind w:left="425" w:leftChars="0" w:hanging="5" w:firstLineChars="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预算金额：</w:t>
      </w:r>
    </w:p>
    <w:p w14:paraId="1B46E2D0">
      <w:pPr>
        <w:numPr>
          <w:ilvl w:val="0"/>
          <w:numId w:val="7"/>
        </w:numPr>
        <w:adjustRightInd w:val="0"/>
        <w:snapToGrid w:val="0"/>
        <w:spacing w:before="0" w:beforeLines="0" w:line="400" w:lineRule="exact"/>
        <w:ind w:left="425" w:leftChars="0" w:hanging="5" w:firstLineChars="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采购项目编号：</w:t>
      </w:r>
    </w:p>
    <w:p w14:paraId="3A729055">
      <w:pPr>
        <w:numPr>
          <w:ilvl w:val="0"/>
          <w:numId w:val="7"/>
        </w:numPr>
        <w:adjustRightInd w:val="0"/>
        <w:snapToGrid w:val="0"/>
        <w:spacing w:before="0" w:beforeLines="0" w:line="400" w:lineRule="exact"/>
        <w:ind w:left="425" w:leftChars="0" w:hanging="5"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采购计划编号：</w:t>
      </w:r>
    </w:p>
    <w:p w14:paraId="577A2708">
      <w:pPr>
        <w:numPr>
          <w:ilvl w:val="0"/>
          <w:numId w:val="7"/>
        </w:numPr>
        <w:adjustRightInd w:val="0"/>
        <w:snapToGrid w:val="0"/>
        <w:spacing w:before="0" w:beforeLines="0" w:line="400" w:lineRule="exact"/>
        <w:ind w:left="425" w:leftChars="0" w:hanging="5" w:firstLineChars="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采购代理机构：</w:t>
      </w:r>
    </w:p>
    <w:p w14:paraId="05EF291B">
      <w:pPr>
        <w:numPr>
          <w:ilvl w:val="0"/>
          <w:numId w:val="7"/>
        </w:numPr>
        <w:adjustRightInd w:val="0"/>
        <w:snapToGrid w:val="0"/>
        <w:spacing w:before="0" w:beforeLines="0" w:line="400" w:lineRule="exact"/>
        <w:ind w:left="425" w:leftChars="0" w:hanging="5" w:firstLineChars="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采购方式：</w:t>
      </w:r>
      <w:r>
        <w:rPr>
          <w:rFonts w:hint="eastAsia" w:ascii="宋体" w:hAnsi="宋体" w:eastAsia="宋体" w:cs="宋体"/>
          <w:color w:val="000000" w:themeColor="text1"/>
          <w:szCs w:val="21"/>
          <w:highlight w:val="none"/>
          <w14:textFill>
            <w14:solidFill>
              <w14:schemeClr w14:val="tx1"/>
            </w14:solidFill>
          </w14:textFill>
        </w:rPr>
        <w:sym w:font="Wingdings" w:char="00A8"/>
      </w:r>
      <w:r>
        <w:rPr>
          <w:rFonts w:hint="eastAsia" w:ascii="宋体" w:hAnsi="宋体" w:eastAsia="宋体" w:cs="宋体"/>
          <w:color w:val="000000" w:themeColor="text1"/>
          <w:szCs w:val="21"/>
          <w:highlight w:val="none"/>
          <w:lang w:eastAsia="zh-CN"/>
          <w14:textFill>
            <w14:solidFill>
              <w14:schemeClr w14:val="tx1"/>
            </w14:solidFill>
          </w14:textFill>
        </w:rPr>
        <w:t>公开招标</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sym w:font="Wingdings" w:char="00A8"/>
      </w:r>
      <w:r>
        <w:rPr>
          <w:rFonts w:hint="eastAsia" w:ascii="宋体" w:hAnsi="宋体" w:eastAsia="宋体" w:cs="宋体"/>
          <w:color w:val="000000" w:themeColor="text1"/>
          <w:szCs w:val="21"/>
          <w:highlight w:val="none"/>
          <w:lang w:eastAsia="zh-CN"/>
          <w14:textFill>
            <w14:solidFill>
              <w14:schemeClr w14:val="tx1"/>
            </w14:solidFill>
          </w14:textFill>
        </w:rPr>
        <w:t>邀请招标</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sym w:font="Wingdings" w:char="00A8"/>
      </w:r>
      <w:r>
        <w:rPr>
          <w:rFonts w:hint="eastAsia" w:ascii="宋体" w:hAnsi="宋体" w:eastAsia="宋体" w:cs="宋体"/>
          <w:color w:val="000000" w:themeColor="text1"/>
          <w:szCs w:val="21"/>
          <w:highlight w:val="none"/>
          <w:lang w:eastAsia="zh-CN"/>
          <w14:textFill>
            <w14:solidFill>
              <w14:schemeClr w14:val="tx1"/>
            </w14:solidFill>
          </w14:textFill>
        </w:rPr>
        <w:t>竞争性谈判</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sym w:font="Wingdings" w:char="00A8"/>
      </w:r>
      <w:r>
        <w:rPr>
          <w:rFonts w:hint="eastAsia" w:ascii="宋体" w:hAnsi="宋体" w:eastAsia="宋体" w:cs="宋体"/>
          <w:color w:val="000000" w:themeColor="text1"/>
          <w:szCs w:val="21"/>
          <w:highlight w:val="none"/>
          <w:lang w:eastAsia="zh-CN"/>
          <w14:textFill>
            <w14:solidFill>
              <w14:schemeClr w14:val="tx1"/>
            </w14:solidFill>
          </w14:textFill>
        </w:rPr>
        <w:t>竞争性磋商</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165DF478">
      <w:pPr>
        <w:numPr>
          <w:ilvl w:val="0"/>
          <w:numId w:val="0"/>
        </w:numPr>
        <w:adjustRightInd w:val="0"/>
        <w:snapToGrid w:val="0"/>
        <w:spacing w:before="0" w:beforeLines="0" w:line="400" w:lineRule="exact"/>
        <w:ind w:left="420" w:leftChars="0" w:firstLine="1478" w:firstLineChars="704"/>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sym w:font="Wingdings" w:char="00A8"/>
      </w:r>
      <w:r>
        <w:rPr>
          <w:rFonts w:hint="eastAsia" w:ascii="宋体" w:hAnsi="宋体" w:eastAsia="宋体" w:cs="宋体"/>
          <w:color w:val="000000" w:themeColor="text1"/>
          <w:szCs w:val="21"/>
          <w:highlight w:val="none"/>
          <w:lang w:eastAsia="zh-CN"/>
          <w14:textFill>
            <w14:solidFill>
              <w14:schemeClr w14:val="tx1"/>
            </w14:solidFill>
          </w14:textFill>
        </w:rPr>
        <w:t>询价</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sym w:font="Wingdings" w:char="00A8"/>
      </w:r>
      <w:r>
        <w:rPr>
          <w:rFonts w:hint="eastAsia" w:ascii="宋体" w:hAnsi="宋体" w:eastAsia="宋体" w:cs="宋体"/>
          <w:color w:val="000000" w:themeColor="text1"/>
          <w:szCs w:val="21"/>
          <w:highlight w:val="none"/>
          <w:lang w:eastAsia="zh-CN"/>
          <w14:textFill>
            <w14:solidFill>
              <w14:schemeClr w14:val="tx1"/>
            </w14:solidFill>
          </w14:textFill>
        </w:rPr>
        <w:t>单一来源</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sym w:font="Wingdings" w:char="00A8"/>
      </w:r>
      <w:r>
        <w:rPr>
          <w:rFonts w:hint="eastAsia" w:ascii="宋体" w:hAnsi="宋体" w:eastAsia="宋体" w:cs="宋体"/>
          <w:color w:val="000000" w:themeColor="text1"/>
          <w:szCs w:val="21"/>
          <w:highlight w:val="none"/>
          <w:lang w:eastAsia="zh-CN"/>
          <w14:textFill>
            <w14:solidFill>
              <w14:schemeClr w14:val="tx1"/>
            </w14:solidFill>
          </w14:textFill>
        </w:rPr>
        <w:t>框架协议</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sym w:font="Wingdings" w:char="00A8"/>
      </w:r>
      <w:r>
        <w:rPr>
          <w:rFonts w:hint="eastAsia" w:ascii="宋体" w:hAnsi="宋体" w:eastAsia="宋体" w:cs="宋体"/>
          <w:color w:val="000000" w:themeColor="text1"/>
          <w:szCs w:val="21"/>
          <w:highlight w:val="none"/>
          <w:lang w:eastAsia="zh-CN"/>
          <w14:textFill>
            <w14:solidFill>
              <w14:schemeClr w14:val="tx1"/>
            </w14:solidFill>
          </w14:textFill>
        </w:rPr>
        <w:t>其他：</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0EA38A1D">
      <w:pPr>
        <w:numPr>
          <w:ilvl w:val="0"/>
          <w:numId w:val="7"/>
        </w:numPr>
        <w:adjustRightInd w:val="0"/>
        <w:snapToGrid w:val="0"/>
        <w:spacing w:before="0" w:beforeLines="0" w:line="400" w:lineRule="exact"/>
        <w:ind w:left="425" w:leftChars="0" w:hanging="5" w:firstLineChars="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中标（成交）采购标的制造商是否为中小企业：</w:t>
      </w:r>
      <w:r>
        <w:rPr>
          <w:rFonts w:hint="eastAsia" w:ascii="宋体" w:hAnsi="宋体" w:eastAsia="宋体" w:cs="宋体"/>
          <w:color w:val="000000" w:themeColor="text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是      </w:t>
      </w:r>
      <w:r>
        <w:rPr>
          <w:rFonts w:hint="eastAsia" w:ascii="宋体" w:hAnsi="宋体" w:eastAsia="宋体" w:cs="宋体"/>
          <w:color w:val="000000" w:themeColor="text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Cs w:val="21"/>
          <w:highlight w:val="none"/>
          <w:lang w:val="en-US" w:eastAsia="zh-CN"/>
          <w14:textFill>
            <w14:solidFill>
              <w14:schemeClr w14:val="tx1"/>
            </w14:solidFill>
          </w14:textFill>
        </w:rPr>
        <w:t>否</w:t>
      </w:r>
    </w:p>
    <w:p w14:paraId="5723A997">
      <w:pPr>
        <w:numPr>
          <w:ilvl w:val="0"/>
          <w:numId w:val="7"/>
        </w:numPr>
        <w:adjustRightInd w:val="0"/>
        <w:snapToGrid w:val="0"/>
        <w:spacing w:before="0" w:beforeLines="0" w:line="400" w:lineRule="exact"/>
        <w:ind w:left="425" w:leftChars="0" w:hanging="5" w:firstLineChars="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本合同项下产品属于（可多选）：</w:t>
      </w:r>
      <w:r>
        <w:rPr>
          <w:rFonts w:hint="eastAsia" w:ascii="宋体" w:hAnsi="宋体" w:eastAsia="宋体" w:cs="宋体"/>
          <w:color w:val="000000" w:themeColor="text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进口产品  </w:t>
      </w:r>
      <w:r>
        <w:rPr>
          <w:rFonts w:hint="eastAsia" w:ascii="宋体" w:hAnsi="宋体" w:eastAsia="宋体" w:cs="宋体"/>
          <w:color w:val="000000" w:themeColor="text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节能产品  </w:t>
      </w:r>
      <w:r>
        <w:rPr>
          <w:rFonts w:hint="eastAsia" w:ascii="宋体" w:hAnsi="宋体" w:eastAsia="宋体" w:cs="宋体"/>
          <w:color w:val="000000" w:themeColor="text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环境标志产品  </w:t>
      </w:r>
      <w:r>
        <w:rPr>
          <w:rFonts w:hint="eastAsia" w:ascii="宋体" w:hAnsi="宋体" w:eastAsia="宋体" w:cs="宋体"/>
          <w:color w:val="000000" w:themeColor="text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Cs w:val="21"/>
          <w:highlight w:val="none"/>
          <w:lang w:val="en-US" w:eastAsia="zh-CN"/>
          <w14:textFill>
            <w14:solidFill>
              <w14:schemeClr w14:val="tx1"/>
            </w14:solidFill>
          </w14:textFill>
        </w:rPr>
        <w:t>绿色产品</w:t>
      </w:r>
    </w:p>
    <w:p w14:paraId="2C55C6ED">
      <w:pPr>
        <w:numPr>
          <w:ilvl w:val="0"/>
          <w:numId w:val="8"/>
        </w:numPr>
        <w:spacing w:line="400" w:lineRule="exact"/>
        <w:ind w:left="0" w:leftChars="0" w:firstLine="0" w:firstLineChars="0"/>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服务清单</w:t>
      </w:r>
    </w:p>
    <w:tbl>
      <w:tblPr>
        <w:tblStyle w:val="64"/>
        <w:tblW w:w="4996" w:type="pct"/>
        <w:tblInd w:w="0" w:type="dxa"/>
        <w:tblLayout w:type="autofit"/>
        <w:tblCellMar>
          <w:top w:w="0" w:type="dxa"/>
          <w:left w:w="108" w:type="dxa"/>
          <w:bottom w:w="0" w:type="dxa"/>
          <w:right w:w="108" w:type="dxa"/>
        </w:tblCellMar>
      </w:tblPr>
      <w:tblGrid>
        <w:gridCol w:w="1107"/>
        <w:gridCol w:w="3469"/>
        <w:gridCol w:w="2404"/>
        <w:gridCol w:w="2300"/>
      </w:tblGrid>
      <w:tr w14:paraId="7D20C26C">
        <w:tblPrEx>
          <w:tblCellMar>
            <w:top w:w="0" w:type="dxa"/>
            <w:left w:w="108" w:type="dxa"/>
            <w:bottom w:w="0" w:type="dxa"/>
            <w:right w:w="108" w:type="dxa"/>
          </w:tblCellMar>
        </w:tblPrEx>
        <w:trPr>
          <w:trHeight w:val="23" w:hRule="atLeast"/>
        </w:trPr>
        <w:tc>
          <w:tcPr>
            <w:tcW w:w="597" w:type="pct"/>
            <w:tcBorders>
              <w:top w:val="single" w:color="000000" w:sz="4" w:space="0"/>
              <w:left w:val="single" w:color="000000" w:sz="4" w:space="0"/>
              <w:bottom w:val="single" w:color="000000" w:sz="4" w:space="0"/>
              <w:right w:val="single" w:color="000000" w:sz="4" w:space="0"/>
            </w:tcBorders>
            <w:vAlign w:val="center"/>
          </w:tcPr>
          <w:p w14:paraId="76E78DEB">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69" w:type="pct"/>
            <w:tcBorders>
              <w:top w:val="single" w:color="000000" w:sz="4" w:space="0"/>
              <w:left w:val="single" w:color="000000" w:sz="4" w:space="0"/>
              <w:bottom w:val="single" w:color="000000" w:sz="4" w:space="0"/>
              <w:right w:val="single" w:color="000000" w:sz="4" w:space="0"/>
            </w:tcBorders>
            <w:vAlign w:val="center"/>
          </w:tcPr>
          <w:p w14:paraId="52D469A8">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功能</w:t>
            </w:r>
          </w:p>
        </w:tc>
        <w:tc>
          <w:tcPr>
            <w:tcW w:w="1295" w:type="pct"/>
            <w:tcBorders>
              <w:top w:val="single" w:color="000000" w:sz="4" w:space="0"/>
              <w:left w:val="single" w:color="000000" w:sz="4" w:space="0"/>
              <w:bottom w:val="single" w:color="000000" w:sz="4" w:space="0"/>
              <w:right w:val="single" w:color="000000" w:sz="4" w:space="0"/>
            </w:tcBorders>
            <w:vAlign w:val="center"/>
          </w:tcPr>
          <w:p w14:paraId="2F94BAE1">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237" w:type="pct"/>
            <w:tcBorders>
              <w:top w:val="single" w:color="000000" w:sz="4" w:space="0"/>
              <w:left w:val="single" w:color="000000" w:sz="4" w:space="0"/>
              <w:bottom w:val="single" w:color="000000" w:sz="4" w:space="0"/>
              <w:right w:val="single" w:color="000000" w:sz="4" w:space="0"/>
            </w:tcBorders>
            <w:vAlign w:val="center"/>
          </w:tcPr>
          <w:p w14:paraId="450DAE78">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r>
      <w:tr w14:paraId="69BBBF97">
        <w:tblPrEx>
          <w:tblCellMar>
            <w:top w:w="0" w:type="dxa"/>
            <w:left w:w="108" w:type="dxa"/>
            <w:bottom w:w="0" w:type="dxa"/>
            <w:right w:w="108" w:type="dxa"/>
          </w:tblCellMar>
        </w:tblPrEx>
        <w:trPr>
          <w:trHeight w:val="23" w:hRule="atLeast"/>
        </w:trPr>
        <w:tc>
          <w:tcPr>
            <w:tcW w:w="597" w:type="pct"/>
            <w:tcBorders>
              <w:top w:val="single" w:color="000000" w:sz="4" w:space="0"/>
              <w:left w:val="single" w:color="000000" w:sz="4" w:space="0"/>
              <w:bottom w:val="single" w:color="000000" w:sz="4" w:space="0"/>
              <w:right w:val="single" w:color="000000" w:sz="4" w:space="0"/>
            </w:tcBorders>
            <w:vAlign w:val="center"/>
          </w:tcPr>
          <w:p w14:paraId="544C1D3A">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869" w:type="pct"/>
            <w:tcBorders>
              <w:top w:val="single" w:color="000000" w:sz="4" w:space="0"/>
              <w:left w:val="single" w:color="000000" w:sz="4" w:space="0"/>
              <w:bottom w:val="single" w:color="000000" w:sz="4" w:space="0"/>
              <w:right w:val="single" w:color="000000" w:sz="4" w:space="0"/>
            </w:tcBorders>
            <w:vAlign w:val="center"/>
          </w:tcPr>
          <w:p w14:paraId="1F189E1F">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95" w:type="pct"/>
            <w:tcBorders>
              <w:top w:val="single" w:color="000000" w:sz="4" w:space="0"/>
              <w:left w:val="single" w:color="000000" w:sz="4" w:space="0"/>
              <w:bottom w:val="single" w:color="000000" w:sz="4" w:space="0"/>
              <w:right w:val="single" w:color="000000" w:sz="4" w:space="0"/>
            </w:tcBorders>
            <w:vAlign w:val="center"/>
          </w:tcPr>
          <w:p w14:paraId="66697CF0">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45C442B0">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4FE8A531">
        <w:tblPrEx>
          <w:tblCellMar>
            <w:top w:w="0" w:type="dxa"/>
            <w:left w:w="108" w:type="dxa"/>
            <w:bottom w:w="0" w:type="dxa"/>
            <w:right w:w="108" w:type="dxa"/>
          </w:tblCellMar>
        </w:tblPrEx>
        <w:trPr>
          <w:trHeight w:val="23" w:hRule="atLeast"/>
        </w:trPr>
        <w:tc>
          <w:tcPr>
            <w:tcW w:w="597" w:type="pct"/>
            <w:tcBorders>
              <w:top w:val="single" w:color="000000" w:sz="4" w:space="0"/>
              <w:left w:val="single" w:color="000000" w:sz="4" w:space="0"/>
              <w:bottom w:val="single" w:color="000000" w:sz="4" w:space="0"/>
              <w:right w:val="single" w:color="000000" w:sz="4" w:space="0"/>
            </w:tcBorders>
            <w:vAlign w:val="center"/>
          </w:tcPr>
          <w:p w14:paraId="6C40C261">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869" w:type="pct"/>
            <w:tcBorders>
              <w:top w:val="single" w:color="000000" w:sz="4" w:space="0"/>
              <w:left w:val="single" w:color="000000" w:sz="4" w:space="0"/>
              <w:bottom w:val="single" w:color="000000" w:sz="4" w:space="0"/>
              <w:right w:val="single" w:color="000000" w:sz="4" w:space="0"/>
            </w:tcBorders>
            <w:vAlign w:val="center"/>
          </w:tcPr>
          <w:p w14:paraId="0ACEAAF6">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95" w:type="pct"/>
            <w:tcBorders>
              <w:top w:val="single" w:color="000000" w:sz="4" w:space="0"/>
              <w:left w:val="single" w:color="000000" w:sz="4" w:space="0"/>
              <w:bottom w:val="single" w:color="000000" w:sz="4" w:space="0"/>
              <w:right w:val="single" w:color="000000" w:sz="4" w:space="0"/>
            </w:tcBorders>
            <w:vAlign w:val="center"/>
          </w:tcPr>
          <w:p w14:paraId="1AB68923">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41D694EB">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6CC275E9">
        <w:tblPrEx>
          <w:tblCellMar>
            <w:top w:w="0" w:type="dxa"/>
            <w:left w:w="108" w:type="dxa"/>
            <w:bottom w:w="0" w:type="dxa"/>
            <w:right w:w="108" w:type="dxa"/>
          </w:tblCellMar>
        </w:tblPrEx>
        <w:trPr>
          <w:trHeight w:val="23" w:hRule="atLeast"/>
        </w:trPr>
        <w:tc>
          <w:tcPr>
            <w:tcW w:w="597" w:type="pct"/>
            <w:tcBorders>
              <w:top w:val="single" w:color="000000" w:sz="4" w:space="0"/>
              <w:left w:val="single" w:color="000000" w:sz="4" w:space="0"/>
              <w:bottom w:val="single" w:color="000000" w:sz="4" w:space="0"/>
              <w:right w:val="single" w:color="000000" w:sz="4" w:space="0"/>
            </w:tcBorders>
            <w:vAlign w:val="center"/>
          </w:tcPr>
          <w:p w14:paraId="7E355076">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869" w:type="pct"/>
            <w:tcBorders>
              <w:top w:val="single" w:color="000000" w:sz="4" w:space="0"/>
              <w:left w:val="single" w:color="000000" w:sz="4" w:space="0"/>
              <w:bottom w:val="single" w:color="000000" w:sz="4" w:space="0"/>
              <w:right w:val="single" w:color="000000" w:sz="4" w:space="0"/>
            </w:tcBorders>
            <w:vAlign w:val="center"/>
          </w:tcPr>
          <w:p w14:paraId="5F79D4A8">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95" w:type="pct"/>
            <w:tcBorders>
              <w:top w:val="single" w:color="000000" w:sz="4" w:space="0"/>
              <w:left w:val="single" w:color="000000" w:sz="4" w:space="0"/>
              <w:bottom w:val="single" w:color="000000" w:sz="4" w:space="0"/>
              <w:right w:val="single" w:color="000000" w:sz="4" w:space="0"/>
            </w:tcBorders>
            <w:vAlign w:val="center"/>
          </w:tcPr>
          <w:p w14:paraId="13D3EFB0">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4A7273CC">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297D7F80">
        <w:tblPrEx>
          <w:tblCellMar>
            <w:top w:w="0" w:type="dxa"/>
            <w:left w:w="108" w:type="dxa"/>
            <w:bottom w:w="0" w:type="dxa"/>
            <w:right w:w="108" w:type="dxa"/>
          </w:tblCellMar>
        </w:tblPrEx>
        <w:trPr>
          <w:trHeight w:val="23" w:hRule="atLeast"/>
        </w:trPr>
        <w:tc>
          <w:tcPr>
            <w:tcW w:w="597" w:type="pct"/>
            <w:tcBorders>
              <w:top w:val="single" w:color="000000" w:sz="4" w:space="0"/>
              <w:left w:val="single" w:color="000000" w:sz="4" w:space="0"/>
              <w:bottom w:val="single" w:color="000000" w:sz="4" w:space="0"/>
              <w:right w:val="single" w:color="000000" w:sz="4" w:space="0"/>
            </w:tcBorders>
            <w:vAlign w:val="center"/>
          </w:tcPr>
          <w:p w14:paraId="784EB2EE">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869" w:type="pct"/>
            <w:tcBorders>
              <w:top w:val="single" w:color="000000" w:sz="4" w:space="0"/>
              <w:left w:val="single" w:color="000000" w:sz="4" w:space="0"/>
              <w:bottom w:val="single" w:color="000000" w:sz="4" w:space="0"/>
              <w:right w:val="single" w:color="000000" w:sz="4" w:space="0"/>
            </w:tcBorders>
            <w:noWrap/>
            <w:vAlign w:val="center"/>
          </w:tcPr>
          <w:p w14:paraId="5772C201">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95" w:type="pct"/>
            <w:tcBorders>
              <w:top w:val="single" w:color="000000" w:sz="4" w:space="0"/>
              <w:left w:val="single" w:color="000000" w:sz="4" w:space="0"/>
              <w:bottom w:val="single" w:color="000000" w:sz="4" w:space="0"/>
              <w:right w:val="single" w:color="000000" w:sz="4" w:space="0"/>
            </w:tcBorders>
            <w:vAlign w:val="center"/>
          </w:tcPr>
          <w:p w14:paraId="2C56A870">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2B1F3726">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1F834130">
        <w:tblPrEx>
          <w:tblCellMar>
            <w:top w:w="0" w:type="dxa"/>
            <w:left w:w="108" w:type="dxa"/>
            <w:bottom w:w="0" w:type="dxa"/>
            <w:right w:w="108" w:type="dxa"/>
          </w:tblCellMar>
        </w:tblPrEx>
        <w:trPr>
          <w:trHeight w:val="23" w:hRule="atLeast"/>
        </w:trPr>
        <w:tc>
          <w:tcPr>
            <w:tcW w:w="597" w:type="pct"/>
            <w:tcBorders>
              <w:top w:val="single" w:color="000000" w:sz="4" w:space="0"/>
              <w:left w:val="single" w:color="000000" w:sz="4" w:space="0"/>
              <w:bottom w:val="single" w:color="000000" w:sz="4" w:space="0"/>
              <w:right w:val="single" w:color="000000" w:sz="4" w:space="0"/>
            </w:tcBorders>
            <w:vAlign w:val="center"/>
          </w:tcPr>
          <w:p w14:paraId="363B0D50">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869" w:type="pct"/>
            <w:tcBorders>
              <w:top w:val="single" w:color="000000" w:sz="4" w:space="0"/>
              <w:left w:val="single" w:color="000000" w:sz="4" w:space="0"/>
              <w:bottom w:val="single" w:color="000000" w:sz="4" w:space="0"/>
              <w:right w:val="single" w:color="000000" w:sz="4" w:space="0"/>
            </w:tcBorders>
            <w:vAlign w:val="center"/>
          </w:tcPr>
          <w:p w14:paraId="124DD9E2">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95" w:type="pct"/>
            <w:tcBorders>
              <w:top w:val="single" w:color="000000" w:sz="4" w:space="0"/>
              <w:left w:val="single" w:color="000000" w:sz="4" w:space="0"/>
              <w:bottom w:val="single" w:color="000000" w:sz="4" w:space="0"/>
              <w:right w:val="single" w:color="000000" w:sz="4" w:space="0"/>
            </w:tcBorders>
            <w:vAlign w:val="center"/>
          </w:tcPr>
          <w:p w14:paraId="7AC7466B">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0185A8B3">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13B381D9">
        <w:tblPrEx>
          <w:tblCellMar>
            <w:top w:w="0" w:type="dxa"/>
            <w:left w:w="108" w:type="dxa"/>
            <w:bottom w:w="0" w:type="dxa"/>
            <w:right w:w="108" w:type="dxa"/>
          </w:tblCellMar>
        </w:tblPrEx>
        <w:trPr>
          <w:trHeight w:val="23" w:hRule="atLeast"/>
        </w:trPr>
        <w:tc>
          <w:tcPr>
            <w:tcW w:w="597" w:type="pct"/>
            <w:tcBorders>
              <w:top w:val="single" w:color="000000" w:sz="4" w:space="0"/>
              <w:left w:val="single" w:color="000000" w:sz="4" w:space="0"/>
              <w:bottom w:val="single" w:color="000000" w:sz="4" w:space="0"/>
              <w:right w:val="single" w:color="000000" w:sz="4" w:space="0"/>
            </w:tcBorders>
            <w:vAlign w:val="center"/>
          </w:tcPr>
          <w:p w14:paraId="4DDA06E4">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869" w:type="pct"/>
            <w:tcBorders>
              <w:top w:val="single" w:color="000000" w:sz="4" w:space="0"/>
              <w:left w:val="single" w:color="000000" w:sz="4" w:space="0"/>
              <w:bottom w:val="single" w:color="000000" w:sz="4" w:space="0"/>
              <w:right w:val="single" w:color="000000" w:sz="4" w:space="0"/>
            </w:tcBorders>
            <w:vAlign w:val="center"/>
          </w:tcPr>
          <w:p w14:paraId="1570EC7F">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95" w:type="pct"/>
            <w:tcBorders>
              <w:top w:val="single" w:color="000000" w:sz="4" w:space="0"/>
              <w:left w:val="single" w:color="000000" w:sz="4" w:space="0"/>
              <w:bottom w:val="single" w:color="000000" w:sz="4" w:space="0"/>
              <w:right w:val="single" w:color="000000" w:sz="4" w:space="0"/>
            </w:tcBorders>
            <w:vAlign w:val="center"/>
          </w:tcPr>
          <w:p w14:paraId="08C5099C">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5841EDCA">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5AD25C63">
        <w:tblPrEx>
          <w:tblCellMar>
            <w:top w:w="0" w:type="dxa"/>
            <w:left w:w="108" w:type="dxa"/>
            <w:bottom w:w="0" w:type="dxa"/>
            <w:right w:w="108" w:type="dxa"/>
          </w:tblCellMar>
        </w:tblPrEx>
        <w:trPr>
          <w:trHeight w:val="23" w:hRule="atLeast"/>
        </w:trPr>
        <w:tc>
          <w:tcPr>
            <w:tcW w:w="597" w:type="pct"/>
            <w:tcBorders>
              <w:top w:val="single" w:color="000000" w:sz="4" w:space="0"/>
              <w:left w:val="single" w:color="000000" w:sz="4" w:space="0"/>
              <w:bottom w:val="single" w:color="000000" w:sz="4" w:space="0"/>
              <w:right w:val="single" w:color="000000" w:sz="4" w:space="0"/>
            </w:tcBorders>
            <w:vAlign w:val="center"/>
          </w:tcPr>
          <w:p w14:paraId="76D7D56A">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869" w:type="pct"/>
            <w:tcBorders>
              <w:top w:val="single" w:color="000000" w:sz="4" w:space="0"/>
              <w:left w:val="single" w:color="000000" w:sz="4" w:space="0"/>
              <w:bottom w:val="single" w:color="000000" w:sz="4" w:space="0"/>
              <w:right w:val="single" w:color="000000" w:sz="4" w:space="0"/>
            </w:tcBorders>
            <w:noWrap/>
            <w:vAlign w:val="center"/>
          </w:tcPr>
          <w:p w14:paraId="464AF644">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95" w:type="pct"/>
            <w:tcBorders>
              <w:top w:val="single" w:color="000000" w:sz="4" w:space="0"/>
              <w:left w:val="single" w:color="000000" w:sz="4" w:space="0"/>
              <w:bottom w:val="single" w:color="000000" w:sz="4" w:space="0"/>
              <w:right w:val="single" w:color="000000" w:sz="4" w:space="0"/>
            </w:tcBorders>
            <w:vAlign w:val="center"/>
          </w:tcPr>
          <w:p w14:paraId="080F0D03">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681BB7CD">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75480D59">
        <w:tblPrEx>
          <w:tblCellMar>
            <w:top w:w="0" w:type="dxa"/>
            <w:left w:w="108" w:type="dxa"/>
            <w:bottom w:w="0" w:type="dxa"/>
            <w:right w:w="108" w:type="dxa"/>
          </w:tblCellMar>
        </w:tblPrEx>
        <w:trPr>
          <w:trHeight w:val="23" w:hRule="atLeast"/>
        </w:trPr>
        <w:tc>
          <w:tcPr>
            <w:tcW w:w="597" w:type="pct"/>
            <w:tcBorders>
              <w:top w:val="single" w:color="000000" w:sz="4" w:space="0"/>
              <w:left w:val="single" w:color="000000" w:sz="4" w:space="0"/>
              <w:bottom w:val="single" w:color="000000" w:sz="4" w:space="0"/>
              <w:right w:val="single" w:color="000000" w:sz="4" w:space="0"/>
            </w:tcBorders>
            <w:vAlign w:val="center"/>
          </w:tcPr>
          <w:p w14:paraId="30ACDC98">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869" w:type="pct"/>
            <w:tcBorders>
              <w:top w:val="single" w:color="000000" w:sz="4" w:space="0"/>
              <w:left w:val="single" w:color="000000" w:sz="4" w:space="0"/>
              <w:bottom w:val="single" w:color="000000" w:sz="4" w:space="0"/>
              <w:right w:val="single" w:color="000000" w:sz="4" w:space="0"/>
            </w:tcBorders>
            <w:vAlign w:val="center"/>
          </w:tcPr>
          <w:p w14:paraId="366CC787">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95" w:type="pct"/>
            <w:tcBorders>
              <w:top w:val="single" w:color="000000" w:sz="4" w:space="0"/>
              <w:left w:val="single" w:color="000000" w:sz="4" w:space="0"/>
              <w:bottom w:val="single" w:color="000000" w:sz="4" w:space="0"/>
              <w:right w:val="single" w:color="000000" w:sz="4" w:space="0"/>
            </w:tcBorders>
            <w:vAlign w:val="center"/>
          </w:tcPr>
          <w:p w14:paraId="30A04AE2">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7578C581">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52C50C94">
        <w:tblPrEx>
          <w:tblCellMar>
            <w:top w:w="0" w:type="dxa"/>
            <w:left w:w="108" w:type="dxa"/>
            <w:bottom w:w="0" w:type="dxa"/>
            <w:right w:w="108" w:type="dxa"/>
          </w:tblCellMar>
        </w:tblPrEx>
        <w:trPr>
          <w:trHeight w:val="23" w:hRule="atLeast"/>
        </w:trPr>
        <w:tc>
          <w:tcPr>
            <w:tcW w:w="597" w:type="pct"/>
            <w:tcBorders>
              <w:top w:val="single" w:color="000000" w:sz="4" w:space="0"/>
              <w:left w:val="single" w:color="000000" w:sz="4" w:space="0"/>
              <w:bottom w:val="single" w:color="000000" w:sz="4" w:space="0"/>
              <w:right w:val="single" w:color="000000" w:sz="4" w:space="0"/>
            </w:tcBorders>
            <w:vAlign w:val="center"/>
          </w:tcPr>
          <w:p w14:paraId="1A8DEEDE">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1869" w:type="pct"/>
            <w:tcBorders>
              <w:top w:val="single" w:color="000000" w:sz="4" w:space="0"/>
              <w:left w:val="single" w:color="000000" w:sz="4" w:space="0"/>
              <w:bottom w:val="single" w:color="000000" w:sz="4" w:space="0"/>
              <w:right w:val="single" w:color="000000" w:sz="4" w:space="0"/>
            </w:tcBorders>
            <w:vAlign w:val="center"/>
          </w:tcPr>
          <w:p w14:paraId="1ED0C4CC">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95" w:type="pct"/>
            <w:tcBorders>
              <w:top w:val="single" w:color="000000" w:sz="4" w:space="0"/>
              <w:left w:val="single" w:color="000000" w:sz="4" w:space="0"/>
              <w:bottom w:val="single" w:color="000000" w:sz="4" w:space="0"/>
              <w:right w:val="single" w:color="000000" w:sz="4" w:space="0"/>
            </w:tcBorders>
            <w:vAlign w:val="center"/>
          </w:tcPr>
          <w:p w14:paraId="576376BB">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04928793">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1EC6ED61">
        <w:tblPrEx>
          <w:tblCellMar>
            <w:top w:w="0" w:type="dxa"/>
            <w:left w:w="108" w:type="dxa"/>
            <w:bottom w:w="0" w:type="dxa"/>
            <w:right w:w="108" w:type="dxa"/>
          </w:tblCellMar>
        </w:tblPrEx>
        <w:trPr>
          <w:trHeight w:val="23" w:hRule="atLeast"/>
        </w:trPr>
        <w:tc>
          <w:tcPr>
            <w:tcW w:w="597" w:type="pct"/>
            <w:tcBorders>
              <w:top w:val="single" w:color="000000" w:sz="4" w:space="0"/>
              <w:left w:val="single" w:color="000000" w:sz="4" w:space="0"/>
              <w:bottom w:val="single" w:color="000000" w:sz="4" w:space="0"/>
              <w:right w:val="single" w:color="000000" w:sz="4" w:space="0"/>
            </w:tcBorders>
            <w:vAlign w:val="center"/>
          </w:tcPr>
          <w:p w14:paraId="5E9BB812">
            <w:pPr>
              <w:pStyle w:val="972"/>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869" w:type="pct"/>
            <w:tcBorders>
              <w:top w:val="single" w:color="000000" w:sz="4" w:space="0"/>
              <w:left w:val="single" w:color="000000" w:sz="4" w:space="0"/>
              <w:bottom w:val="single" w:color="000000" w:sz="4" w:space="0"/>
              <w:right w:val="single" w:color="000000" w:sz="4" w:space="0"/>
            </w:tcBorders>
            <w:vAlign w:val="center"/>
          </w:tcPr>
          <w:p w14:paraId="75398665">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95" w:type="pct"/>
            <w:tcBorders>
              <w:top w:val="single" w:color="000000" w:sz="4" w:space="0"/>
              <w:left w:val="single" w:color="000000" w:sz="4" w:space="0"/>
              <w:bottom w:val="single" w:color="000000" w:sz="4" w:space="0"/>
              <w:right w:val="single" w:color="000000" w:sz="4" w:space="0"/>
            </w:tcBorders>
            <w:vAlign w:val="center"/>
          </w:tcPr>
          <w:p w14:paraId="101F482E">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7FA7D8C5">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5752FD69">
        <w:tblPrEx>
          <w:tblCellMar>
            <w:top w:w="0" w:type="dxa"/>
            <w:left w:w="108" w:type="dxa"/>
            <w:bottom w:w="0" w:type="dxa"/>
            <w:right w:w="108" w:type="dxa"/>
          </w:tblCellMar>
        </w:tblPrEx>
        <w:trPr>
          <w:trHeight w:val="23" w:hRule="atLeast"/>
        </w:trPr>
        <w:tc>
          <w:tcPr>
            <w:tcW w:w="5000" w:type="pct"/>
            <w:gridSpan w:val="4"/>
            <w:tcBorders>
              <w:top w:val="single" w:color="000000" w:sz="4" w:space="0"/>
              <w:left w:val="single" w:color="000000" w:sz="4" w:space="0"/>
              <w:bottom w:val="single" w:color="000000" w:sz="4" w:space="0"/>
              <w:right w:val="single" w:color="000000" w:sz="4" w:space="0"/>
            </w:tcBorders>
            <w:vAlign w:val="center"/>
          </w:tcPr>
          <w:p w14:paraId="0C793494">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合同金额为（大写）：                           （¥</w:t>
            </w:r>
            <w:r>
              <w:rPr>
                <w:rFonts w:hint="eastAsia" w:ascii="宋体" w:hAnsi="宋体" w:eastAsia="宋体" w:cs="宋体"/>
                <w:b w:val="0"/>
                <w:bCs/>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b/>
                <w:bCs w:val="0"/>
                <w:color w:val="000000" w:themeColor="text1"/>
                <w:highlight w:val="none"/>
                <w:u w:val="none"/>
                <w:lang w:val="en-US" w:eastAsia="zh-CN"/>
                <w14:textFill>
                  <w14:solidFill>
                    <w14:schemeClr w14:val="tx1"/>
                  </w14:solidFill>
                </w14:textFill>
              </w:rPr>
              <w:t>元</w:t>
            </w:r>
            <w:r>
              <w:rPr>
                <w:rFonts w:hint="eastAsia" w:ascii="宋体" w:hAnsi="宋体" w:eastAsia="宋体" w:cs="宋体"/>
                <w:b/>
                <w:color w:val="000000" w:themeColor="text1"/>
                <w:highlight w:val="none"/>
                <w:lang w:val="en-US" w:eastAsia="zh-CN"/>
                <w14:textFill>
                  <w14:solidFill>
                    <w14:schemeClr w14:val="tx1"/>
                  </w14:solidFill>
                </w14:textFill>
              </w:rPr>
              <w:t>）人民币</w:t>
            </w:r>
          </w:p>
        </w:tc>
      </w:tr>
      <w:tr w14:paraId="5FAE41F8">
        <w:tblPrEx>
          <w:tblCellMar>
            <w:top w:w="0" w:type="dxa"/>
            <w:left w:w="108" w:type="dxa"/>
            <w:bottom w:w="0" w:type="dxa"/>
            <w:right w:w="108" w:type="dxa"/>
          </w:tblCellMar>
        </w:tblPrEx>
        <w:trPr>
          <w:trHeight w:val="23" w:hRule="atLeast"/>
        </w:trPr>
        <w:tc>
          <w:tcPr>
            <w:tcW w:w="5000" w:type="pct"/>
            <w:gridSpan w:val="4"/>
            <w:tcBorders>
              <w:top w:val="single" w:color="000000" w:sz="4" w:space="0"/>
              <w:left w:val="single" w:color="000000" w:sz="4" w:space="0"/>
              <w:bottom w:val="single" w:color="000000" w:sz="4" w:space="0"/>
              <w:right w:val="single" w:color="000000" w:sz="4" w:space="0"/>
            </w:tcBorders>
            <w:vAlign w:val="center"/>
          </w:tcPr>
          <w:p w14:paraId="131EEF33">
            <w:pPr>
              <w:pStyle w:val="972"/>
              <w:spacing w:line="360" w:lineRule="auto"/>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乙方为履行本合同而发生的所有费用均应包含在合同</w:t>
            </w:r>
            <w:r>
              <w:rPr>
                <w:rFonts w:hint="eastAsia" w:ascii="宋体" w:hAnsi="宋体" w:eastAsia="宋体" w:cs="宋体"/>
                <w:color w:val="000000" w:themeColor="text1"/>
                <w:szCs w:val="21"/>
                <w:highlight w:val="none"/>
                <w:lang w:eastAsia="zh-CN"/>
                <w14:textFill>
                  <w14:solidFill>
                    <w14:schemeClr w14:val="tx1"/>
                  </w14:solidFill>
                </w14:textFill>
              </w:rPr>
              <w:t>价款</w:t>
            </w:r>
            <w:r>
              <w:rPr>
                <w:rFonts w:hint="eastAsia" w:ascii="宋体" w:hAnsi="宋体" w:eastAsia="宋体" w:cs="宋体"/>
                <w:color w:val="000000" w:themeColor="text1"/>
                <w:szCs w:val="21"/>
                <w:highlight w:val="none"/>
                <w14:textFill>
                  <w14:solidFill>
                    <w14:schemeClr w14:val="tx1"/>
                  </w14:solidFill>
                </w14:textFill>
              </w:rPr>
              <w:t>中，</w:t>
            </w:r>
            <w:r>
              <w:rPr>
                <w:rFonts w:hint="eastAsia" w:ascii="宋体" w:hAnsi="宋体" w:eastAsia="宋体" w:cs="宋体"/>
                <w:color w:val="000000" w:themeColor="text1"/>
                <w:szCs w:val="21"/>
                <w:highlight w:val="none"/>
                <w:lang w:val="en-US" w:eastAsia="zh-CN"/>
                <w14:textFill>
                  <w14:solidFill>
                    <w14:schemeClr w14:val="tx1"/>
                  </w14:solidFill>
                </w14:textFill>
              </w:rPr>
              <w:t>丙</w:t>
            </w:r>
            <w:r>
              <w:rPr>
                <w:rFonts w:hint="eastAsia" w:ascii="宋体" w:hAnsi="宋体" w:eastAsia="宋体" w:cs="宋体"/>
                <w:color w:val="000000" w:themeColor="text1"/>
                <w:szCs w:val="21"/>
                <w:highlight w:val="none"/>
                <w14:textFill>
                  <w14:solidFill>
                    <w14:schemeClr w14:val="tx1"/>
                  </w14:solidFill>
                </w14:textFill>
              </w:rPr>
              <w:t>方不再另行支付</w:t>
            </w:r>
            <w:r>
              <w:rPr>
                <w:rFonts w:hint="eastAsia" w:ascii="宋体" w:hAnsi="宋体" w:eastAsia="宋体" w:cs="宋体"/>
                <w:color w:val="000000" w:themeColor="text1"/>
                <w:szCs w:val="21"/>
                <w:highlight w:val="none"/>
                <w:lang w:val="e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任何费用。</w:t>
            </w:r>
          </w:p>
        </w:tc>
      </w:tr>
    </w:tbl>
    <w:p w14:paraId="048E0A8C">
      <w:pPr>
        <w:numPr>
          <w:ilvl w:val="0"/>
          <w:numId w:val="0"/>
        </w:numPr>
        <w:spacing w:line="400" w:lineRule="exact"/>
        <w:ind w:leftChars="0"/>
        <w:rPr>
          <w:rFonts w:hint="default" w:ascii="宋体" w:hAnsi="宋体" w:eastAsia="宋体" w:cs="宋体"/>
          <w:b/>
          <w:color w:val="000000" w:themeColor="text1"/>
          <w:highlight w:val="none"/>
          <w:lang w:val="en-US" w:eastAsia="zh-CN"/>
          <w14:textFill>
            <w14:solidFill>
              <w14:schemeClr w14:val="tx1"/>
            </w14:solidFill>
          </w14:textFill>
        </w:rPr>
      </w:pPr>
    </w:p>
    <w:p w14:paraId="3E9A2B86">
      <w:pPr>
        <w:numPr>
          <w:ilvl w:val="0"/>
          <w:numId w:val="9"/>
        </w:numPr>
        <w:spacing w:line="400" w:lineRule="exact"/>
        <w:ind w:left="-17" w:leftChars="-8" w:firstLine="18" w:firstLineChars="8"/>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spacing w:val="6"/>
          <w:highlight w:val="none"/>
          <w:lang w:val="en-US" w:eastAsia="zh-CN"/>
          <w14:textFill>
            <w14:solidFill>
              <w14:schemeClr w14:val="tx1"/>
            </w14:solidFill>
          </w14:textFill>
        </w:rPr>
        <w:t>工期</w:t>
      </w:r>
      <w:r>
        <w:rPr>
          <w:rFonts w:hint="eastAsia" w:ascii="宋体" w:hAnsi="宋体" w:eastAsia="宋体" w:cs="宋体"/>
          <w:b/>
          <w:color w:val="000000" w:themeColor="text1"/>
          <w:spacing w:val="6"/>
          <w:highlight w:val="none"/>
          <w14:textFill>
            <w14:solidFill>
              <w14:schemeClr w14:val="tx1"/>
            </w14:solidFill>
          </w14:textFill>
        </w:rPr>
        <w:t xml:space="preserve"> </w:t>
      </w:r>
      <w:r>
        <w:rPr>
          <w:rFonts w:hint="eastAsia" w:ascii="宋体" w:hAnsi="宋体" w:eastAsia="宋体" w:cs="宋体"/>
          <w:b/>
          <w:color w:val="000000" w:themeColor="text1"/>
          <w:highlight w:val="none"/>
          <w14:textFill>
            <w14:solidFill>
              <w14:schemeClr w14:val="tx1"/>
            </w14:solidFill>
          </w14:textFill>
        </w:rPr>
        <w:t xml:space="preserve"> </w:t>
      </w:r>
    </w:p>
    <w:p w14:paraId="3885B629">
      <w:pPr>
        <w:numPr>
          <w:ilvl w:val="0"/>
          <w:numId w:val="0"/>
        </w:numPr>
        <w:spacing w:line="400" w:lineRule="exact"/>
        <w:ind w:left="420" w:leftChars="0"/>
        <w:rPr>
          <w:rFonts w:hint="eastAsia" w:ascii="宋体" w:hAnsi="宋体" w:eastAsia="宋体" w:cs="宋体"/>
          <w:b/>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p>
    <w:p w14:paraId="503DFA31">
      <w:pPr>
        <w:numPr>
          <w:ilvl w:val="0"/>
          <w:numId w:val="9"/>
        </w:numPr>
        <w:spacing w:line="400" w:lineRule="exact"/>
        <w:ind w:left="-17" w:leftChars="-8" w:firstLine="17" w:firstLineChars="8"/>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b/>
          <w:bCs/>
          <w:color w:val="000000" w:themeColor="text1"/>
          <w:highlight w:val="none"/>
          <w:u w:val="none"/>
          <w:lang w:val="en-US" w:eastAsia="zh-CN"/>
          <w14:textFill>
            <w14:solidFill>
              <w14:schemeClr w14:val="tx1"/>
            </w14:solidFill>
          </w14:textFill>
        </w:rPr>
        <w:t>付款方式</w:t>
      </w:r>
      <w:r>
        <w:rPr>
          <w:rFonts w:hint="eastAsia" w:ascii="宋体" w:hAnsi="宋体" w:eastAsia="宋体" w:cs="宋体"/>
          <w:b/>
          <w:bCs/>
          <w:iCs/>
          <w:color w:val="000000" w:themeColor="text1"/>
          <w:szCs w:val="21"/>
          <w:highlight w:val="none"/>
          <w14:textFill>
            <w14:solidFill>
              <w14:schemeClr w14:val="tx1"/>
            </w14:solidFill>
          </w14:textFill>
        </w:rPr>
        <w:t>按下列第</w:t>
      </w:r>
      <w:r>
        <w:rPr>
          <w:rFonts w:hint="eastAsia" w:ascii="宋体" w:hAnsi="宋体" w:eastAsia="宋体" w:cs="宋体"/>
          <w:b/>
          <w:bCs/>
          <w:iCs/>
          <w:color w:val="000000" w:themeColor="text1"/>
          <w:szCs w:val="21"/>
          <w:highlight w:val="none"/>
          <w:u w:val="single"/>
          <w14:textFill>
            <w14:solidFill>
              <w14:schemeClr w14:val="tx1"/>
            </w14:solidFill>
          </w14:textFill>
        </w:rPr>
        <w:t xml:space="preserve"> </w:t>
      </w:r>
      <w:r>
        <w:rPr>
          <w:rFonts w:hint="eastAsia" w:ascii="宋体" w:hAnsi="宋体" w:eastAsia="宋体" w:cs="宋体"/>
          <w:b/>
          <w:bCs/>
          <w:iCs/>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b/>
          <w:bCs/>
          <w:iCs/>
          <w:color w:val="000000" w:themeColor="text1"/>
          <w:szCs w:val="21"/>
          <w:highlight w:val="none"/>
          <w:u w:val="single"/>
          <w14:textFill>
            <w14:solidFill>
              <w14:schemeClr w14:val="tx1"/>
            </w14:solidFill>
          </w14:textFill>
        </w:rPr>
        <w:t xml:space="preserve">  </w:t>
      </w:r>
      <w:r>
        <w:rPr>
          <w:rFonts w:hint="eastAsia" w:ascii="宋体" w:hAnsi="宋体" w:eastAsia="宋体" w:cs="宋体"/>
          <w:b/>
          <w:bCs/>
          <w:iCs/>
          <w:color w:val="000000" w:themeColor="text1"/>
          <w:szCs w:val="21"/>
          <w:highlight w:val="none"/>
          <w14:textFill>
            <w14:solidFill>
              <w14:schemeClr w14:val="tx1"/>
            </w14:solidFill>
          </w14:textFill>
        </w:rPr>
        <w:t>种方式解决</w:t>
      </w:r>
      <w:r>
        <w:rPr>
          <w:rFonts w:hint="eastAsia" w:ascii="宋体" w:hAnsi="宋体" w:eastAsia="宋体" w:cs="宋体"/>
          <w:color w:val="000000" w:themeColor="text1"/>
          <w:highlight w:val="none"/>
          <w:u w:val="none"/>
          <w14:textFill>
            <w14:solidFill>
              <w14:schemeClr w14:val="tx1"/>
            </w14:solidFill>
          </w14:textFill>
        </w:rPr>
        <w:t xml:space="preserve">  </w:t>
      </w:r>
    </w:p>
    <w:p w14:paraId="7D45BD04">
      <w:pPr>
        <w:numPr>
          <w:ilvl w:val="0"/>
          <w:numId w:val="10"/>
        </w:numPr>
        <w:spacing w:line="400" w:lineRule="exact"/>
        <w:ind w:left="825" w:hanging="40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①合同生效且具备实施条件后7个工作日内</w:t>
      </w:r>
      <w:r>
        <w:rPr>
          <w:rFonts w:hint="eastAsia" w:ascii="宋体" w:hAnsi="宋体" w:cs="宋体"/>
          <w:color w:val="000000" w:themeColor="text1"/>
          <w:highlight w:val="none"/>
          <w:lang w:eastAsia="zh-CN"/>
          <w14:textFill>
            <w14:solidFill>
              <w14:schemeClr w14:val="tx1"/>
            </w14:solidFill>
          </w14:textFill>
        </w:rPr>
        <w:t>，凭</w:t>
      </w:r>
      <w:r>
        <w:rPr>
          <w:rFonts w:hint="eastAsia" w:ascii="宋体" w:hAnsi="宋体" w:cs="宋体"/>
          <w:color w:val="000000" w:themeColor="text1"/>
          <w:highlight w:val="none"/>
          <w:lang w:val="en-US" w:eastAsia="zh-CN"/>
          <w14:textFill>
            <w14:solidFill>
              <w14:schemeClr w14:val="tx1"/>
            </w14:solidFill>
          </w14:textFill>
        </w:rPr>
        <w:t>乙方</w:t>
      </w:r>
      <w:r>
        <w:rPr>
          <w:rFonts w:hint="eastAsia" w:ascii="宋体" w:hAnsi="宋体" w:cs="宋体"/>
          <w:color w:val="000000" w:themeColor="text1"/>
          <w:highlight w:val="none"/>
          <w:lang w:eastAsia="zh-CN"/>
          <w14:textFill>
            <w14:solidFill>
              <w14:schemeClr w14:val="tx1"/>
            </w14:solidFill>
          </w14:textFill>
        </w:rPr>
        <w:t>开具的发票及预付款等额保函</w:t>
      </w:r>
      <w:r>
        <w:rPr>
          <w:rFonts w:hint="eastAsia" w:ascii="宋体" w:hAnsi="宋体" w:cs="宋体"/>
          <w:color w:val="000000" w:themeColor="text1"/>
          <w:highlight w:val="none"/>
          <w14:textFill>
            <w14:solidFill>
              <w14:schemeClr w14:val="tx1"/>
            </w14:solidFill>
          </w14:textFill>
        </w:rPr>
        <w:t>支付合同金额的30%作为预付款。乙方于合同签订前书面承诺放弃预付款或降低预付款支付比例的，可不适用本条款且具体支付方式由双方在合同中自行约定。</w:t>
      </w:r>
    </w:p>
    <w:p w14:paraId="2BB7AB01">
      <w:pPr>
        <w:numPr>
          <w:ilvl w:val="0"/>
          <w:numId w:val="10"/>
        </w:numPr>
        <w:spacing w:line="400" w:lineRule="exact"/>
        <w:ind w:left="825" w:hanging="40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②按照项目进度，设备安装完成且收到乙方开具的发票后7个工作日内支付合同金额的50%。</w:t>
      </w:r>
    </w:p>
    <w:p w14:paraId="59EBDE80">
      <w:pPr>
        <w:numPr>
          <w:ilvl w:val="0"/>
          <w:numId w:val="10"/>
        </w:numPr>
        <w:spacing w:line="400" w:lineRule="exact"/>
        <w:ind w:left="825" w:hanging="405"/>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③验收合格且收到中标人开具的发票后7个工作日内付清余款。</w:t>
      </w:r>
    </w:p>
    <w:p w14:paraId="0020EC08">
      <w:pPr>
        <w:numPr>
          <w:ilvl w:val="0"/>
          <w:numId w:val="10"/>
        </w:numPr>
        <w:spacing w:line="400" w:lineRule="exact"/>
        <w:ind w:left="825" w:leftChars="0" w:hanging="405" w:firstLineChars="0"/>
        <w:rPr>
          <w:rFonts w:hint="eastAsia" w:ascii="宋体" w:hAnsi="宋体" w:eastAsia="宋体" w:cs="宋体"/>
          <w:b/>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因乙方明确同意免收预付款，现</w:t>
      </w:r>
      <w:r>
        <w:rPr>
          <w:rFonts w:hint="eastAsia" w:ascii="宋体" w:hAnsi="宋体" w:eastAsia="宋体" w:cs="宋体"/>
          <w:color w:val="000000" w:themeColor="text1"/>
          <w:highlight w:val="none"/>
          <w:u w:val="none"/>
          <w:lang w:val="en-US" w:eastAsia="zh-CN"/>
          <w14:textFill>
            <w14:solidFill>
              <w14:schemeClr w14:val="tx1"/>
            </w14:solidFill>
          </w14:textFill>
        </w:rPr>
        <w:t>三</w:t>
      </w:r>
      <w:r>
        <w:rPr>
          <w:rFonts w:hint="eastAsia" w:ascii="宋体" w:hAnsi="宋体" w:eastAsia="宋体" w:cs="宋体"/>
          <w:color w:val="000000" w:themeColor="text1"/>
          <w:highlight w:val="none"/>
          <w:u w:val="none"/>
          <w14:textFill>
            <w14:solidFill>
              <w14:schemeClr w14:val="tx1"/>
            </w14:solidFill>
          </w14:textFill>
        </w:rPr>
        <w:t>方共同商议付款方式为试运行通过</w:t>
      </w:r>
      <w:r>
        <w:rPr>
          <w:rFonts w:hint="eastAsia" w:ascii="宋体" w:hAnsi="宋体" w:eastAsia="宋体" w:cs="宋体"/>
          <w:color w:val="000000" w:themeColor="text1"/>
          <w:highlight w:val="none"/>
          <w:u w:val="none"/>
          <w:lang w:val="en-US" w:eastAsia="zh-CN"/>
          <w14:textFill>
            <w14:solidFill>
              <w14:schemeClr w14:val="tx1"/>
            </w14:solidFill>
          </w14:textFill>
        </w:rPr>
        <w:t>甲</w:t>
      </w:r>
      <w:r>
        <w:rPr>
          <w:rFonts w:hint="eastAsia" w:ascii="宋体" w:hAnsi="宋体" w:eastAsia="宋体" w:cs="宋体"/>
          <w:color w:val="000000" w:themeColor="text1"/>
          <w:highlight w:val="none"/>
          <w:u w:val="none"/>
          <w14:textFill>
            <w14:solidFill>
              <w14:schemeClr w14:val="tx1"/>
            </w14:solidFill>
          </w14:textFill>
        </w:rPr>
        <w:t>方验收且达到付款条件后一次性付清全款，付款前</w:t>
      </w:r>
      <w:r>
        <w:rPr>
          <w:rFonts w:hint="eastAsia" w:ascii="宋体" w:hAnsi="宋体" w:eastAsia="宋体" w:cs="宋体"/>
          <w:color w:val="000000" w:themeColor="text1"/>
          <w:highlight w:val="none"/>
          <w:u w:val="none"/>
          <w:lang w:val="en-US" w:eastAsia="zh-CN"/>
          <w14:textFill>
            <w14:solidFill>
              <w14:schemeClr w14:val="tx1"/>
            </w14:solidFill>
          </w14:textFill>
        </w:rPr>
        <w:t>乙</w:t>
      </w:r>
      <w:r>
        <w:rPr>
          <w:rFonts w:hint="eastAsia" w:ascii="宋体" w:hAnsi="宋体" w:eastAsia="宋体" w:cs="宋体"/>
          <w:color w:val="000000" w:themeColor="text1"/>
          <w:highlight w:val="none"/>
          <w:u w:val="none"/>
          <w14:textFill>
            <w14:solidFill>
              <w14:schemeClr w14:val="tx1"/>
            </w14:solidFill>
          </w14:textFill>
        </w:rPr>
        <w:t>方需按合同总价提交全额发票至</w:t>
      </w:r>
      <w:r>
        <w:rPr>
          <w:rFonts w:hint="eastAsia" w:ascii="宋体" w:hAnsi="宋体" w:eastAsia="宋体" w:cs="宋体"/>
          <w:color w:val="000000" w:themeColor="text1"/>
          <w:highlight w:val="none"/>
          <w:u w:val="none"/>
          <w:lang w:val="en-US" w:eastAsia="zh-CN"/>
          <w14:textFill>
            <w14:solidFill>
              <w14:schemeClr w14:val="tx1"/>
            </w14:solidFill>
          </w14:textFill>
        </w:rPr>
        <w:t>丙</w:t>
      </w:r>
      <w:r>
        <w:rPr>
          <w:rFonts w:hint="eastAsia" w:ascii="宋体" w:hAnsi="宋体" w:eastAsia="宋体" w:cs="宋体"/>
          <w:color w:val="000000" w:themeColor="text1"/>
          <w:highlight w:val="none"/>
          <w:u w:val="none"/>
          <w14:textFill>
            <w14:solidFill>
              <w14:schemeClr w14:val="tx1"/>
            </w14:solidFill>
          </w14:textFill>
        </w:rPr>
        <w:t>方。</w:t>
      </w:r>
    </w:p>
    <w:p w14:paraId="0307D88C">
      <w:pPr>
        <w:pStyle w:val="973"/>
        <w:ind w:left="0" w:leftChars="0" w:firstLine="0" w:firstLineChars="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甲方的权利和义务</w:t>
      </w:r>
    </w:p>
    <w:p w14:paraId="16533F54">
      <w:pPr>
        <w:numPr>
          <w:ilvl w:val="0"/>
          <w:numId w:val="11"/>
        </w:numPr>
        <w:spacing w:line="400" w:lineRule="exact"/>
        <w:ind w:left="825" w:leftChars="0" w:hanging="405"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签署合同后，甲方应确定项目联系人</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u w:val="none"/>
          <w:lang w:val="en-US" w:eastAsia="zh-CN"/>
          <w14:textFill>
            <w14:solidFill>
              <w14:schemeClr w14:val="tx1"/>
            </w14:solidFill>
          </w14:textFill>
        </w:rPr>
        <w:t>，负责与本合同有关的事务。甲方有权对乙方的履约行为进行检查，并及时确认乙方提交的事项。甲方应当配合乙方完成相关项目实施工作。</w:t>
      </w:r>
    </w:p>
    <w:p w14:paraId="043CE350">
      <w:pPr>
        <w:numPr>
          <w:ilvl w:val="0"/>
          <w:numId w:val="11"/>
        </w:numPr>
        <w:spacing w:line="400" w:lineRule="exact"/>
        <w:ind w:left="825" w:leftChars="0" w:hanging="405"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甲方有权要求乙方按时提交各阶段有关安排计划，并有权定期核对乙方提供货物数量、规格、质量等内容。甲方有权督促乙方工作并要求乙方更换不符合要求的货物。</w:t>
      </w:r>
    </w:p>
    <w:p w14:paraId="6DBABD39">
      <w:pPr>
        <w:numPr>
          <w:ilvl w:val="0"/>
          <w:numId w:val="11"/>
        </w:numPr>
        <w:spacing w:line="400" w:lineRule="exact"/>
        <w:ind w:left="825" w:leftChars="0" w:hanging="405"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甲方有权要求乙方对缺陷部分予以修复，并按合同约定享有货物保修及其他合同约定的权利。</w:t>
      </w:r>
    </w:p>
    <w:p w14:paraId="5BF34A29">
      <w:pPr>
        <w:numPr>
          <w:ilvl w:val="0"/>
          <w:numId w:val="11"/>
        </w:numPr>
        <w:spacing w:line="400" w:lineRule="exact"/>
        <w:ind w:left="825" w:leftChars="0" w:hanging="405"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甲方应当按照合同约定及时对交付的货物进行验收，未在约定的期限内对乙方履约提出任何异议或者向乙方作出任何说明的，视为验收通过。</w:t>
      </w:r>
    </w:p>
    <w:p w14:paraId="1AD053C4">
      <w:pPr>
        <w:numPr>
          <w:ilvl w:val="0"/>
          <w:numId w:val="11"/>
        </w:numPr>
        <w:spacing w:line="400" w:lineRule="exact"/>
        <w:ind w:left="825" w:leftChars="0" w:hanging="405" w:firstLineChars="0"/>
        <w:rPr>
          <w:rFonts w:hint="eastAsia" w:ascii="宋体" w:hAnsi="宋体" w:eastAsia="宋体" w:cs="宋体"/>
          <w:b w:val="0"/>
          <w:color w:val="000000" w:themeColor="text1"/>
          <w:sz w:val="21"/>
          <w:highlight w:val="none"/>
          <w:u w:val="none"/>
          <w:lang w:val="en-US" w:eastAsia="zh-CN"/>
          <w14:textFill>
            <w14:solidFill>
              <w14:schemeClr w14:val="tx1"/>
            </w14:solidFill>
          </w14:textFill>
        </w:rPr>
      </w:pPr>
      <w:r>
        <w:rPr>
          <w:rFonts w:hint="eastAsia" w:ascii="宋体" w:hAnsi="宋体" w:eastAsia="宋体" w:cs="宋体"/>
          <w:b w:val="0"/>
          <w:color w:val="000000" w:themeColor="text1"/>
          <w:sz w:val="21"/>
          <w:highlight w:val="none"/>
          <w:u w:val="none"/>
          <w:lang w:val="en-US" w:eastAsia="zh-CN"/>
          <w14:textFill>
            <w14:solidFill>
              <w14:schemeClr w14:val="tx1"/>
            </w14:solidFill>
          </w14:textFill>
        </w:rPr>
        <w:t>甲方和乙方应向丙方提交请款资料，请付款的资料包括验收合格材料、请款申请及乙方发票；因验收及提请付款迟延等甲方原因引起的付款或付款金额不一致，所引起的审计、违约等责任与丙方无涉。</w:t>
      </w:r>
    </w:p>
    <w:p w14:paraId="52B90234">
      <w:pPr>
        <w:numPr>
          <w:ilvl w:val="0"/>
          <w:numId w:val="0"/>
        </w:numPr>
        <w:spacing w:line="400" w:lineRule="exact"/>
        <w:ind w:left="420" w:leftChars="0" w:firstLine="0"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6.国家法律法规规定应由甲方承担的其他义务和责任。</w:t>
      </w:r>
    </w:p>
    <w:p w14:paraId="2BA58945">
      <w:pPr>
        <w:pStyle w:val="973"/>
        <w:ind w:left="0" w:leftChars="0" w:firstLine="0" w:firstLineChars="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b/>
          <w:bCs/>
          <w:color w:val="000000" w:themeColor="text1"/>
          <w:sz w:val="21"/>
          <w:szCs w:val="21"/>
          <w:highlight w:val="none"/>
          <w14:textFill>
            <w14:solidFill>
              <w14:schemeClr w14:val="tx1"/>
            </w14:solidFill>
          </w14:textFill>
        </w:rPr>
        <w:t>乙方的权利和义务</w:t>
      </w:r>
    </w:p>
    <w:p w14:paraId="4FC98EE8">
      <w:pPr>
        <w:numPr>
          <w:ilvl w:val="0"/>
          <w:numId w:val="12"/>
        </w:numPr>
        <w:spacing w:line="400" w:lineRule="exact"/>
        <w:ind w:left="825" w:leftChars="0" w:hanging="405"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 xml:space="preserve">签署合同后，乙方应确定项目负责人 </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u w:val="none"/>
          <w:lang w:val="en-US" w:eastAsia="zh-CN"/>
          <w14:textFill>
            <w14:solidFill>
              <w14:schemeClr w14:val="tx1"/>
            </w14:solidFill>
          </w14:textFill>
        </w:rPr>
        <w:t xml:space="preserve"> ，负责与本合同有关的事务。</w:t>
      </w:r>
    </w:p>
    <w:p w14:paraId="02A21624">
      <w:pPr>
        <w:numPr>
          <w:ilvl w:val="0"/>
          <w:numId w:val="12"/>
        </w:numPr>
        <w:spacing w:line="400" w:lineRule="exact"/>
        <w:ind w:left="825" w:leftChars="0" w:hanging="405"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D19CCF0">
      <w:pPr>
        <w:numPr>
          <w:ilvl w:val="0"/>
          <w:numId w:val="12"/>
        </w:numPr>
        <w:spacing w:line="400" w:lineRule="exact"/>
        <w:ind w:left="825" w:leftChars="0" w:hanging="405"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乙方在申请款项时应按合同约定的时间向丙方提供合法有效、足额的发票，发票抬头为丙方。</w:t>
      </w:r>
    </w:p>
    <w:p w14:paraId="57142351">
      <w:pPr>
        <w:numPr>
          <w:ilvl w:val="0"/>
          <w:numId w:val="12"/>
        </w:numPr>
        <w:spacing w:line="400" w:lineRule="exact"/>
        <w:ind w:left="825" w:leftChars="0" w:hanging="405"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国家法律法规规定应由乙方承担的其他义务和责任。</w:t>
      </w:r>
    </w:p>
    <w:p w14:paraId="74B5A2BB">
      <w:pPr>
        <w:numPr>
          <w:ilvl w:val="0"/>
          <w:numId w:val="13"/>
        </w:numPr>
        <w:spacing w:line="400" w:lineRule="exact"/>
        <w:rPr>
          <w:rFonts w:hint="eastAsia" w:ascii="宋体" w:hAnsi="宋体" w:eastAsia="宋体" w:cs="宋体"/>
          <w:b/>
          <w:bCs/>
          <w:color w:val="000000" w:themeColor="text1"/>
          <w:highlight w:val="none"/>
          <w:u w:val="none"/>
          <w:lang w:val="en-US" w:eastAsia="zh-CN"/>
          <w14:textFill>
            <w14:solidFill>
              <w14:schemeClr w14:val="tx1"/>
            </w14:solidFill>
          </w14:textFill>
        </w:rPr>
      </w:pPr>
      <w:r>
        <w:rPr>
          <w:rFonts w:hint="eastAsia" w:ascii="宋体" w:hAnsi="宋体" w:eastAsia="宋体" w:cs="宋体"/>
          <w:b/>
          <w:bCs/>
          <w:color w:val="000000" w:themeColor="text1"/>
          <w:highlight w:val="none"/>
          <w:u w:val="none"/>
          <w:lang w:val="en-US" w:eastAsia="zh-CN"/>
          <w14:textFill>
            <w14:solidFill>
              <w14:schemeClr w14:val="tx1"/>
            </w14:solidFill>
          </w14:textFill>
        </w:rPr>
        <w:t>丙方的权利和义务</w:t>
      </w:r>
    </w:p>
    <w:p w14:paraId="3D16D86C">
      <w:pPr>
        <w:numPr>
          <w:ilvl w:val="0"/>
          <w:numId w:val="14"/>
        </w:numPr>
        <w:spacing w:line="400" w:lineRule="exact"/>
        <w:ind w:left="825" w:leftChars="0" w:hanging="405" w:firstLineChars="0"/>
        <w:rPr>
          <w:rFonts w:hint="eastAsia" w:ascii="宋体" w:hAnsi="宋体" w:eastAsia="宋体" w:cs="宋体"/>
          <w:b w:val="0"/>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丙方在</w:t>
      </w:r>
      <w:r>
        <w:rPr>
          <w:rFonts w:hint="eastAsia" w:ascii="宋体" w:hAnsi="宋体" w:eastAsia="宋体" w:cs="宋体"/>
          <w:b w:val="0"/>
          <w:color w:val="000000" w:themeColor="text1"/>
          <w:highlight w:val="none"/>
          <w:u w:val="none"/>
          <w:lang w:val="en-US" w:eastAsia="zh-CN"/>
          <w14:textFill>
            <w14:solidFill>
              <w14:schemeClr w14:val="tx1"/>
            </w14:solidFill>
          </w14:textFill>
        </w:rPr>
        <w:t>收到</w:t>
      </w:r>
      <w:r>
        <w:rPr>
          <w:rFonts w:hint="eastAsia" w:ascii="宋体" w:hAnsi="宋体" w:eastAsia="宋体" w:cs="宋体"/>
          <w:color w:val="000000" w:themeColor="text1"/>
          <w:sz w:val="21"/>
          <w:szCs w:val="24"/>
          <w:highlight w:val="none"/>
          <w:u w:val="none"/>
          <w:lang w:val="en-US" w:eastAsia="zh-CN"/>
          <w14:textFill>
            <w14:solidFill>
              <w14:schemeClr w14:val="tx1"/>
            </w14:solidFill>
          </w14:textFill>
        </w:rPr>
        <w:t>宁波市北仑区卫生健康局的项目资金且</w:t>
      </w:r>
      <w:r>
        <w:rPr>
          <w:rFonts w:hint="eastAsia" w:ascii="宋体" w:hAnsi="宋体" w:eastAsia="宋体" w:cs="宋体"/>
          <w:color w:val="000000" w:themeColor="text1"/>
          <w:highlight w:val="none"/>
          <w:u w:val="none"/>
          <w:lang w:val="en-US" w:eastAsia="zh-CN"/>
          <w14:textFill>
            <w14:solidFill>
              <w14:schemeClr w14:val="tx1"/>
            </w14:solidFill>
          </w14:textFill>
        </w:rPr>
        <w:t>甲方的采购方式、合同支付条款等符合国家、省、市、区相关规定的前提下，严格按本合同要求向乙方支付合同价款；</w:t>
      </w:r>
      <w:r>
        <w:rPr>
          <w:rFonts w:hint="eastAsia" w:ascii="宋体" w:hAnsi="宋体" w:eastAsia="宋体" w:cs="宋体"/>
          <w:b w:val="0"/>
          <w:color w:val="000000" w:themeColor="text1"/>
          <w:highlight w:val="none"/>
          <w:u w:val="none"/>
          <w:lang w:val="en-US" w:eastAsia="zh-CN"/>
          <w14:textFill>
            <w14:solidFill>
              <w14:schemeClr w14:val="tx1"/>
            </w14:solidFill>
          </w14:textFill>
        </w:rPr>
        <w:t>甲方须确保本合同结算价不超过概算审定价（单项），如若超出，由甲方负责办理该概算超出的变更手续，未办理变更手续的，丙方可不予支付超过概算审定价以外的合同价款；</w:t>
      </w:r>
    </w:p>
    <w:p w14:paraId="1902321A">
      <w:pPr>
        <w:numPr>
          <w:ilvl w:val="0"/>
          <w:numId w:val="14"/>
        </w:numPr>
        <w:spacing w:line="400" w:lineRule="exact"/>
        <w:ind w:left="825" w:leftChars="0" w:hanging="405" w:firstLineChars="0"/>
        <w:rPr>
          <w:rFonts w:hint="eastAsia" w:ascii="宋体" w:hAnsi="宋体" w:eastAsia="宋体" w:cs="宋体"/>
          <w:b w:val="0"/>
          <w:color w:val="000000" w:themeColor="text1"/>
          <w:highlight w:val="none"/>
          <w:u w:val="none"/>
          <w:lang w:val="en-US" w:eastAsia="zh-CN"/>
          <w14:textFill>
            <w14:solidFill>
              <w14:schemeClr w14:val="tx1"/>
            </w14:solidFill>
          </w14:textFill>
        </w:rPr>
      </w:pPr>
      <w:r>
        <w:rPr>
          <w:rFonts w:hint="eastAsia" w:ascii="宋体" w:hAnsi="宋体" w:eastAsia="宋体" w:cs="宋体"/>
          <w:b w:val="0"/>
          <w:color w:val="000000" w:themeColor="text1"/>
          <w:highlight w:val="none"/>
          <w:u w:val="none"/>
          <w:lang w:val="en-US" w:eastAsia="zh-CN"/>
          <w14:textFill>
            <w14:solidFill>
              <w14:schemeClr w14:val="tx1"/>
            </w14:solidFill>
          </w14:textFill>
        </w:rPr>
        <w:t>丙方付款前，甲方及乙方应向甲方提交请款资料；丙方有权要求甲方或乙方提供合同的发包、履约、验收等相关资料，甲方或乙方未提供的或迟延提供的，丙方可不予支付合同价款或迟延支付，并丙方据此不承担任何违约责任。</w:t>
      </w:r>
    </w:p>
    <w:p w14:paraId="13116530">
      <w:pPr>
        <w:numPr>
          <w:ilvl w:val="0"/>
          <w:numId w:val="14"/>
        </w:numPr>
        <w:spacing w:line="400" w:lineRule="exact"/>
        <w:ind w:left="825" w:leftChars="0" w:hanging="405"/>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丙</w:t>
      </w:r>
      <w:r>
        <w:rPr>
          <w:rFonts w:hint="eastAsia" w:ascii="宋体" w:hAnsi="宋体" w:eastAsia="宋体" w:cs="宋体"/>
          <w:color w:val="000000" w:themeColor="text1"/>
          <w:highlight w:val="none"/>
          <w:u w:val="none"/>
          <w14:textFill>
            <w14:solidFill>
              <w14:schemeClr w14:val="tx1"/>
            </w14:solidFill>
          </w14:textFill>
        </w:rPr>
        <w:t>方</w:t>
      </w:r>
      <w:r>
        <w:rPr>
          <w:rFonts w:hint="eastAsia" w:ascii="宋体" w:hAnsi="宋体" w:eastAsia="宋体" w:cs="宋体"/>
          <w:color w:val="000000" w:themeColor="text1"/>
          <w:highlight w:val="none"/>
          <w:u w:val="none"/>
          <w:lang w:val="en-US" w:eastAsia="zh-CN"/>
          <w14:textFill>
            <w14:solidFill>
              <w14:schemeClr w14:val="tx1"/>
            </w14:solidFill>
          </w14:textFill>
        </w:rPr>
        <w:t>在</w:t>
      </w:r>
      <w:r>
        <w:rPr>
          <w:rFonts w:hint="eastAsia" w:ascii="宋体" w:hAnsi="宋体" w:eastAsia="宋体" w:cs="宋体"/>
          <w:color w:val="000000" w:themeColor="text1"/>
          <w:highlight w:val="none"/>
          <w:u w:val="none"/>
          <w14:textFill>
            <w14:solidFill>
              <w14:schemeClr w14:val="tx1"/>
            </w14:solidFill>
          </w14:textFill>
        </w:rPr>
        <w:t>收到</w:t>
      </w:r>
      <w:r>
        <w:rPr>
          <w:rFonts w:hint="eastAsia" w:ascii="宋体" w:hAnsi="宋体" w:eastAsia="宋体" w:cs="宋体"/>
          <w:color w:val="000000" w:themeColor="text1"/>
          <w:highlight w:val="none"/>
          <w:u w:val="none"/>
          <w:lang w:val="en-US" w:eastAsia="zh-CN"/>
          <w14:textFill>
            <w14:solidFill>
              <w14:schemeClr w14:val="tx1"/>
            </w14:solidFill>
          </w14:textFill>
        </w:rPr>
        <w:t>甲方和乙方完整有效的请款资料</w:t>
      </w:r>
      <w:r>
        <w:rPr>
          <w:rFonts w:hint="eastAsia" w:ascii="宋体" w:hAnsi="宋体" w:eastAsia="宋体" w:cs="宋体"/>
          <w:color w:val="000000" w:themeColor="text1"/>
          <w:highlight w:val="none"/>
          <w:u w:val="none"/>
          <w14:textFill>
            <w14:solidFill>
              <w14:schemeClr w14:val="tx1"/>
            </w14:solidFill>
          </w14:textFill>
        </w:rPr>
        <w:t>后60天内一次性付清全款</w:t>
      </w:r>
      <w:r>
        <w:rPr>
          <w:rFonts w:hint="eastAsia" w:ascii="宋体" w:hAnsi="宋体" w:eastAsia="宋体" w:cs="宋体"/>
          <w:color w:val="000000" w:themeColor="text1"/>
          <w:highlight w:val="none"/>
          <w:u w:val="none"/>
          <w:lang w:eastAsia="zh-CN"/>
          <w14:textFill>
            <w14:solidFill>
              <w14:schemeClr w14:val="tx1"/>
            </w14:solidFill>
          </w14:textFill>
        </w:rPr>
        <w:t>；</w:t>
      </w:r>
      <w:r>
        <w:rPr>
          <w:rFonts w:hint="eastAsia" w:ascii="宋体" w:hAnsi="宋体" w:eastAsia="宋体" w:cs="宋体"/>
          <w:color w:val="000000" w:themeColor="text1"/>
          <w:highlight w:val="none"/>
          <w:u w:val="none"/>
          <w:lang w:val="en-US" w:eastAsia="zh-CN"/>
          <w14:textFill>
            <w14:solidFill>
              <w14:schemeClr w14:val="tx1"/>
            </w14:solidFill>
          </w14:textFill>
        </w:rPr>
        <w:t>如请款资料齐全但丙方未</w:t>
      </w:r>
      <w:r>
        <w:rPr>
          <w:rFonts w:hint="eastAsia" w:ascii="宋体" w:hAnsi="宋体" w:eastAsia="宋体" w:cs="宋体"/>
          <w:b w:val="0"/>
          <w:color w:val="000000" w:themeColor="text1"/>
          <w:highlight w:val="none"/>
          <w:u w:val="none"/>
          <w:lang w:val="en-US" w:eastAsia="zh-CN"/>
          <w14:textFill>
            <w14:solidFill>
              <w14:schemeClr w14:val="tx1"/>
            </w14:solidFill>
          </w14:textFill>
        </w:rPr>
        <w:t>收到</w:t>
      </w:r>
      <w:r>
        <w:rPr>
          <w:rFonts w:hint="eastAsia" w:ascii="宋体" w:hAnsi="宋体" w:eastAsia="宋体" w:cs="宋体"/>
          <w:color w:val="000000" w:themeColor="text1"/>
          <w:sz w:val="21"/>
          <w:szCs w:val="24"/>
          <w:highlight w:val="none"/>
          <w:u w:val="none"/>
          <w:lang w:val="en-US" w:eastAsia="zh-CN"/>
          <w14:textFill>
            <w14:solidFill>
              <w14:schemeClr w14:val="tx1"/>
            </w14:solidFill>
          </w14:textFill>
        </w:rPr>
        <w:t>宁波市北仑区卫生健康局的项目资金的，丙方有权不予支付且不构成违约，乙方无权向丙方主张款项及违约金。</w:t>
      </w:r>
    </w:p>
    <w:p w14:paraId="46C4739F">
      <w:pPr>
        <w:numPr>
          <w:ilvl w:val="0"/>
          <w:numId w:val="14"/>
        </w:numPr>
        <w:spacing w:line="400" w:lineRule="exact"/>
        <w:ind w:left="825" w:leftChars="0" w:hanging="405"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丙方全面享有和承担与资金相关的权责和义务(包括违约金收缴、索赔等)。</w:t>
      </w:r>
    </w:p>
    <w:p w14:paraId="47BAD06B">
      <w:pPr>
        <w:numPr>
          <w:ilvl w:val="0"/>
          <w:numId w:val="0"/>
        </w:numPr>
        <w:spacing w:line="400" w:lineRule="exact"/>
        <w:rPr>
          <w:rFonts w:hint="eastAsia" w:ascii="宋体" w:hAnsi="宋体" w:eastAsia="宋体" w:cs="宋体"/>
          <w:b/>
          <w:bCs/>
          <w:color w:val="000000" w:themeColor="text1"/>
          <w:highlight w:val="none"/>
          <w:u w:val="none"/>
          <w:lang w:eastAsia="zh-CN"/>
          <w14:textFill>
            <w14:solidFill>
              <w14:schemeClr w14:val="tx1"/>
            </w14:solidFill>
          </w14:textFill>
        </w:rPr>
      </w:pPr>
      <w:r>
        <w:rPr>
          <w:rFonts w:hint="eastAsia" w:ascii="宋体" w:hAnsi="宋体" w:eastAsia="宋体" w:cs="宋体"/>
          <w:b/>
          <w:bCs/>
          <w:color w:val="000000" w:themeColor="text1"/>
          <w:highlight w:val="none"/>
          <w:u w:val="none"/>
          <w:lang w:val="en-US" w:eastAsia="zh-CN"/>
          <w14:textFill>
            <w14:solidFill>
              <w14:schemeClr w14:val="tx1"/>
            </w14:solidFill>
          </w14:textFill>
        </w:rPr>
        <w:t>八、</w:t>
      </w:r>
      <w:r>
        <w:rPr>
          <w:rFonts w:hint="eastAsia" w:ascii="宋体" w:hAnsi="宋体" w:eastAsia="宋体" w:cs="宋体"/>
          <w:b/>
          <w:bCs/>
          <w:color w:val="000000" w:themeColor="text1"/>
          <w:highlight w:val="none"/>
          <w:u w:val="none"/>
          <w14:textFill>
            <w14:solidFill>
              <w14:schemeClr w14:val="tx1"/>
            </w14:solidFill>
          </w14:textFill>
        </w:rPr>
        <w:t>交付要求</w:t>
      </w:r>
    </w:p>
    <w:p w14:paraId="2487C4DB">
      <w:pPr>
        <w:numPr>
          <w:ilvl w:val="0"/>
          <w:numId w:val="15"/>
        </w:numPr>
        <w:spacing w:line="400" w:lineRule="exact"/>
        <w:ind w:left="840" w:leftChars="0" w:hanging="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本合同涉及商品包装、快递包装的，除另有约定外，包装应适应远距离运输、防潮、防震、防锈和防野蛮装卸等要求，确保货物安全无损地运抵</w:t>
      </w:r>
      <w:r>
        <w:rPr>
          <w:rFonts w:hint="eastAsia" w:ascii="宋体" w:hAnsi="宋体" w:eastAsia="宋体" w:cs="宋体"/>
          <w:color w:val="000000" w:themeColor="text1"/>
          <w:highlight w:val="none"/>
          <w:u w:val="none"/>
          <w:lang w:val="en-US" w:eastAsia="zh-CN"/>
          <w14:textFill>
            <w14:solidFill>
              <w14:schemeClr w14:val="tx1"/>
            </w14:solidFill>
          </w14:textFill>
        </w:rPr>
        <w:t>甲方</w:t>
      </w:r>
      <w:r>
        <w:rPr>
          <w:rFonts w:hint="eastAsia" w:ascii="宋体" w:hAnsi="宋体" w:eastAsia="宋体" w:cs="宋体"/>
          <w:color w:val="000000" w:themeColor="text1"/>
          <w:highlight w:val="none"/>
          <w:u w:val="none"/>
          <w14:textFill>
            <w14:solidFill>
              <w14:schemeClr w14:val="tx1"/>
            </w14:solidFill>
          </w14:textFill>
        </w:rPr>
        <w:t>的指定现场。</w:t>
      </w:r>
    </w:p>
    <w:p w14:paraId="2B3289E5">
      <w:pPr>
        <w:numPr>
          <w:ilvl w:val="0"/>
          <w:numId w:val="15"/>
        </w:numPr>
        <w:spacing w:line="400" w:lineRule="exact"/>
        <w:ind w:left="840" w:leftChars="0" w:hanging="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乙方在运输到达之前应提前通知甲方，并提示货物运输装卸的注意事项，甲方配合乙方做好货物的接收工作。</w:t>
      </w:r>
    </w:p>
    <w:p w14:paraId="284B6F3E">
      <w:pPr>
        <w:numPr>
          <w:ilvl w:val="0"/>
          <w:numId w:val="15"/>
        </w:numPr>
        <w:spacing w:line="400" w:lineRule="exact"/>
        <w:ind w:left="840" w:leftChars="0" w:hanging="5" w:firstLineChars="0"/>
        <w:rPr>
          <w:rFonts w:hint="eastAsia" w:ascii="宋体" w:hAnsi="宋体" w:eastAsia="宋体" w:cs="宋体"/>
          <w:b/>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 xml:space="preserve">如因包装、运输问题导致货物损毁、丢失或者品质下降，甲方有权要求降价、换货、拒收部分或整批货物，由此产生的费用和损失，均由乙方承担。 </w:t>
      </w:r>
    </w:p>
    <w:p w14:paraId="5B7F47BA">
      <w:pPr>
        <w:numPr>
          <w:ilvl w:val="0"/>
          <w:numId w:val="0"/>
        </w:numPr>
        <w:spacing w:line="400" w:lineRule="exact"/>
        <w:ind w:left="1" w:leftChars="0"/>
        <w:rPr>
          <w:rFonts w:hint="eastAsia" w:ascii="宋体" w:hAnsi="宋体" w:eastAsia="宋体" w:cs="宋体"/>
          <w:b/>
          <w:bCs/>
          <w:color w:val="000000" w:themeColor="text1"/>
          <w:highlight w:val="none"/>
          <w:u w:val="none"/>
          <w:lang w:val="en-US" w:eastAsia="zh-CN"/>
          <w14:textFill>
            <w14:solidFill>
              <w14:schemeClr w14:val="tx1"/>
            </w14:solidFill>
          </w14:textFill>
        </w:rPr>
      </w:pPr>
      <w:r>
        <w:rPr>
          <w:rFonts w:hint="eastAsia" w:ascii="宋体" w:hAnsi="宋体" w:eastAsia="宋体" w:cs="宋体"/>
          <w:b/>
          <w:bCs/>
          <w:color w:val="000000" w:themeColor="text1"/>
          <w:highlight w:val="none"/>
          <w:u w:val="none"/>
          <w:lang w:val="en-US" w:eastAsia="zh-CN"/>
          <w14:textFill>
            <w14:solidFill>
              <w14:schemeClr w14:val="tx1"/>
            </w14:solidFill>
          </w14:textFill>
        </w:rPr>
        <w:t>九、技术资料</w:t>
      </w:r>
    </w:p>
    <w:p w14:paraId="1498109C">
      <w:pPr>
        <w:numPr>
          <w:ilvl w:val="0"/>
          <w:numId w:val="16"/>
        </w:numPr>
        <w:spacing w:line="400" w:lineRule="exact"/>
        <w:ind w:left="825" w:leftChars="0" w:hanging="405"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乙方应按照招标文件规定的时间内向甲方提供使用货物的有关技术资料。</w:t>
      </w:r>
    </w:p>
    <w:p w14:paraId="16B9E2ED">
      <w:pPr>
        <w:numPr>
          <w:ilvl w:val="0"/>
          <w:numId w:val="16"/>
        </w:numPr>
        <w:spacing w:line="400" w:lineRule="exact"/>
        <w:ind w:left="825" w:leftChars="0" w:hanging="405" w:firstLineChars="0"/>
        <w:rPr>
          <w:rFonts w:hint="eastAsia" w:ascii="宋体" w:hAnsi="宋体" w:eastAsia="宋体" w:cs="宋体"/>
          <w:b/>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合同的必需范围。</w:t>
      </w:r>
    </w:p>
    <w:p w14:paraId="54F485CC">
      <w:pPr>
        <w:numPr>
          <w:ilvl w:val="0"/>
          <w:numId w:val="0"/>
        </w:numPr>
        <w:spacing w:line="400" w:lineRule="exact"/>
        <w:rPr>
          <w:rFonts w:hint="eastAsia" w:ascii="宋体" w:hAnsi="宋体" w:eastAsia="宋体" w:cs="宋体"/>
          <w:b/>
          <w:bCs/>
          <w:color w:val="000000" w:themeColor="text1"/>
          <w:highlight w:val="none"/>
          <w:u w:val="none"/>
          <w14:textFill>
            <w14:solidFill>
              <w14:schemeClr w14:val="tx1"/>
            </w14:solidFill>
          </w14:textFill>
        </w:rPr>
      </w:pPr>
      <w:r>
        <w:rPr>
          <w:rFonts w:hint="eastAsia" w:ascii="宋体" w:hAnsi="宋体" w:eastAsia="宋体" w:cs="宋体"/>
          <w:b/>
          <w:bCs/>
          <w:color w:val="000000" w:themeColor="text1"/>
          <w:highlight w:val="none"/>
          <w:u w:val="none"/>
          <w:lang w:val="en-US" w:eastAsia="zh-CN"/>
          <w14:textFill>
            <w14:solidFill>
              <w14:schemeClr w14:val="tx1"/>
            </w14:solidFill>
          </w14:textFill>
        </w:rPr>
        <w:t>十、</w:t>
      </w:r>
      <w:r>
        <w:rPr>
          <w:rFonts w:hint="eastAsia" w:ascii="宋体" w:hAnsi="宋体" w:eastAsia="宋体" w:cs="宋体"/>
          <w:b/>
          <w:bCs/>
          <w:color w:val="000000" w:themeColor="text1"/>
          <w:highlight w:val="none"/>
          <w:u w:val="none"/>
          <w14:textFill>
            <w14:solidFill>
              <w14:schemeClr w14:val="tx1"/>
            </w14:solidFill>
          </w14:textFill>
        </w:rPr>
        <w:t>质量标准和保证</w:t>
      </w:r>
    </w:p>
    <w:p w14:paraId="634D281B">
      <w:pPr>
        <w:numPr>
          <w:ilvl w:val="0"/>
          <w:numId w:val="17"/>
        </w:numPr>
        <w:spacing w:line="400" w:lineRule="exact"/>
        <w:ind w:left="425" w:leftChars="0" w:hanging="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质量标准</w:t>
      </w:r>
    </w:p>
    <w:p w14:paraId="7137DC8B">
      <w:pPr>
        <w:numPr>
          <w:ilvl w:val="0"/>
          <w:numId w:val="18"/>
        </w:numPr>
        <w:spacing w:line="400" w:lineRule="exact"/>
        <w:ind w:left="1060" w:leftChars="0" w:hanging="42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0ADE5B9">
      <w:pPr>
        <w:numPr>
          <w:ilvl w:val="0"/>
          <w:numId w:val="18"/>
        </w:numPr>
        <w:spacing w:line="400" w:lineRule="exact"/>
        <w:ind w:left="1060" w:leftChars="0" w:hanging="42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采用中华人民共和国法定计量单位。</w:t>
      </w:r>
    </w:p>
    <w:p w14:paraId="4E310CFF">
      <w:pPr>
        <w:numPr>
          <w:ilvl w:val="0"/>
          <w:numId w:val="18"/>
        </w:numPr>
        <w:spacing w:line="400" w:lineRule="exact"/>
        <w:ind w:left="1060" w:leftChars="0" w:hanging="42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乙方所提供的货物应符合国家有关安全、环保、卫生的规定。</w:t>
      </w:r>
    </w:p>
    <w:p w14:paraId="539BE5E7">
      <w:pPr>
        <w:numPr>
          <w:ilvl w:val="0"/>
          <w:numId w:val="18"/>
        </w:numPr>
        <w:spacing w:line="400" w:lineRule="exact"/>
        <w:ind w:left="1060" w:leftChars="0" w:hanging="42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乙方应向甲方提交所提供货物的技术文件，包括相应的中文技术文件，如：产品目录、图纸、操作手册、使用说明、维护手册或服务指南等。上述文件应包装好随货物一同发运。</w:t>
      </w:r>
    </w:p>
    <w:p w14:paraId="4D007377">
      <w:pPr>
        <w:numPr>
          <w:ilvl w:val="0"/>
          <w:numId w:val="17"/>
        </w:numPr>
        <w:spacing w:line="400" w:lineRule="exact"/>
        <w:ind w:left="425" w:leftChars="0" w:hanging="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保证</w:t>
      </w:r>
    </w:p>
    <w:p w14:paraId="346ACD22">
      <w:pPr>
        <w:numPr>
          <w:ilvl w:val="0"/>
          <w:numId w:val="19"/>
        </w:numPr>
        <w:spacing w:line="400" w:lineRule="exact"/>
        <w:ind w:left="1060" w:leftChars="0" w:hanging="42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乙方应保证提供的货物完全符合合同规定的质量、规格和性能要求。乙方应保证货物在正确安装、正常使用和保养条件下，在其使用寿命期内具备合同约定的性能。</w:t>
      </w:r>
    </w:p>
    <w:p w14:paraId="4D770494">
      <w:pPr>
        <w:numPr>
          <w:ilvl w:val="0"/>
          <w:numId w:val="19"/>
        </w:numPr>
        <w:spacing w:line="400" w:lineRule="exact"/>
        <w:ind w:left="1060" w:leftChars="0" w:hanging="42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在质量保证期内所发现的缺陷，甲方应尽快以书面形式通知乙方。</w:t>
      </w:r>
    </w:p>
    <w:p w14:paraId="610B504A">
      <w:pPr>
        <w:numPr>
          <w:ilvl w:val="0"/>
          <w:numId w:val="19"/>
        </w:numPr>
        <w:spacing w:line="400" w:lineRule="exact"/>
        <w:ind w:left="1060" w:leftChars="0" w:hanging="42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乙方收到通知后，应在规定的响应时间内以合理的速度免费维修或更换有缺陷的货物或部件。</w:t>
      </w:r>
    </w:p>
    <w:p w14:paraId="4F0D39D5">
      <w:pPr>
        <w:numPr>
          <w:ilvl w:val="0"/>
          <w:numId w:val="19"/>
        </w:numPr>
        <w:spacing w:line="400" w:lineRule="exact"/>
        <w:ind w:left="1060" w:leftChars="0" w:hanging="42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在质量保证期内，如果货物的质量或规格与合同不符，或证实货物是有缺陷的，包括潜在的缺陷或使用不符合要求的材料等，甲方可以根据本合同</w:t>
      </w:r>
      <w:r>
        <w:rPr>
          <w:rFonts w:hint="eastAsia" w:ascii="宋体" w:hAnsi="宋体" w:eastAsia="宋体" w:cs="宋体"/>
          <w:b/>
          <w:bCs/>
          <w:color w:val="000000" w:themeColor="text1"/>
          <w:highlight w:val="none"/>
          <w:u w:val="none"/>
          <w:lang w:val="en-US" w:eastAsia="zh-CN"/>
          <w14:textFill>
            <w14:solidFill>
              <w14:schemeClr w14:val="tx1"/>
            </w14:solidFill>
          </w14:textFill>
        </w:rPr>
        <w:t>十五</w:t>
      </w:r>
      <w:r>
        <w:rPr>
          <w:rFonts w:hint="eastAsia" w:ascii="宋体" w:hAnsi="宋体" w:eastAsia="宋体" w:cs="宋体"/>
          <w:color w:val="000000" w:themeColor="text1"/>
          <w:highlight w:val="none"/>
          <w:u w:val="none"/>
          <w14:textFill>
            <w14:solidFill>
              <w14:schemeClr w14:val="tx1"/>
            </w14:solidFill>
          </w14:textFill>
        </w:rPr>
        <w:t>条规定以书面形式追究乙方的违约责任。</w:t>
      </w:r>
    </w:p>
    <w:p w14:paraId="60AE9116">
      <w:pPr>
        <w:numPr>
          <w:ilvl w:val="0"/>
          <w:numId w:val="19"/>
        </w:numPr>
        <w:spacing w:line="400" w:lineRule="exact"/>
        <w:ind w:left="1060" w:leftChars="0" w:hanging="425" w:firstLineChars="0"/>
        <w:rPr>
          <w:rFonts w:hint="eastAsia" w:ascii="宋体" w:hAnsi="宋体" w:eastAsia="宋体" w:cs="宋体"/>
          <w:b/>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乙方在约定的时间内未能弥补缺陷，甲方可采取必要的补救措施，但其风险和费用将由乙方承担，甲方根据合同约定对乙方行使的其他权利不受影响。</w:t>
      </w:r>
    </w:p>
    <w:p w14:paraId="332AAC81">
      <w:pPr>
        <w:pStyle w:val="973"/>
        <w:ind w:left="0" w:leftChars="0" w:firstLine="0" w:firstLineChars="0"/>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十一、</w:t>
      </w:r>
      <w:r>
        <w:rPr>
          <w:rFonts w:hint="eastAsia" w:ascii="宋体" w:hAnsi="宋体" w:eastAsia="宋体" w:cs="宋体"/>
          <w:b/>
          <w:bCs/>
          <w:color w:val="000000" w:themeColor="text1"/>
          <w:sz w:val="21"/>
          <w:szCs w:val="21"/>
          <w:highlight w:val="none"/>
          <w14:textFill>
            <w14:solidFill>
              <w14:schemeClr w14:val="tx1"/>
            </w14:solidFill>
          </w14:textFill>
        </w:rPr>
        <w:t>权利瑕疵担保</w:t>
      </w:r>
    </w:p>
    <w:p w14:paraId="3B19CEE9">
      <w:pPr>
        <w:numPr>
          <w:ilvl w:val="0"/>
          <w:numId w:val="20"/>
        </w:numPr>
        <w:spacing w:line="400" w:lineRule="exact"/>
        <w:ind w:left="1060" w:leftChars="0" w:hanging="42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乙方保证对其出售的货物享有合法的权利。</w:t>
      </w:r>
    </w:p>
    <w:p w14:paraId="19FE83AF">
      <w:pPr>
        <w:numPr>
          <w:ilvl w:val="0"/>
          <w:numId w:val="20"/>
        </w:numPr>
        <w:spacing w:line="400" w:lineRule="exact"/>
        <w:ind w:left="1060" w:leftChars="0" w:hanging="42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乙方保证在交付的货物上不存在抵押权等担保物权。</w:t>
      </w:r>
    </w:p>
    <w:p w14:paraId="41DFC630">
      <w:pPr>
        <w:numPr>
          <w:ilvl w:val="0"/>
          <w:numId w:val="20"/>
        </w:numPr>
        <w:spacing w:line="400" w:lineRule="exact"/>
        <w:ind w:left="1060" w:leftChars="0" w:hanging="42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如甲方使用上述货物构成对第三人侵权的，则由乙方承担全部责任。</w:t>
      </w:r>
    </w:p>
    <w:p w14:paraId="470BA99F">
      <w:pPr>
        <w:pStyle w:val="973"/>
        <w:ind w:left="0" w:leftChars="0" w:firstLine="0" w:firstLineChars="0"/>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十二、</w:t>
      </w:r>
      <w:r>
        <w:rPr>
          <w:rFonts w:hint="eastAsia" w:ascii="宋体" w:hAnsi="宋体" w:eastAsia="宋体" w:cs="宋体"/>
          <w:b/>
          <w:bCs/>
          <w:color w:val="000000" w:themeColor="text1"/>
          <w:sz w:val="21"/>
          <w:szCs w:val="21"/>
          <w:highlight w:val="none"/>
          <w14:textFill>
            <w14:solidFill>
              <w14:schemeClr w14:val="tx1"/>
            </w14:solidFill>
          </w14:textFill>
        </w:rPr>
        <w:t>知识产权保护</w:t>
      </w:r>
    </w:p>
    <w:p w14:paraId="7764FA9D">
      <w:pPr>
        <w:numPr>
          <w:ilvl w:val="0"/>
          <w:numId w:val="0"/>
        </w:numPr>
        <w:spacing w:line="400" w:lineRule="exact"/>
        <w:ind w:left="15" w:leftChars="0" w:firstLine="403" w:firstLineChars="192"/>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426771E4">
      <w:pPr>
        <w:pStyle w:val="973"/>
        <w:ind w:left="0" w:leftChars="0" w:firstLine="0" w:firstLineChars="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保密义务</w:t>
      </w:r>
    </w:p>
    <w:p w14:paraId="11554C0A">
      <w:pPr>
        <w:numPr>
          <w:ilvl w:val="0"/>
          <w:numId w:val="0"/>
        </w:numPr>
        <w:spacing w:line="400" w:lineRule="exact"/>
        <w:ind w:left="15" w:leftChars="0" w:firstLine="403" w:firstLineChars="192"/>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丙三</w:t>
      </w:r>
      <w:r>
        <w:rPr>
          <w:rFonts w:hint="eastAsia" w:ascii="宋体" w:hAnsi="宋体" w:eastAsia="宋体" w:cs="宋体"/>
          <w:color w:val="000000" w:themeColor="text1"/>
          <w:szCs w:val="21"/>
          <w:highlight w:val="none"/>
          <w14:textFill>
            <w14:solidFill>
              <w14:schemeClr w14:val="tx1"/>
            </w14:solidFill>
          </w14:textFill>
        </w:rPr>
        <w:t>方</w:t>
      </w:r>
      <w:r>
        <w:rPr>
          <w:rFonts w:hint="eastAsia" w:ascii="宋体" w:hAnsi="宋体" w:eastAsia="宋体" w:cs="宋体"/>
          <w:color w:val="000000" w:themeColor="text1"/>
          <w:highlight w:val="none"/>
          <w:u w:val="none"/>
          <w14:textFill>
            <w14:solidFill>
              <w14:schemeClr w14:val="tx1"/>
            </w14:solidFill>
          </w14:textFill>
        </w:rPr>
        <w:t>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w:t>
      </w:r>
    </w:p>
    <w:p w14:paraId="5432A1FA">
      <w:pPr>
        <w:pStyle w:val="973"/>
        <w:ind w:left="0" w:leftChars="0" w:firstLine="0" w:firstLineChars="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十四、</w:t>
      </w:r>
      <w:r>
        <w:rPr>
          <w:rFonts w:hint="eastAsia" w:ascii="宋体" w:hAnsi="宋体" w:eastAsia="宋体" w:cs="宋体"/>
          <w:b/>
          <w:bCs/>
          <w:color w:val="000000" w:themeColor="text1"/>
          <w:sz w:val="21"/>
          <w:szCs w:val="21"/>
          <w:highlight w:val="none"/>
          <w14:textFill>
            <w14:solidFill>
              <w14:schemeClr w14:val="tx1"/>
            </w14:solidFill>
          </w14:textFill>
        </w:rPr>
        <w:t>售后服务</w:t>
      </w:r>
    </w:p>
    <w:p w14:paraId="76ECAEFA">
      <w:pPr>
        <w:pStyle w:val="973"/>
        <w:numPr>
          <w:ilvl w:val="0"/>
          <w:numId w:val="21"/>
        </w:numPr>
        <w:ind w:left="425" w:leftChars="0" w:hanging="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除项目不涉及或采购活动中明确约定无须承担外，乙方还应提供下列服务：</w:t>
      </w:r>
    </w:p>
    <w:p w14:paraId="73873299">
      <w:pPr>
        <w:pStyle w:val="973"/>
        <w:numPr>
          <w:ilvl w:val="0"/>
          <w:numId w:val="22"/>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货物的现场移动、安装、调试、启动监督及技术支持；</w:t>
      </w:r>
    </w:p>
    <w:p w14:paraId="53178961">
      <w:pPr>
        <w:pStyle w:val="973"/>
        <w:numPr>
          <w:ilvl w:val="0"/>
          <w:numId w:val="22"/>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提供货物组装和维修所需的专用工具和辅助材料；</w:t>
      </w:r>
    </w:p>
    <w:p w14:paraId="78C66E60">
      <w:pPr>
        <w:pStyle w:val="973"/>
        <w:numPr>
          <w:ilvl w:val="0"/>
          <w:numId w:val="22"/>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在约定的期限内对所有的货物实施运行监督、维修，但前提条件是该服务并不能免除乙方在质量保证期内所承担的义务；</w:t>
      </w:r>
    </w:p>
    <w:p w14:paraId="036F32B6">
      <w:pPr>
        <w:pStyle w:val="973"/>
        <w:numPr>
          <w:ilvl w:val="0"/>
          <w:numId w:val="22"/>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在制造商所在地或指定现场就货物的安装、启动、运营、维护、废弃处置等对甲方操作人员进行培训；</w:t>
      </w:r>
    </w:p>
    <w:p w14:paraId="08F53E8C">
      <w:pPr>
        <w:pStyle w:val="973"/>
        <w:numPr>
          <w:ilvl w:val="0"/>
          <w:numId w:val="22"/>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由乙方提供的其他服务。</w:t>
      </w:r>
    </w:p>
    <w:p w14:paraId="58361A6C">
      <w:pPr>
        <w:pStyle w:val="973"/>
        <w:numPr>
          <w:ilvl w:val="0"/>
          <w:numId w:val="21"/>
        </w:numPr>
        <w:ind w:left="425" w:leftChars="0" w:hanging="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乙方提供的售后服务的费用已包含在合同价款中，</w:t>
      </w:r>
      <w:r>
        <w:rPr>
          <w:rFonts w:hint="eastAsia" w:ascii="宋体" w:hAnsi="宋体" w:eastAsia="宋体" w:cs="宋体"/>
          <w:color w:val="000000" w:themeColor="text1"/>
          <w:sz w:val="21"/>
          <w:szCs w:val="21"/>
          <w:highlight w:val="none"/>
          <w:lang w:val="en-US" w:eastAsia="zh-CN"/>
          <w14:textFill>
            <w14:solidFill>
              <w14:schemeClr w14:val="tx1"/>
            </w14:solidFill>
          </w14:textFill>
        </w:rPr>
        <w:t>丙</w:t>
      </w:r>
      <w:r>
        <w:rPr>
          <w:rFonts w:hint="eastAsia" w:ascii="宋体" w:hAnsi="宋体" w:eastAsia="宋体" w:cs="宋体"/>
          <w:color w:val="000000" w:themeColor="text1"/>
          <w:sz w:val="21"/>
          <w:szCs w:val="21"/>
          <w:highlight w:val="none"/>
          <w14:textFill>
            <w14:solidFill>
              <w14:schemeClr w14:val="tx1"/>
            </w14:solidFill>
          </w14:textFill>
        </w:rPr>
        <w:t>方不再另行支付。</w:t>
      </w:r>
    </w:p>
    <w:p w14:paraId="4973DDBA">
      <w:pPr>
        <w:pStyle w:val="973"/>
        <w:numPr>
          <w:ilvl w:val="0"/>
          <w:numId w:val="0"/>
        </w:num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十五、</w:t>
      </w:r>
      <w:r>
        <w:rPr>
          <w:rFonts w:hint="eastAsia" w:ascii="宋体" w:hAnsi="宋体" w:eastAsia="宋体" w:cs="宋体"/>
          <w:b/>
          <w:bCs/>
          <w:color w:val="000000" w:themeColor="text1"/>
          <w:sz w:val="21"/>
          <w:szCs w:val="21"/>
          <w:highlight w:val="none"/>
          <w14:textFill>
            <w14:solidFill>
              <w14:schemeClr w14:val="tx1"/>
            </w14:solidFill>
          </w14:textFill>
        </w:rPr>
        <w:t>违约责任</w:t>
      </w:r>
    </w:p>
    <w:p w14:paraId="64A077C7">
      <w:pPr>
        <w:pStyle w:val="973"/>
        <w:numPr>
          <w:ilvl w:val="0"/>
          <w:numId w:val="23"/>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质量瑕疵的违约责任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乙方提供的产品不符合合同约定的质量标准或存在产品质量缺陷，甲方有权要求乙方根据要求及时修理、重作、更换，并承担由此给甲方造成的损失。</w:t>
      </w:r>
    </w:p>
    <w:p w14:paraId="0082925E">
      <w:pPr>
        <w:pStyle w:val="973"/>
        <w:numPr>
          <w:ilvl w:val="0"/>
          <w:numId w:val="23"/>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迟延交货的违约责任</w:t>
      </w:r>
    </w:p>
    <w:p w14:paraId="7845A13A">
      <w:pPr>
        <w:pStyle w:val="973"/>
        <w:numPr>
          <w:ilvl w:val="0"/>
          <w:numId w:val="24"/>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F31019A">
      <w:pPr>
        <w:pStyle w:val="973"/>
        <w:numPr>
          <w:ilvl w:val="0"/>
          <w:numId w:val="24"/>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如果乙方没有按照合同规定的时间交货和提供相关服务，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经</w:t>
      </w:r>
      <w:r>
        <w:rPr>
          <w:rFonts w:hint="eastAsia" w:ascii="宋体" w:hAnsi="宋体" w:eastAsia="宋体" w:cs="宋体"/>
          <w:color w:val="000000" w:themeColor="text1"/>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确认，丙方</w:t>
      </w:r>
      <w:r>
        <w:rPr>
          <w:rFonts w:hint="eastAsia" w:ascii="宋体" w:hAnsi="宋体" w:eastAsia="宋体" w:cs="宋体"/>
          <w:color w:val="000000" w:themeColor="text1"/>
          <w:sz w:val="21"/>
          <w:szCs w:val="21"/>
          <w:highlight w:val="none"/>
          <w14:textFill>
            <w14:solidFill>
              <w14:schemeClr w14:val="tx1"/>
            </w14:solidFill>
          </w14:textFill>
        </w:rPr>
        <w:t>有权从货款中扣除误期赔偿费而不影响合同项下的其他补救方法，</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按</w:t>
      </w:r>
      <w:r>
        <w:rPr>
          <w:rFonts w:hint="eastAsia" w:ascii="宋体" w:hAnsi="宋体" w:eastAsia="宋体" w:cs="宋体"/>
          <w:color w:val="000000" w:themeColor="text1"/>
          <w:sz w:val="21"/>
          <w:szCs w:val="21"/>
          <w:highlight w:val="none"/>
          <w:u w:val="none"/>
          <w14:textFill>
            <w14:solidFill>
              <w14:schemeClr w14:val="tx1"/>
            </w14:solidFill>
          </w14:textFill>
        </w:rPr>
        <w:t>逾期天数和合同总额每日万分之五向</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丙</w:t>
      </w:r>
      <w:r>
        <w:rPr>
          <w:rFonts w:hint="eastAsia" w:ascii="宋体" w:hAnsi="宋体" w:eastAsia="宋体" w:cs="宋体"/>
          <w:color w:val="000000" w:themeColor="text1"/>
          <w:sz w:val="21"/>
          <w:szCs w:val="21"/>
          <w:highlight w:val="none"/>
          <w:u w:val="none"/>
          <w14:textFill>
            <w14:solidFill>
              <w14:schemeClr w14:val="tx1"/>
            </w14:solidFill>
          </w14:textFill>
        </w:rPr>
        <w:t>方支付</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赔偿费</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并赔偿</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u w:val="none"/>
          <w14:textFill>
            <w14:solidFill>
              <w14:schemeClr w14:val="tx1"/>
            </w14:solidFill>
          </w14:textFill>
        </w:rPr>
        <w:t>因此遭受的经济损失</w:t>
      </w:r>
      <w:r>
        <w:rPr>
          <w:rFonts w:hint="eastAsia" w:ascii="宋体" w:hAnsi="宋体" w:eastAsia="宋体" w:cs="宋体"/>
          <w:color w:val="000000" w:themeColor="text1"/>
          <w:sz w:val="21"/>
          <w:szCs w:val="21"/>
          <w:highlight w:val="none"/>
          <w14:textFill>
            <w14:solidFill>
              <w14:schemeClr w14:val="tx1"/>
            </w14:solidFill>
          </w14:textFill>
        </w:rPr>
        <w:t>。如果涉及公共利益，且赔偿金额无法弥补公共利益损失，甲方可要求继续履行或者采取其他补救措施。</w:t>
      </w:r>
    </w:p>
    <w:p w14:paraId="4E3102C6">
      <w:pPr>
        <w:pStyle w:val="973"/>
        <w:numPr>
          <w:ilvl w:val="0"/>
          <w:numId w:val="0"/>
        </w:num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十六、</w:t>
      </w:r>
      <w:r>
        <w:rPr>
          <w:rFonts w:hint="eastAsia" w:ascii="宋体" w:hAnsi="宋体" w:eastAsia="宋体" w:cs="宋体"/>
          <w:b/>
          <w:bCs/>
          <w:color w:val="000000" w:themeColor="text1"/>
          <w:sz w:val="21"/>
          <w:szCs w:val="21"/>
          <w:highlight w:val="none"/>
          <w14:textFill>
            <w14:solidFill>
              <w14:schemeClr w14:val="tx1"/>
            </w14:solidFill>
          </w14:textFill>
        </w:rPr>
        <w:t>合同变更、中止与终止</w:t>
      </w:r>
    </w:p>
    <w:p w14:paraId="231E0B0E">
      <w:pPr>
        <w:pStyle w:val="973"/>
        <w:numPr>
          <w:ilvl w:val="0"/>
          <w:numId w:val="25"/>
        </w:numPr>
        <w:ind w:left="425" w:leftChars="200" w:hanging="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合同的变更</w:t>
      </w:r>
    </w:p>
    <w:p w14:paraId="639AD7A0">
      <w:pPr>
        <w:pStyle w:val="973"/>
        <w:numPr>
          <w:ilvl w:val="0"/>
          <w:numId w:val="0"/>
        </w:numPr>
        <w:ind w:leftChars="20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14:paraId="0F3E6606">
      <w:pPr>
        <w:pStyle w:val="973"/>
        <w:numPr>
          <w:ilvl w:val="0"/>
          <w:numId w:val="25"/>
        </w:numPr>
        <w:ind w:left="425" w:leftChars="200" w:hanging="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合同的中止</w:t>
      </w:r>
    </w:p>
    <w:p w14:paraId="58E2E729">
      <w:pPr>
        <w:pStyle w:val="973"/>
        <w:numPr>
          <w:ilvl w:val="0"/>
          <w:numId w:val="26"/>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合同履行过程中因供应商就采购文件、采购过程或结果提起投诉的，甲方认为有必要的，可以中止合同的履行。</w:t>
      </w:r>
    </w:p>
    <w:p w14:paraId="0F073C02">
      <w:pPr>
        <w:pStyle w:val="973"/>
        <w:numPr>
          <w:ilvl w:val="0"/>
          <w:numId w:val="26"/>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00ADA4E">
      <w:pPr>
        <w:pStyle w:val="973"/>
        <w:numPr>
          <w:ilvl w:val="0"/>
          <w:numId w:val="26"/>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乙方分立、合并或者变更住所的，应当及时以书面形式告知甲方。乙方没有及时告知甲方，致使合同履行发生困难的，甲方可以中止合同履行并要求乙方承担由此给甲方造成的损失。</w:t>
      </w:r>
    </w:p>
    <w:p w14:paraId="1C9DD2FE">
      <w:pPr>
        <w:pStyle w:val="973"/>
        <w:numPr>
          <w:ilvl w:val="0"/>
          <w:numId w:val="26"/>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甲方不得以行政区划调整、政府换届、机构或者职能调整以及相关责任人更替为由中止合同。</w:t>
      </w:r>
    </w:p>
    <w:p w14:paraId="3F84F902">
      <w:pPr>
        <w:pStyle w:val="973"/>
        <w:numPr>
          <w:ilvl w:val="0"/>
          <w:numId w:val="25"/>
        </w:numPr>
        <w:ind w:left="425" w:leftChars="200" w:hanging="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w:t>
      </w:r>
      <w:r>
        <w:rPr>
          <w:rFonts w:hint="eastAsia" w:ascii="宋体" w:hAnsi="宋体" w:eastAsia="宋体" w:cs="宋体"/>
          <w:color w:val="000000" w:themeColor="text1"/>
          <w:sz w:val="21"/>
          <w:szCs w:val="21"/>
          <w:highlight w:val="none"/>
          <w14:textFill>
            <w14:solidFill>
              <w14:schemeClr w14:val="tx1"/>
            </w14:solidFill>
          </w14:textFill>
        </w:rPr>
        <w:t>同的终止</w:t>
      </w:r>
    </w:p>
    <w:p w14:paraId="3A831790">
      <w:pPr>
        <w:pStyle w:val="973"/>
        <w:numPr>
          <w:ilvl w:val="0"/>
          <w:numId w:val="27"/>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合同因有效期限届满而终止；</w:t>
      </w:r>
    </w:p>
    <w:p w14:paraId="2383FEF5">
      <w:pPr>
        <w:pStyle w:val="973"/>
        <w:numPr>
          <w:ilvl w:val="0"/>
          <w:numId w:val="27"/>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乙方未按合同约定履行，构成根本性违约的，甲方有权终止合同，并追究乙方的违约责任。</w:t>
      </w:r>
    </w:p>
    <w:p w14:paraId="04B103FC">
      <w:pPr>
        <w:pStyle w:val="973"/>
        <w:numPr>
          <w:ilvl w:val="0"/>
          <w:numId w:val="25"/>
        </w:numPr>
        <w:ind w:left="425" w:leftChars="200" w:hanging="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涉及国家利益、社会公共利益的情形</w:t>
      </w:r>
    </w:p>
    <w:p w14:paraId="56403358">
      <w:pPr>
        <w:pStyle w:val="973"/>
        <w:numPr>
          <w:ilvl w:val="0"/>
          <w:numId w:val="0"/>
        </w:numPr>
        <w:ind w:left="435" w:leftChars="207" w:firstLine="380" w:firstLineChars="18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政府采购合同继续履行将损害国家利益和社会公共利益的，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方当事人应当变更、中止或者终止合同。有过错的一方应当承担赔偿责任，</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方都有过错的，各自承担相应的责任。</w:t>
      </w:r>
    </w:p>
    <w:p w14:paraId="60BA0AB0">
      <w:pPr>
        <w:pStyle w:val="973"/>
        <w:numPr>
          <w:ilvl w:val="0"/>
          <w:numId w:val="0"/>
        </w:num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十七、</w:t>
      </w:r>
      <w:r>
        <w:rPr>
          <w:rFonts w:hint="eastAsia" w:ascii="宋体" w:hAnsi="宋体" w:eastAsia="宋体" w:cs="宋体"/>
          <w:b/>
          <w:bCs/>
          <w:color w:val="000000" w:themeColor="text1"/>
          <w:sz w:val="21"/>
          <w:szCs w:val="21"/>
          <w:highlight w:val="none"/>
          <w14:textFill>
            <w14:solidFill>
              <w14:schemeClr w14:val="tx1"/>
            </w14:solidFill>
          </w14:textFill>
        </w:rPr>
        <w:t>合同分包</w:t>
      </w:r>
    </w:p>
    <w:p w14:paraId="0C795ED8">
      <w:pPr>
        <w:pStyle w:val="973"/>
        <w:numPr>
          <w:ilvl w:val="0"/>
          <w:numId w:val="28"/>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乙方不得将合同转包给其他供应商。涉及合同分包的，乙方应根据采购文件和投标（响应）文件规定进行合同分包。</w:t>
      </w:r>
    </w:p>
    <w:p w14:paraId="01889AF1">
      <w:pPr>
        <w:pStyle w:val="973"/>
        <w:numPr>
          <w:ilvl w:val="0"/>
          <w:numId w:val="28"/>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乙方执行政府采购政策向中小企业依法分包的，乙方应当按采购文件和投标（响应）文件签订分包意向协议，分包意向协议属于本合同组成部分。</w:t>
      </w:r>
    </w:p>
    <w:p w14:paraId="2B5697F4">
      <w:pPr>
        <w:pStyle w:val="973"/>
        <w:numPr>
          <w:ilvl w:val="0"/>
          <w:numId w:val="0"/>
        </w:num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十八、</w:t>
      </w:r>
      <w:r>
        <w:rPr>
          <w:rFonts w:hint="eastAsia" w:ascii="宋体" w:hAnsi="宋体" w:eastAsia="宋体" w:cs="宋体"/>
          <w:b/>
          <w:bCs/>
          <w:color w:val="000000" w:themeColor="text1"/>
          <w:sz w:val="21"/>
          <w:szCs w:val="21"/>
          <w:highlight w:val="none"/>
          <w14:textFill>
            <w14:solidFill>
              <w14:schemeClr w14:val="tx1"/>
            </w14:solidFill>
          </w14:textFill>
        </w:rPr>
        <w:t>不可抗力</w:t>
      </w:r>
    </w:p>
    <w:p w14:paraId="1F3E9961">
      <w:pPr>
        <w:pStyle w:val="973"/>
        <w:numPr>
          <w:ilvl w:val="0"/>
          <w:numId w:val="29"/>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不可抗力是指合同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方不能预见、不能避免且不能克服的客观情况。</w:t>
      </w:r>
    </w:p>
    <w:p w14:paraId="5F0559E3">
      <w:pPr>
        <w:pStyle w:val="973"/>
        <w:numPr>
          <w:ilvl w:val="0"/>
          <w:numId w:val="29"/>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任何一方对由于不可抗力造成的部分或全部不能履行合同不承担违约责任。但迟延履行后发生不可抗力的，不能免除责任。</w:t>
      </w:r>
    </w:p>
    <w:p w14:paraId="4EE30470">
      <w:pPr>
        <w:pStyle w:val="973"/>
        <w:numPr>
          <w:ilvl w:val="0"/>
          <w:numId w:val="29"/>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2DE42CF">
      <w:pPr>
        <w:pStyle w:val="973"/>
        <w:numPr>
          <w:ilvl w:val="0"/>
          <w:numId w:val="0"/>
        </w:num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十九、</w:t>
      </w:r>
      <w:r>
        <w:rPr>
          <w:rFonts w:hint="eastAsia" w:ascii="宋体" w:hAnsi="宋体" w:eastAsia="宋体" w:cs="宋体"/>
          <w:b/>
          <w:bCs/>
          <w:color w:val="000000" w:themeColor="text1"/>
          <w:sz w:val="21"/>
          <w:szCs w:val="21"/>
          <w:highlight w:val="none"/>
          <w14:textFill>
            <w14:solidFill>
              <w14:schemeClr w14:val="tx1"/>
            </w14:solidFill>
          </w14:textFill>
        </w:rPr>
        <w:t>解决争议的方法</w:t>
      </w:r>
    </w:p>
    <w:p w14:paraId="063D408E">
      <w:pPr>
        <w:pStyle w:val="973"/>
        <w:numPr>
          <w:ilvl w:val="0"/>
          <w:numId w:val="30"/>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因本合同及合同有关事项发生的争议，</w:t>
      </w:r>
      <w:r>
        <w:rPr>
          <w:rFonts w:hint="eastAsia" w:ascii="宋体" w:hAnsi="宋体" w:eastAsia="宋体" w:cs="宋体"/>
          <w:color w:val="000000" w:themeColor="text1"/>
          <w:szCs w:val="21"/>
          <w:highlight w:val="none"/>
          <w14:textFill>
            <w14:solidFill>
              <w14:schemeClr w14:val="tx1"/>
            </w14:solidFill>
          </w14:textFill>
        </w:rPr>
        <w:t>甲</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丙三</w:t>
      </w:r>
      <w:r>
        <w:rPr>
          <w:rFonts w:hint="eastAsia" w:ascii="宋体" w:hAnsi="宋体" w:eastAsia="宋体" w:cs="宋体"/>
          <w:color w:val="000000" w:themeColor="text1"/>
          <w:szCs w:val="21"/>
          <w:highlight w:val="none"/>
          <w14:textFill>
            <w14:solidFill>
              <w14:schemeClr w14:val="tx1"/>
            </w14:solidFill>
          </w14:textFill>
        </w:rPr>
        <w:t>方</w:t>
      </w:r>
      <w:r>
        <w:rPr>
          <w:rFonts w:hint="eastAsia" w:ascii="宋体" w:hAnsi="宋体" w:eastAsia="宋体" w:cs="宋体"/>
          <w:color w:val="000000" w:themeColor="text1"/>
          <w:sz w:val="21"/>
          <w:szCs w:val="21"/>
          <w:highlight w:val="none"/>
          <w14:textFill>
            <w14:solidFill>
              <w14:schemeClr w14:val="tx1"/>
            </w14:solidFill>
          </w14:textFill>
        </w:rPr>
        <w:t>友好协商解决。协商不成时，可以向有关组织申请调解。合同一方或</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方不愿调解或调解不成的，可以通过仲裁或诉讼的方式解决争议。</w:t>
      </w:r>
    </w:p>
    <w:p w14:paraId="5757440E">
      <w:pPr>
        <w:pStyle w:val="973"/>
        <w:numPr>
          <w:ilvl w:val="0"/>
          <w:numId w:val="30"/>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选择仲裁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诉讼方式解决的，</w:t>
      </w:r>
      <w:r>
        <w:rPr>
          <w:rFonts w:hint="eastAsia" w:ascii="宋体" w:hAnsi="宋体" w:eastAsia="宋体" w:cs="宋体"/>
          <w:color w:val="000000" w:themeColor="text1"/>
          <w:sz w:val="21"/>
          <w:szCs w:val="21"/>
          <w:highlight w:val="none"/>
          <w:u w:val="none"/>
          <w14:textFill>
            <w14:solidFill>
              <w14:schemeClr w14:val="tx1"/>
            </w14:solidFill>
          </w14:textFill>
        </w:rPr>
        <w:t>由</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甲</w:t>
      </w:r>
      <w:r>
        <w:rPr>
          <w:rFonts w:hint="eastAsia" w:ascii="宋体" w:hAnsi="宋体" w:eastAsia="宋体" w:cs="宋体"/>
          <w:color w:val="000000" w:themeColor="text1"/>
          <w:sz w:val="21"/>
          <w:szCs w:val="21"/>
          <w:highlight w:val="none"/>
          <w:u w:val="none"/>
          <w14:textFill>
            <w14:solidFill>
              <w14:schemeClr w14:val="tx1"/>
            </w14:solidFill>
          </w14:textFill>
        </w:rPr>
        <w:t>方所在地</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仲裁机构、</w:t>
      </w:r>
      <w:r>
        <w:rPr>
          <w:rFonts w:hint="eastAsia" w:ascii="宋体" w:hAnsi="宋体" w:eastAsia="宋体" w:cs="宋体"/>
          <w:color w:val="000000" w:themeColor="text1"/>
          <w:sz w:val="21"/>
          <w:szCs w:val="21"/>
          <w:highlight w:val="none"/>
          <w:u w:val="none"/>
          <w14:textFill>
            <w14:solidFill>
              <w14:schemeClr w14:val="tx1"/>
            </w14:solidFill>
          </w14:textFill>
        </w:rPr>
        <w:t>人民法院管辖</w:t>
      </w:r>
      <w:r>
        <w:rPr>
          <w:rFonts w:hint="eastAsia" w:ascii="宋体" w:hAnsi="宋体" w:eastAsia="宋体" w:cs="宋体"/>
          <w:color w:val="000000" w:themeColor="text1"/>
          <w:sz w:val="21"/>
          <w:szCs w:val="21"/>
          <w:highlight w:val="none"/>
          <w14:textFill>
            <w14:solidFill>
              <w14:schemeClr w14:val="tx1"/>
            </w14:solidFill>
          </w14:textFill>
        </w:rPr>
        <w:t>。</w:t>
      </w:r>
    </w:p>
    <w:p w14:paraId="57448D29">
      <w:pPr>
        <w:pStyle w:val="973"/>
        <w:numPr>
          <w:ilvl w:val="0"/>
          <w:numId w:val="30"/>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w:t>
      </w:r>
      <w:r>
        <w:rPr>
          <w:rFonts w:hint="eastAsia" w:ascii="宋体" w:hAnsi="宋体" w:eastAsia="宋体" w:cs="宋体"/>
          <w:color w:val="000000" w:themeColor="text1"/>
          <w:szCs w:val="21"/>
          <w:highlight w:val="none"/>
          <w14:textFill>
            <w14:solidFill>
              <w14:schemeClr w14:val="tx1"/>
            </w14:solidFill>
          </w14:textFill>
        </w:rPr>
        <w:t>甲</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丙三</w:t>
      </w:r>
      <w:r>
        <w:rPr>
          <w:rFonts w:hint="eastAsia" w:ascii="宋体" w:hAnsi="宋体" w:eastAsia="宋体" w:cs="宋体"/>
          <w:color w:val="000000" w:themeColor="text1"/>
          <w:szCs w:val="21"/>
          <w:highlight w:val="none"/>
          <w14:textFill>
            <w14:solidFill>
              <w14:schemeClr w14:val="tx1"/>
            </w14:solidFill>
          </w14:textFill>
        </w:rPr>
        <w:t>方</w:t>
      </w:r>
      <w:r>
        <w:rPr>
          <w:rFonts w:hint="eastAsia" w:ascii="宋体" w:hAnsi="宋体" w:eastAsia="宋体" w:cs="宋体"/>
          <w:color w:val="000000" w:themeColor="text1"/>
          <w:sz w:val="21"/>
          <w:szCs w:val="21"/>
          <w:highlight w:val="none"/>
          <w14:textFill>
            <w14:solidFill>
              <w14:schemeClr w14:val="tx1"/>
            </w14:solidFill>
          </w14:textFill>
        </w:rPr>
        <w:t>有争议的事项不影响合同其他部分的履行，在争议解决期间，合同其他部分应当继续履行。</w:t>
      </w:r>
    </w:p>
    <w:p w14:paraId="27B5EED8">
      <w:pPr>
        <w:pStyle w:val="973"/>
        <w:numPr>
          <w:ilvl w:val="0"/>
          <w:numId w:val="0"/>
        </w:num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二十、</w:t>
      </w:r>
      <w:r>
        <w:rPr>
          <w:rFonts w:hint="eastAsia" w:ascii="宋体" w:hAnsi="宋体" w:eastAsia="宋体" w:cs="宋体"/>
          <w:b/>
          <w:bCs/>
          <w:color w:val="000000" w:themeColor="text1"/>
          <w:sz w:val="21"/>
          <w:szCs w:val="21"/>
          <w:highlight w:val="none"/>
          <w14:textFill>
            <w14:solidFill>
              <w14:schemeClr w14:val="tx1"/>
            </w14:solidFill>
          </w14:textFill>
        </w:rPr>
        <w:t>政府采购政策</w:t>
      </w:r>
    </w:p>
    <w:p w14:paraId="5C60DF27">
      <w:pPr>
        <w:pStyle w:val="973"/>
        <w:numPr>
          <w:ilvl w:val="0"/>
          <w:numId w:val="31"/>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本合同应当按照规定执行政府采购政策。</w:t>
      </w:r>
    </w:p>
    <w:p w14:paraId="481E64B6">
      <w:pPr>
        <w:pStyle w:val="973"/>
        <w:numPr>
          <w:ilvl w:val="0"/>
          <w:numId w:val="31"/>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本合同依法执行政府采购政策的方式和内容，属于合同履约验收的范围。</w:t>
      </w:r>
      <w:r>
        <w:rPr>
          <w:rFonts w:hint="eastAsia" w:ascii="宋体" w:hAnsi="宋体" w:eastAsia="宋体" w:cs="宋体"/>
          <w:color w:val="000000" w:themeColor="text1"/>
          <w:szCs w:val="21"/>
          <w:highlight w:val="none"/>
          <w14:textFill>
            <w14:solidFill>
              <w14:schemeClr w14:val="tx1"/>
            </w14:solidFill>
          </w14:textFill>
        </w:rPr>
        <w:t>甲</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丙三</w:t>
      </w:r>
      <w:r>
        <w:rPr>
          <w:rFonts w:hint="eastAsia" w:ascii="宋体" w:hAnsi="宋体" w:eastAsia="宋体" w:cs="宋体"/>
          <w:color w:val="000000" w:themeColor="text1"/>
          <w:szCs w:val="21"/>
          <w:highlight w:val="none"/>
          <w14:textFill>
            <w14:solidFill>
              <w14:schemeClr w14:val="tx1"/>
            </w14:solidFill>
          </w14:textFill>
        </w:rPr>
        <w:t>方</w:t>
      </w:r>
      <w:r>
        <w:rPr>
          <w:rFonts w:hint="eastAsia" w:ascii="宋体" w:hAnsi="宋体" w:eastAsia="宋体" w:cs="宋体"/>
          <w:color w:val="000000" w:themeColor="text1"/>
          <w:sz w:val="21"/>
          <w:szCs w:val="21"/>
          <w:highlight w:val="none"/>
          <w14:textFill>
            <w14:solidFill>
              <w14:schemeClr w14:val="tx1"/>
            </w14:solidFill>
          </w14:textFill>
        </w:rPr>
        <w:t>未按规定要求执行政府采购政策造成损失的，有过错的一方应当承担赔偿责任，</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方都有过错的，各自承担相应的责任。</w:t>
      </w:r>
    </w:p>
    <w:p w14:paraId="06193AE1">
      <w:pPr>
        <w:pStyle w:val="973"/>
        <w:numPr>
          <w:ilvl w:val="0"/>
          <w:numId w:val="31"/>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要求以联合体形式参加采购活动或者合同分包的，须将联合协议或者分包意向协议作为采购合同的组成部分。</w:t>
      </w:r>
    </w:p>
    <w:p w14:paraId="701E12DD">
      <w:pPr>
        <w:pStyle w:val="973"/>
        <w:numPr>
          <w:ilvl w:val="0"/>
          <w:numId w:val="0"/>
        </w:num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二十一、</w:t>
      </w:r>
      <w:r>
        <w:rPr>
          <w:rFonts w:hint="eastAsia" w:ascii="宋体" w:hAnsi="宋体" w:eastAsia="宋体" w:cs="宋体"/>
          <w:b/>
          <w:bCs/>
          <w:color w:val="000000" w:themeColor="text1"/>
          <w:sz w:val="21"/>
          <w:szCs w:val="21"/>
          <w:highlight w:val="none"/>
          <w14:textFill>
            <w14:solidFill>
              <w14:schemeClr w14:val="tx1"/>
            </w14:solidFill>
          </w14:textFill>
        </w:rPr>
        <w:t>法律适用</w:t>
      </w:r>
    </w:p>
    <w:p w14:paraId="64790CE6">
      <w:pPr>
        <w:pStyle w:val="973"/>
        <w:numPr>
          <w:ilvl w:val="0"/>
          <w:numId w:val="32"/>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本合同的订立、生效、解释、履行及与本合同有关的争议解决，均适用法律、行政法规。</w:t>
      </w:r>
    </w:p>
    <w:p w14:paraId="3CB60E20">
      <w:pPr>
        <w:pStyle w:val="973"/>
        <w:numPr>
          <w:ilvl w:val="0"/>
          <w:numId w:val="32"/>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本合同条款与法律、行政法规的强制性规定不一致的，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方当事人应按照法律、行政法规的强制性规定修改本合同的相关条款。</w:t>
      </w:r>
    </w:p>
    <w:p w14:paraId="43EE399E">
      <w:pPr>
        <w:pStyle w:val="973"/>
        <w:numPr>
          <w:ilvl w:val="0"/>
          <w:numId w:val="0"/>
        </w:num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二十二、</w:t>
      </w:r>
      <w:r>
        <w:rPr>
          <w:rFonts w:hint="eastAsia" w:ascii="宋体" w:hAnsi="宋体" w:eastAsia="宋体" w:cs="宋体"/>
          <w:b/>
          <w:bCs/>
          <w:color w:val="000000" w:themeColor="text1"/>
          <w:sz w:val="21"/>
          <w:szCs w:val="21"/>
          <w:highlight w:val="none"/>
          <w14:textFill>
            <w14:solidFill>
              <w14:schemeClr w14:val="tx1"/>
            </w14:solidFill>
          </w14:textFill>
        </w:rPr>
        <w:t>通知</w:t>
      </w:r>
    </w:p>
    <w:p w14:paraId="4A54BAF3">
      <w:pPr>
        <w:pStyle w:val="973"/>
        <w:numPr>
          <w:ilvl w:val="0"/>
          <w:numId w:val="33"/>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本合同任何一方向对方发出的通知、信件、数据电文等，应当发送至本合同所约定的通讯地址、联系人、联系电话或电子邮箱。</w:t>
      </w:r>
    </w:p>
    <w:p w14:paraId="58C1B6D1">
      <w:pPr>
        <w:pStyle w:val="973"/>
        <w:numPr>
          <w:ilvl w:val="0"/>
          <w:numId w:val="33"/>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一方当事人变更名称、住所、联系人、联系电话或电子邮箱等信息的，应当在变更后3日内及时书面通知对方，对方实际收到变更通知前的送达仍为有效送达。</w:t>
      </w:r>
    </w:p>
    <w:p w14:paraId="25B10186">
      <w:pPr>
        <w:pStyle w:val="973"/>
        <w:numPr>
          <w:ilvl w:val="0"/>
          <w:numId w:val="33"/>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本合同一方给另一方的通知均应采用书面形式，传真或快递送到本合同中规定的对方的地址和办理签收手续。</w:t>
      </w:r>
    </w:p>
    <w:p w14:paraId="75CDFAEF">
      <w:pPr>
        <w:pStyle w:val="973"/>
        <w:numPr>
          <w:ilvl w:val="0"/>
          <w:numId w:val="33"/>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通知以送达之日或通知书中规定的生效之日起生效，两者中以较迟之日为准。</w:t>
      </w:r>
    </w:p>
    <w:p w14:paraId="15BE959C">
      <w:pPr>
        <w:pStyle w:val="973"/>
        <w:numPr>
          <w:ilvl w:val="0"/>
          <w:numId w:val="0"/>
        </w:num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二十三、</w:t>
      </w:r>
      <w:r>
        <w:rPr>
          <w:rFonts w:hint="eastAsia" w:ascii="宋体" w:hAnsi="宋体" w:eastAsia="宋体" w:cs="宋体"/>
          <w:b/>
          <w:bCs/>
          <w:color w:val="000000" w:themeColor="text1"/>
          <w:sz w:val="21"/>
          <w:szCs w:val="21"/>
          <w:highlight w:val="none"/>
          <w14:textFill>
            <w14:solidFill>
              <w14:schemeClr w14:val="tx1"/>
            </w14:solidFill>
          </w14:textFill>
        </w:rPr>
        <w:t>合同未尽事项</w:t>
      </w:r>
    </w:p>
    <w:p w14:paraId="3828526A">
      <w:pPr>
        <w:pStyle w:val="973"/>
        <w:numPr>
          <w:ilvl w:val="0"/>
          <w:numId w:val="34"/>
        </w:numPr>
        <w:ind w:left="425" w:leftChars="0" w:hanging="5"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本合同未尽事宜，以招标文件为准。</w:t>
      </w:r>
    </w:p>
    <w:p w14:paraId="54525F1D">
      <w:pPr>
        <w:pStyle w:val="973"/>
        <w:numPr>
          <w:ilvl w:val="0"/>
          <w:numId w:val="34"/>
        </w:numPr>
        <w:ind w:left="425" w:leftChars="0" w:hanging="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合同附件与合同正文具有同等的法律效力。</w:t>
      </w:r>
    </w:p>
    <w:p w14:paraId="1F2442A5">
      <w:pPr>
        <w:pStyle w:val="973"/>
        <w:numPr>
          <w:ilvl w:val="0"/>
          <w:numId w:val="0"/>
        </w:num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二十四、</w:t>
      </w:r>
      <w:r>
        <w:rPr>
          <w:rFonts w:hint="eastAsia" w:ascii="宋体" w:hAnsi="宋体" w:eastAsia="宋体" w:cs="宋体"/>
          <w:b/>
          <w:bCs/>
          <w:color w:val="000000" w:themeColor="text1"/>
          <w:sz w:val="21"/>
          <w:szCs w:val="21"/>
          <w:highlight w:val="none"/>
          <w14:textFill>
            <w14:solidFill>
              <w14:schemeClr w14:val="tx1"/>
            </w14:solidFill>
          </w14:textFill>
        </w:rPr>
        <w:t>合同生效</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按下面第</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 xml:space="preserve">  1  </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种方式</w:t>
      </w:r>
    </w:p>
    <w:p w14:paraId="62DDF1CB">
      <w:pPr>
        <w:pStyle w:val="973"/>
        <w:numPr>
          <w:ilvl w:val="0"/>
          <w:numId w:val="35"/>
        </w:numPr>
        <w:ind w:left="425" w:leftChars="0" w:hanging="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本合同经</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方</w:t>
      </w: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法定代表人或</w:t>
      </w:r>
      <w:r>
        <w:rPr>
          <w:rFonts w:hint="eastAsia" w:ascii="宋体" w:hAnsi="宋体" w:eastAsia="宋体" w:cs="宋体"/>
          <w:color w:val="000000" w:themeColor="text1"/>
          <w:sz w:val="21"/>
          <w:szCs w:val="21"/>
          <w:highlight w:val="none"/>
          <w14:textFill>
            <w14:solidFill>
              <w14:schemeClr w14:val="tx1"/>
            </w14:solidFill>
          </w14:textFill>
        </w:rPr>
        <w:t>授权代表签字</w:t>
      </w:r>
      <w:r>
        <w:rPr>
          <w:rFonts w:hint="eastAsia" w:ascii="宋体" w:hAnsi="宋体" w:eastAsia="宋体" w:cs="宋体"/>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sz w:val="21"/>
          <w:szCs w:val="21"/>
          <w:highlight w:val="none"/>
          <w14:textFill>
            <w14:solidFill>
              <w14:schemeClr w14:val="tx1"/>
            </w14:solidFill>
          </w14:textFill>
        </w:rPr>
        <w:t>加盖</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单位公章或合同专用</w:t>
      </w:r>
      <w:r>
        <w:rPr>
          <w:rFonts w:hint="eastAsia" w:ascii="宋体" w:hAnsi="宋体" w:eastAsia="宋体" w:cs="宋体"/>
          <w:color w:val="000000" w:themeColor="text1"/>
          <w:sz w:val="21"/>
          <w:szCs w:val="21"/>
          <w:highlight w:val="none"/>
          <w14:textFill>
            <w14:solidFill>
              <w14:schemeClr w14:val="tx1"/>
            </w14:solidFill>
          </w14:textFill>
        </w:rPr>
        <w:t>章后生效。</w:t>
      </w:r>
    </w:p>
    <w:p w14:paraId="6FFBD535">
      <w:pPr>
        <w:pStyle w:val="973"/>
        <w:numPr>
          <w:ilvl w:val="0"/>
          <w:numId w:val="35"/>
        </w:numPr>
        <w:ind w:left="425" w:leftChars="0" w:hanging="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本合同自</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生效</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5B4F5C8">
      <w:pPr>
        <w:pStyle w:val="973"/>
        <w:numPr>
          <w:ilvl w:val="0"/>
          <w:numId w:val="35"/>
        </w:numPr>
        <w:ind w:left="425" w:leftChars="0" w:hanging="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本合同一式</w:t>
      </w:r>
      <w:r>
        <w:rPr>
          <w:rFonts w:hint="eastAsia" w:ascii="宋体" w:hAnsi="宋体" w:eastAsia="宋体" w:cs="宋体"/>
          <w:color w:val="000000" w:themeColor="text1"/>
          <w:sz w:val="21"/>
          <w:szCs w:val="21"/>
          <w:highlight w:val="none"/>
          <w:lang w:val="en-US" w:eastAsia="zh-CN"/>
          <w14:textFill>
            <w14:solidFill>
              <w14:schemeClr w14:val="tx1"/>
            </w14:solidFill>
          </w14:textFill>
        </w:rPr>
        <w:t>柒</w:t>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eastAsia="宋体" w:cs="宋体"/>
          <w:color w:val="000000" w:themeColor="text1"/>
          <w:sz w:val="21"/>
          <w:szCs w:val="21"/>
          <w:highlight w:val="none"/>
          <w:lang w:val="en-US" w:eastAsia="zh-CN"/>
          <w14:textFill>
            <w14:solidFill>
              <w14:schemeClr w14:val="tx1"/>
            </w14:solidFill>
          </w14:textFill>
        </w:rPr>
        <w:t>甲</w:t>
      </w:r>
      <w:r>
        <w:rPr>
          <w:rFonts w:hint="eastAsia" w:ascii="宋体" w:hAnsi="宋体" w:eastAsia="宋体" w:cs="宋体"/>
          <w:color w:val="000000" w:themeColor="text1"/>
          <w:sz w:val="21"/>
          <w:szCs w:val="21"/>
          <w:highlight w:val="none"/>
          <w14:textFill>
            <w14:solidFill>
              <w14:schemeClr w14:val="tx1"/>
            </w14:solidFill>
          </w14:textFill>
        </w:rPr>
        <w:t>方</w:t>
      </w:r>
      <w:r>
        <w:rPr>
          <w:rFonts w:hint="eastAsia" w:ascii="宋体" w:hAnsi="宋体" w:eastAsia="宋体" w:cs="宋体"/>
          <w:color w:val="000000" w:themeColor="text1"/>
          <w:sz w:val="21"/>
          <w:szCs w:val="21"/>
          <w:highlight w:val="none"/>
          <w:lang w:val="en-US" w:eastAsia="zh-CN"/>
          <w14:textFill>
            <w14:solidFill>
              <w14:schemeClr w14:val="tx1"/>
            </w14:solidFill>
          </w14:textFill>
        </w:rPr>
        <w:t>肆</w:t>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eastAsia="宋体" w:cs="宋体"/>
          <w:color w:val="000000" w:themeColor="text1"/>
          <w:sz w:val="21"/>
          <w:szCs w:val="21"/>
          <w:highlight w:val="none"/>
          <w:lang w:val="en-US" w:eastAsia="zh-CN"/>
          <w14:textFill>
            <w14:solidFill>
              <w14:schemeClr w14:val="tx1"/>
            </w14:solidFill>
          </w14:textFill>
        </w:rPr>
        <w:t>乙</w:t>
      </w:r>
      <w:r>
        <w:rPr>
          <w:rFonts w:hint="eastAsia" w:ascii="宋体" w:hAnsi="宋体" w:eastAsia="宋体" w:cs="宋体"/>
          <w:color w:val="000000" w:themeColor="text1"/>
          <w:sz w:val="21"/>
          <w:szCs w:val="21"/>
          <w:highlight w:val="none"/>
          <w14:textFill>
            <w14:solidFill>
              <w14:schemeClr w14:val="tx1"/>
            </w14:solidFill>
          </w14:textFill>
        </w:rPr>
        <w:t>方壹份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丙方贰份</w:t>
      </w:r>
      <w:r>
        <w:rPr>
          <w:rFonts w:hint="eastAsia" w:ascii="宋体" w:hAnsi="宋体" w:eastAsia="宋体" w:cs="宋体"/>
          <w:color w:val="000000" w:themeColor="text1"/>
          <w:sz w:val="21"/>
          <w:szCs w:val="21"/>
          <w:highlight w:val="none"/>
          <w14:textFill>
            <w14:solidFill>
              <w14:schemeClr w14:val="tx1"/>
            </w14:solidFill>
          </w14:textFill>
        </w:rPr>
        <w:t>。</w:t>
      </w:r>
    </w:p>
    <w:p w14:paraId="34F96CDE">
      <w:pPr>
        <w:rPr>
          <w:rFonts w:hint="eastAsia" w:ascii="宋体" w:hAnsi="宋体" w:eastAsia="宋体" w:cs="宋体"/>
          <w:color w:val="000000" w:themeColor="text1"/>
          <w:sz w:val="21"/>
          <w:szCs w:val="21"/>
          <w:highlight w:val="none"/>
          <w14:textFill>
            <w14:solidFill>
              <w14:schemeClr w14:val="tx1"/>
            </w14:solidFill>
          </w14:textFill>
        </w:rPr>
      </w:pPr>
    </w:p>
    <w:tbl>
      <w:tblPr>
        <w:tblStyle w:val="65"/>
        <w:tblW w:w="9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1"/>
        <w:gridCol w:w="4450"/>
      </w:tblGrid>
      <w:tr w14:paraId="1F2A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061" w:type="dxa"/>
            <w:noWrap w:val="0"/>
            <w:vAlign w:val="bottom"/>
          </w:tcPr>
          <w:p w14:paraId="42529A4D">
            <w:pPr>
              <w:spacing w:line="360" w:lineRule="auto"/>
              <w:jc w:val="center"/>
              <w:rPr>
                <w:rFonts w:hint="eastAsia" w:ascii="宋体" w:hAnsi="宋体" w:eastAsia="宋体" w:cs="宋体"/>
                <w:b/>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 xml:space="preserve">甲   </w:t>
            </w:r>
            <w:r>
              <w:rPr>
                <w:rFonts w:hint="eastAsia" w:ascii="宋体" w:hAnsi="宋体" w:eastAsia="宋体" w:cs="宋体"/>
                <w:b/>
                <w:bCs w:val="0"/>
                <w:color w:val="000000" w:themeColor="text1"/>
                <w:sz w:val="21"/>
                <w:szCs w:val="21"/>
                <w:highlight w:val="none"/>
                <w14:textFill>
                  <w14:solidFill>
                    <w14:schemeClr w14:val="tx1"/>
                  </w14:solidFill>
                </w14:textFill>
              </w:rPr>
              <w:t>方</w:t>
            </w:r>
          </w:p>
        </w:tc>
        <w:tc>
          <w:tcPr>
            <w:tcW w:w="4450" w:type="dxa"/>
            <w:noWrap w:val="0"/>
            <w:vAlign w:val="bottom"/>
          </w:tcPr>
          <w:p w14:paraId="4CC97CEF">
            <w:pPr>
              <w:spacing w:line="36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乙   方</w:t>
            </w:r>
          </w:p>
        </w:tc>
      </w:tr>
      <w:tr w14:paraId="2451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trPr>
        <w:tc>
          <w:tcPr>
            <w:tcW w:w="5061" w:type="dxa"/>
            <w:noWrap w:val="0"/>
            <w:vAlign w:val="center"/>
          </w:tcPr>
          <w:p w14:paraId="6AF8CCBA">
            <w:pPr>
              <w:spacing w:line="360" w:lineRule="auto"/>
              <w:jc w:val="both"/>
              <w:rPr>
                <w:rFonts w:hint="eastAsia" w:ascii="宋体" w:hAnsi="宋体" w:eastAsia="宋体" w:cs="宋体"/>
                <w:b/>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bCs w:val="0"/>
                <w:color w:val="000000" w:themeColor="text1"/>
                <w:spacing w:val="2"/>
                <w:sz w:val="21"/>
                <w:szCs w:val="21"/>
                <w:highlight w:val="none"/>
                <w14:textFill>
                  <w14:solidFill>
                    <w14:schemeClr w14:val="tx1"/>
                  </w14:solidFill>
                </w14:textFill>
              </w:rPr>
              <w:t>单位名称</w:t>
            </w:r>
            <w:r>
              <w:rPr>
                <w:rFonts w:hint="eastAsia" w:ascii="宋体" w:hAnsi="宋体" w:eastAsia="宋体" w:cs="宋体"/>
                <w:b/>
                <w:bCs w:val="0"/>
                <w:color w:val="000000" w:themeColor="text1"/>
                <w:sz w:val="21"/>
                <w:szCs w:val="21"/>
                <w:highlight w:val="none"/>
                <w14:textFill>
                  <w14:solidFill>
                    <w14:schemeClr w14:val="tx1"/>
                  </w14:solidFill>
                </w14:textFill>
              </w:rPr>
              <w:t>（盖章）</w:t>
            </w:r>
            <w:r>
              <w:rPr>
                <w:rFonts w:hint="eastAsia" w:ascii="宋体" w:hAnsi="宋体" w:eastAsia="宋体" w:cs="宋体"/>
                <w:b/>
                <w:bCs w:val="0"/>
                <w:color w:val="000000" w:themeColor="text1"/>
                <w:sz w:val="21"/>
                <w:szCs w:val="21"/>
                <w:highlight w:val="none"/>
                <w:u w:val="none"/>
                <w14:textFill>
                  <w14:solidFill>
                    <w14:schemeClr w14:val="tx1"/>
                  </w14:solidFill>
                </w14:textFill>
              </w:rPr>
              <w:t>：宁波市北仑区人民医院</w:t>
            </w:r>
          </w:p>
        </w:tc>
        <w:tc>
          <w:tcPr>
            <w:tcW w:w="4450" w:type="dxa"/>
            <w:noWrap w:val="0"/>
            <w:vAlign w:val="center"/>
          </w:tcPr>
          <w:p w14:paraId="7218F4A9">
            <w:pPr>
              <w:spacing w:line="360" w:lineRule="auto"/>
              <w:jc w:val="both"/>
              <w:rPr>
                <w:rFonts w:hint="eastAsia" w:ascii="宋体" w:hAnsi="宋体" w:eastAsia="宋体" w:cs="宋体"/>
                <w:b/>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bCs w:val="0"/>
                <w:color w:val="000000" w:themeColor="text1"/>
                <w:spacing w:val="2"/>
                <w:sz w:val="21"/>
                <w:szCs w:val="21"/>
                <w:highlight w:val="none"/>
                <w14:textFill>
                  <w14:solidFill>
                    <w14:schemeClr w14:val="tx1"/>
                  </w14:solidFill>
                </w14:textFill>
              </w:rPr>
              <w:t>单位名称</w:t>
            </w:r>
            <w:r>
              <w:rPr>
                <w:rFonts w:hint="eastAsia" w:ascii="宋体" w:hAnsi="宋体" w:eastAsia="宋体" w:cs="宋体"/>
                <w:b/>
                <w:bCs w:val="0"/>
                <w:color w:val="000000" w:themeColor="text1"/>
                <w:sz w:val="21"/>
                <w:szCs w:val="21"/>
                <w:highlight w:val="none"/>
                <w14:textFill>
                  <w14:solidFill>
                    <w14:schemeClr w14:val="tx1"/>
                  </w14:solidFill>
                </w14:textFill>
              </w:rPr>
              <w:t>（盖章）：</w:t>
            </w:r>
          </w:p>
        </w:tc>
      </w:tr>
      <w:tr w14:paraId="6998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trPr>
        <w:tc>
          <w:tcPr>
            <w:tcW w:w="5061" w:type="dxa"/>
            <w:noWrap w:val="0"/>
            <w:vAlign w:val="center"/>
          </w:tcPr>
          <w:p w14:paraId="5C52B71F">
            <w:pPr>
              <w:spacing w:line="360" w:lineRule="auto"/>
              <w:jc w:val="both"/>
              <w:rPr>
                <w:rFonts w:hint="eastAsia" w:ascii="宋体" w:hAnsi="宋体" w:eastAsia="宋体" w:cs="宋体"/>
                <w:b/>
                <w:bCs w:val="0"/>
                <w:color w:val="000000" w:themeColor="text1"/>
                <w:spacing w:val="2"/>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pacing w:val="2"/>
                <w:sz w:val="21"/>
                <w:szCs w:val="21"/>
                <w:highlight w:val="none"/>
                <w:lang w:val="en-US" w:eastAsia="zh-CN"/>
                <w14:textFill>
                  <w14:solidFill>
                    <w14:schemeClr w14:val="tx1"/>
                  </w14:solidFill>
                </w14:textFill>
              </w:rPr>
              <w:t>单位地址：宁波市北仑区庐山东路1288号</w:t>
            </w:r>
          </w:p>
        </w:tc>
        <w:tc>
          <w:tcPr>
            <w:tcW w:w="4450" w:type="dxa"/>
            <w:noWrap w:val="0"/>
            <w:vAlign w:val="center"/>
          </w:tcPr>
          <w:p w14:paraId="6EF1A1E2">
            <w:pPr>
              <w:spacing w:line="360" w:lineRule="auto"/>
              <w:jc w:val="both"/>
              <w:rPr>
                <w:rFonts w:hint="eastAsia" w:ascii="宋体" w:hAnsi="宋体" w:eastAsia="宋体" w:cs="宋体"/>
                <w:b/>
                <w:bCs w:val="0"/>
                <w:color w:val="000000" w:themeColor="text1"/>
                <w:spacing w:val="2"/>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pacing w:val="2"/>
                <w:sz w:val="21"/>
                <w:szCs w:val="21"/>
                <w:highlight w:val="none"/>
                <w:lang w:val="en-US" w:eastAsia="zh-CN"/>
                <w14:textFill>
                  <w14:solidFill>
                    <w14:schemeClr w14:val="tx1"/>
                  </w14:solidFill>
                </w14:textFill>
              </w:rPr>
              <w:t>单位地址：</w:t>
            </w:r>
          </w:p>
        </w:tc>
      </w:tr>
      <w:tr w14:paraId="52A0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061" w:type="dxa"/>
            <w:vMerge w:val="restart"/>
            <w:noWrap w:val="0"/>
            <w:vAlign w:val="center"/>
          </w:tcPr>
          <w:p w14:paraId="514D91E6">
            <w:pPr>
              <w:spacing w:line="360" w:lineRule="auto"/>
              <w:jc w:val="both"/>
              <w:rPr>
                <w:rFonts w:hint="eastAsia" w:ascii="宋体" w:hAnsi="宋体" w:eastAsia="宋体" w:cs="宋体"/>
                <w:b/>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法定</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授权</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14:textFill>
                  <w14:solidFill>
                    <w14:schemeClr w14:val="tx1"/>
                  </w14:solidFill>
                </w14:textFill>
              </w:rPr>
              <w:t>代表人</w:t>
            </w:r>
            <w:r>
              <w:rPr>
                <w:rFonts w:hint="eastAsia" w:ascii="宋体" w:hAnsi="宋体" w:eastAsia="宋体" w:cs="宋体"/>
                <w:b/>
                <w:bCs w:val="0"/>
                <w:color w:val="000000" w:themeColor="text1"/>
                <w:spacing w:val="2"/>
                <w:sz w:val="21"/>
                <w:szCs w:val="21"/>
                <w:highlight w:val="none"/>
                <w:lang w:val="en-US" w:eastAsia="zh-CN"/>
                <w14:textFill>
                  <w14:solidFill>
                    <w14:schemeClr w14:val="tx1"/>
                  </w14:solidFill>
                </w14:textFill>
              </w:rPr>
              <w:t>：</w:t>
            </w:r>
            <w:r>
              <w:rPr>
                <w:rFonts w:hint="eastAsia" w:ascii="宋体" w:hAnsi="宋体" w:eastAsia="宋体" w:cs="宋体"/>
                <w:b/>
                <w:bCs w:val="0"/>
                <w:color w:val="000000" w:themeColor="text1"/>
                <w:sz w:val="21"/>
                <w:szCs w:val="21"/>
                <w:highlight w:val="none"/>
                <w:u w:val="none"/>
                <w14:textFill>
                  <w14:solidFill>
                    <w14:schemeClr w14:val="tx1"/>
                  </w14:solidFill>
                </w14:textFill>
              </w:rPr>
              <w:t xml:space="preserve">                    </w:t>
            </w:r>
          </w:p>
        </w:tc>
        <w:tc>
          <w:tcPr>
            <w:tcW w:w="4450" w:type="dxa"/>
            <w:noWrap w:val="0"/>
            <w:vAlign w:val="bottom"/>
          </w:tcPr>
          <w:p w14:paraId="1E58391C">
            <w:pPr>
              <w:spacing w:line="360" w:lineRule="auto"/>
              <w:jc w:val="both"/>
              <w:rPr>
                <w:rFonts w:hint="eastAsia" w:ascii="宋体" w:hAnsi="宋体" w:eastAsia="宋体" w:cs="宋体"/>
                <w:b/>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法定</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授权</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14:textFill>
                  <w14:solidFill>
                    <w14:schemeClr w14:val="tx1"/>
                  </w14:solidFill>
                </w14:textFill>
              </w:rPr>
              <w:t>代表人</w:t>
            </w:r>
            <w:r>
              <w:rPr>
                <w:rFonts w:hint="eastAsia" w:ascii="宋体" w:hAnsi="宋体" w:eastAsia="宋体" w:cs="宋体"/>
                <w:b/>
                <w:bCs w:val="0"/>
                <w:color w:val="000000" w:themeColor="text1"/>
                <w:spacing w:val="2"/>
                <w:sz w:val="21"/>
                <w:szCs w:val="21"/>
                <w:highlight w:val="none"/>
                <w14:textFill>
                  <w14:solidFill>
                    <w14:schemeClr w14:val="tx1"/>
                  </w14:solidFill>
                </w14:textFill>
              </w:rPr>
              <w:t>：</w:t>
            </w:r>
          </w:p>
        </w:tc>
      </w:tr>
      <w:tr w14:paraId="30F1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061" w:type="dxa"/>
            <w:vMerge w:val="continue"/>
            <w:noWrap w:val="0"/>
            <w:vAlign w:val="bottom"/>
          </w:tcPr>
          <w:p w14:paraId="38DCDB5A">
            <w:pPr>
              <w:spacing w:line="360" w:lineRule="auto"/>
              <w:jc w:val="both"/>
              <w:rPr>
                <w:rFonts w:hint="eastAsia" w:ascii="宋体" w:hAnsi="宋体" w:eastAsia="宋体" w:cs="宋体"/>
                <w:b/>
                <w:bCs w:val="0"/>
                <w:color w:val="000000" w:themeColor="text1"/>
                <w:sz w:val="21"/>
                <w:szCs w:val="21"/>
                <w:highlight w:val="none"/>
                <w14:textFill>
                  <w14:solidFill>
                    <w14:schemeClr w14:val="tx1"/>
                  </w14:solidFill>
                </w14:textFill>
              </w:rPr>
            </w:pPr>
          </w:p>
        </w:tc>
        <w:tc>
          <w:tcPr>
            <w:tcW w:w="4450" w:type="dxa"/>
            <w:noWrap w:val="0"/>
            <w:vAlign w:val="bottom"/>
          </w:tcPr>
          <w:p w14:paraId="72BF9807">
            <w:pPr>
              <w:spacing w:line="360" w:lineRule="auto"/>
              <w:jc w:val="both"/>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拥有者性别：</w:t>
            </w:r>
          </w:p>
        </w:tc>
      </w:tr>
      <w:tr w14:paraId="15F6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5061" w:type="dxa"/>
            <w:noWrap w:val="0"/>
            <w:vAlign w:val="bottom"/>
          </w:tcPr>
          <w:p w14:paraId="2E5D7417">
            <w:pPr>
              <w:spacing w:line="360" w:lineRule="auto"/>
              <w:jc w:val="both"/>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联系电话</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0574-86776549</w:t>
            </w:r>
          </w:p>
        </w:tc>
        <w:tc>
          <w:tcPr>
            <w:tcW w:w="4450" w:type="dxa"/>
            <w:noWrap w:val="0"/>
            <w:vAlign w:val="bottom"/>
          </w:tcPr>
          <w:p w14:paraId="2E78B9B5">
            <w:pPr>
              <w:spacing w:line="360" w:lineRule="auto"/>
              <w:jc w:val="both"/>
              <w:rPr>
                <w:rFonts w:hint="eastAsia" w:ascii="宋体" w:hAnsi="宋体" w:eastAsia="宋体" w:cs="宋体"/>
                <w:b/>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联系电话</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p>
        </w:tc>
      </w:tr>
      <w:tr w14:paraId="4F5C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trPr>
        <w:tc>
          <w:tcPr>
            <w:tcW w:w="5061" w:type="dxa"/>
            <w:noWrap w:val="0"/>
            <w:vAlign w:val="bottom"/>
          </w:tcPr>
          <w:p w14:paraId="27C32A96">
            <w:pPr>
              <w:spacing w:line="360" w:lineRule="auto"/>
              <w:jc w:val="both"/>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统一社会信用代码</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12330206419559567E</w:t>
            </w:r>
          </w:p>
        </w:tc>
        <w:tc>
          <w:tcPr>
            <w:tcW w:w="4450" w:type="dxa"/>
            <w:noWrap w:val="0"/>
            <w:vAlign w:val="bottom"/>
          </w:tcPr>
          <w:p w14:paraId="65F98AA7">
            <w:pPr>
              <w:spacing w:line="360" w:lineRule="auto"/>
              <w:jc w:val="both"/>
              <w:rPr>
                <w:rFonts w:hint="eastAsia" w:ascii="宋体" w:hAnsi="宋体" w:eastAsia="宋体" w:cs="宋体"/>
                <w:b/>
                <w:bC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统一社会信用代码</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tc>
      </w:tr>
      <w:tr w14:paraId="08DC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5061" w:type="dxa"/>
            <w:noWrap w:val="0"/>
            <w:vAlign w:val="bottom"/>
          </w:tcPr>
          <w:p w14:paraId="15C83B65">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c>
          <w:tcPr>
            <w:tcW w:w="4450" w:type="dxa"/>
            <w:noWrap w:val="0"/>
            <w:vAlign w:val="bottom"/>
          </w:tcPr>
          <w:p w14:paraId="78784DC0">
            <w:pPr>
              <w:spacing w:line="360" w:lineRule="auto"/>
              <w:jc w:val="both"/>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开户银行：</w:t>
            </w:r>
          </w:p>
        </w:tc>
      </w:tr>
      <w:tr w14:paraId="2235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5061" w:type="dxa"/>
            <w:tcBorders>
              <w:bottom w:val="single" w:color="auto" w:sz="4" w:space="0"/>
            </w:tcBorders>
            <w:noWrap w:val="0"/>
            <w:vAlign w:val="bottom"/>
          </w:tcPr>
          <w:p w14:paraId="2DCC7F22">
            <w:pPr>
              <w:spacing w:line="360" w:lineRule="auto"/>
              <w:jc w:val="both"/>
              <w:rPr>
                <w:rFonts w:hint="eastAsia" w:ascii="宋体" w:hAnsi="宋体" w:eastAsia="宋体" w:cs="宋体"/>
                <w:b/>
                <w:bCs w:val="0"/>
                <w:color w:val="000000" w:themeColor="text1"/>
                <w:sz w:val="21"/>
                <w:szCs w:val="21"/>
                <w:highlight w:val="none"/>
                <w:vertAlign w:val="baseline"/>
                <w14:textFill>
                  <w14:solidFill>
                    <w14:schemeClr w14:val="tx1"/>
                  </w14:solidFill>
                </w14:textFill>
              </w:rPr>
            </w:pPr>
          </w:p>
        </w:tc>
        <w:tc>
          <w:tcPr>
            <w:tcW w:w="4450" w:type="dxa"/>
            <w:tcBorders>
              <w:bottom w:val="single" w:color="auto" w:sz="4" w:space="0"/>
            </w:tcBorders>
            <w:noWrap w:val="0"/>
            <w:vAlign w:val="bottom"/>
          </w:tcPr>
          <w:p w14:paraId="3E619DEE">
            <w:pPr>
              <w:spacing w:line="360" w:lineRule="auto"/>
              <w:jc w:val="both"/>
              <w:rPr>
                <w:rFonts w:hint="eastAsia" w:ascii="宋体" w:hAnsi="宋体" w:eastAsia="宋体" w:cs="宋体"/>
                <w:b/>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账</w:t>
            </w:r>
            <w:r>
              <w:rPr>
                <w:rFonts w:hint="eastAsia" w:ascii="宋体" w:hAnsi="宋体" w:eastAsia="宋体" w:cs="宋体"/>
                <w:b/>
                <w:bCs w:val="0"/>
                <w:color w:val="000000" w:themeColor="text1"/>
                <w:sz w:val="21"/>
                <w:szCs w:val="21"/>
                <w:highlight w:val="none"/>
                <w14:textFill>
                  <w14:solidFill>
                    <w14:schemeClr w14:val="tx1"/>
                  </w14:solidFill>
                </w14:textFill>
              </w:rPr>
              <w:t xml:space="preserve">    号：</w:t>
            </w:r>
          </w:p>
        </w:tc>
      </w:tr>
      <w:tr w14:paraId="6953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9511" w:type="dxa"/>
            <w:gridSpan w:val="2"/>
            <w:tcBorders>
              <w:top w:val="single" w:color="auto" w:sz="4" w:space="0"/>
              <w:bottom w:val="double" w:color="auto" w:sz="4" w:space="0"/>
            </w:tcBorders>
            <w:noWrap w:val="0"/>
            <w:vAlign w:val="bottom"/>
          </w:tcPr>
          <w:p w14:paraId="65BA190F">
            <w:pPr>
              <w:spacing w:line="360" w:lineRule="auto"/>
              <w:jc w:val="both"/>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签订</w:t>
            </w:r>
            <w:r>
              <w:rPr>
                <w:rFonts w:hint="eastAsia" w:ascii="宋体" w:hAnsi="宋体" w:eastAsia="宋体" w:cs="宋体"/>
                <w:b/>
                <w:bCs w:val="0"/>
                <w:color w:val="000000" w:themeColor="text1"/>
                <w:sz w:val="21"/>
                <w:szCs w:val="21"/>
                <w:highlight w:val="none"/>
                <w14:textFill>
                  <w14:solidFill>
                    <w14:schemeClr w14:val="tx1"/>
                  </w14:solidFill>
                </w14:textFill>
              </w:rPr>
              <w:t>日期：</w:t>
            </w:r>
          </w:p>
        </w:tc>
      </w:tr>
      <w:tr w14:paraId="2BB1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50" w:type="dxa"/>
          <w:trHeight w:val="703" w:hRule="exact"/>
        </w:trPr>
        <w:tc>
          <w:tcPr>
            <w:tcW w:w="5061" w:type="dxa"/>
            <w:tcBorders>
              <w:top w:val="double" w:color="auto" w:sz="4" w:space="0"/>
              <w:bottom w:val="single" w:color="000000" w:sz="4" w:space="0"/>
            </w:tcBorders>
            <w:noWrap w:val="0"/>
            <w:vAlign w:val="bottom"/>
          </w:tcPr>
          <w:p w14:paraId="20DB9840">
            <w:pPr>
              <w:spacing w:line="36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丙   方</w:t>
            </w:r>
          </w:p>
        </w:tc>
      </w:tr>
      <w:tr w14:paraId="773E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50" w:type="dxa"/>
          <w:trHeight w:val="703" w:hRule="exact"/>
        </w:trPr>
        <w:tc>
          <w:tcPr>
            <w:tcW w:w="5061" w:type="dxa"/>
            <w:tcBorders>
              <w:top w:val="single" w:color="000000" w:sz="4" w:space="0"/>
              <w:left w:val="single" w:color="000000" w:sz="4" w:space="0"/>
              <w:bottom w:val="single" w:color="000000" w:sz="4" w:space="0"/>
              <w:right w:val="single" w:color="000000" w:sz="4" w:space="0"/>
            </w:tcBorders>
            <w:noWrap w:val="0"/>
            <w:vAlign w:val="bottom"/>
          </w:tcPr>
          <w:p w14:paraId="652927DB">
            <w:pPr>
              <w:spacing w:line="360" w:lineRule="auto"/>
              <w:jc w:val="both"/>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pacing w:val="2"/>
                <w:sz w:val="21"/>
                <w:szCs w:val="21"/>
                <w:highlight w:val="none"/>
                <w14:textFill>
                  <w14:solidFill>
                    <w14:schemeClr w14:val="tx1"/>
                  </w14:solidFill>
                </w14:textFill>
              </w:rPr>
              <w:t>单位名称（盖章）：宁波市仑开投资有限</w:t>
            </w:r>
            <w:r>
              <w:rPr>
                <w:rFonts w:hint="eastAsia" w:ascii="宋体" w:hAnsi="宋体" w:eastAsia="宋体" w:cs="宋体"/>
                <w:b/>
                <w:bCs w:val="0"/>
                <w:color w:val="000000" w:themeColor="text1"/>
                <w:spacing w:val="2"/>
                <w:sz w:val="21"/>
                <w:szCs w:val="21"/>
                <w:highlight w:val="none"/>
                <w:lang w:val="en-US" w:eastAsia="zh-CN"/>
                <w14:textFill>
                  <w14:solidFill>
                    <w14:schemeClr w14:val="tx1"/>
                  </w14:solidFill>
                </w14:textFill>
              </w:rPr>
              <w:t>公司</w:t>
            </w:r>
          </w:p>
        </w:tc>
      </w:tr>
      <w:tr w14:paraId="09DD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50" w:type="dxa"/>
          <w:trHeight w:val="703" w:hRule="exact"/>
        </w:trPr>
        <w:tc>
          <w:tcPr>
            <w:tcW w:w="5061" w:type="dxa"/>
            <w:tcBorders>
              <w:top w:val="single" w:color="000000" w:sz="4" w:space="0"/>
              <w:left w:val="single" w:color="000000" w:sz="4" w:space="0"/>
              <w:bottom w:val="single" w:color="000000" w:sz="4" w:space="0"/>
              <w:right w:val="single" w:color="000000" w:sz="4" w:space="0"/>
            </w:tcBorders>
            <w:noWrap w:val="0"/>
            <w:vAlign w:val="bottom"/>
          </w:tcPr>
          <w:p w14:paraId="6EE6FBDF">
            <w:pPr>
              <w:spacing w:line="360" w:lineRule="auto"/>
              <w:jc w:val="left"/>
              <w:rPr>
                <w:rFonts w:hint="eastAsia" w:ascii="宋体" w:hAnsi="宋体" w:eastAsia="宋体" w:cs="宋体"/>
                <w:b/>
                <w:bCs w:val="0"/>
                <w:color w:val="000000" w:themeColor="text1"/>
                <w:spacing w:val="2"/>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法定</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授权</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14:textFill>
                  <w14:solidFill>
                    <w14:schemeClr w14:val="tx1"/>
                  </w14:solidFill>
                </w14:textFill>
              </w:rPr>
              <w:t>代表人</w:t>
            </w:r>
            <w:r>
              <w:rPr>
                <w:rFonts w:hint="eastAsia" w:ascii="宋体" w:hAnsi="宋体" w:eastAsia="宋体" w:cs="宋体"/>
                <w:b/>
                <w:bCs w:val="0"/>
                <w:color w:val="000000" w:themeColor="text1"/>
                <w:spacing w:val="2"/>
                <w:sz w:val="21"/>
                <w:szCs w:val="21"/>
                <w:highlight w:val="none"/>
                <w14:textFill>
                  <w14:solidFill>
                    <w14:schemeClr w14:val="tx1"/>
                  </w14:solidFill>
                </w14:textFill>
              </w:rPr>
              <w:t>：</w:t>
            </w:r>
            <w:r>
              <w:rPr>
                <w:rFonts w:hint="eastAsia" w:ascii="宋体" w:hAnsi="宋体" w:eastAsia="宋体" w:cs="宋体"/>
                <w:b/>
                <w:bCs w:val="0"/>
                <w:color w:val="000000" w:themeColor="text1"/>
                <w:sz w:val="21"/>
                <w:szCs w:val="21"/>
                <w:highlight w:val="none"/>
                <w:u w:val="none"/>
                <w14:textFill>
                  <w14:solidFill>
                    <w14:schemeClr w14:val="tx1"/>
                  </w14:solidFill>
                </w14:textFill>
              </w:rPr>
              <w:t xml:space="preserve">   </w:t>
            </w:r>
          </w:p>
        </w:tc>
      </w:tr>
      <w:tr w14:paraId="2B00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50" w:type="dxa"/>
          <w:trHeight w:val="703" w:hRule="exact"/>
        </w:trPr>
        <w:tc>
          <w:tcPr>
            <w:tcW w:w="5061" w:type="dxa"/>
            <w:tcBorders>
              <w:top w:val="single" w:color="000000" w:sz="4" w:space="0"/>
              <w:left w:val="single" w:color="000000" w:sz="4" w:space="0"/>
              <w:bottom w:val="single" w:color="000000" w:sz="4" w:space="0"/>
              <w:right w:val="single" w:color="000000" w:sz="4" w:space="0"/>
            </w:tcBorders>
            <w:noWrap w:val="0"/>
            <w:vAlign w:val="bottom"/>
          </w:tcPr>
          <w:p w14:paraId="468BFB70">
            <w:pPr>
              <w:spacing w:line="360" w:lineRule="auto"/>
              <w:jc w:val="left"/>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统一社会信用代码：913302067172149706</w:t>
            </w:r>
          </w:p>
        </w:tc>
      </w:tr>
      <w:tr w14:paraId="1D66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50" w:type="dxa"/>
          <w:trHeight w:val="703" w:hRule="exact"/>
        </w:trPr>
        <w:tc>
          <w:tcPr>
            <w:tcW w:w="5061" w:type="dxa"/>
            <w:tcBorders>
              <w:top w:val="single" w:color="000000" w:sz="4" w:space="0"/>
              <w:bottom w:val="single" w:color="000000" w:sz="4" w:space="0"/>
            </w:tcBorders>
            <w:noWrap w:val="0"/>
            <w:vAlign w:val="bottom"/>
          </w:tcPr>
          <w:p w14:paraId="75FA24E9">
            <w:pPr>
              <w:spacing w:line="360" w:lineRule="auto"/>
              <w:jc w:val="both"/>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签订</w:t>
            </w:r>
            <w:r>
              <w:rPr>
                <w:rFonts w:hint="eastAsia" w:ascii="宋体" w:hAnsi="宋体" w:eastAsia="宋体" w:cs="宋体"/>
                <w:b/>
                <w:bCs w:val="0"/>
                <w:color w:val="000000" w:themeColor="text1"/>
                <w:sz w:val="21"/>
                <w:szCs w:val="21"/>
                <w:highlight w:val="none"/>
                <w14:textFill>
                  <w14:solidFill>
                    <w14:schemeClr w14:val="tx1"/>
                  </w14:solidFill>
                </w14:textFill>
              </w:rPr>
              <w:t>日期：</w:t>
            </w:r>
          </w:p>
        </w:tc>
      </w:tr>
    </w:tbl>
    <w:p w14:paraId="58B381D9">
      <w:pPr>
        <w:spacing w:line="280" w:lineRule="exact"/>
        <w:rPr>
          <w:rFonts w:hint="eastAsia" w:ascii="宋体" w:hAnsi="宋体" w:eastAsia="宋体" w:cs="宋体"/>
          <w:b/>
          <w:color w:val="000000" w:themeColor="text1"/>
          <w:sz w:val="28"/>
          <w:szCs w:val="28"/>
          <w:highlight w:val="none"/>
          <w14:textFill>
            <w14:solidFill>
              <w14:schemeClr w14:val="tx1"/>
            </w14:solidFill>
          </w14:textFill>
        </w:rPr>
      </w:pPr>
    </w:p>
    <w:p w14:paraId="133633B8">
      <w:pPr>
        <w:pStyle w:val="973"/>
        <w:rPr>
          <w:rFonts w:hint="eastAsia" w:ascii="宋体" w:hAnsi="宋体" w:eastAsia="宋体" w:cs="宋体"/>
          <w:color w:val="000000" w:themeColor="text1"/>
          <w:highlight w:val="none"/>
          <w14:textFill>
            <w14:solidFill>
              <w14:schemeClr w14:val="tx1"/>
            </w14:solidFill>
          </w14:textFill>
        </w:rPr>
      </w:pPr>
    </w:p>
    <w:p w14:paraId="40CBF7C5">
      <w:pPr>
        <w:spacing w:line="280" w:lineRule="exact"/>
        <w:ind w:left="-359" w:leftChars="-171" w:firstLine="452" w:firstLineChars="150"/>
        <w:jc w:val="center"/>
        <w:rPr>
          <w:rFonts w:hint="eastAsia" w:ascii="宋体" w:hAnsi="宋体" w:eastAsia="宋体" w:cs="宋体"/>
          <w:b/>
          <w:color w:val="000000" w:themeColor="text1"/>
          <w:sz w:val="30"/>
          <w:szCs w:val="30"/>
          <w:highlight w:val="none"/>
          <w14:textFill>
            <w14:solidFill>
              <w14:schemeClr w14:val="tx1"/>
            </w14:solidFill>
          </w14:textFill>
        </w:rPr>
      </w:pPr>
    </w:p>
    <w:p w14:paraId="7E2DA416">
      <w:pPr>
        <w:rPr>
          <w:rFonts w:ascii="宋体" w:hAnsi="宋体" w:cs="宋体"/>
          <w:b/>
          <w:color w:val="000000" w:themeColor="text1"/>
          <w:sz w:val="36"/>
          <w:szCs w:val="2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br w:type="page"/>
      </w:r>
      <w:bookmarkStart w:id="440" w:name="_Toc12182"/>
      <w:bookmarkStart w:id="441" w:name="_Toc14949"/>
    </w:p>
    <w:p w14:paraId="07CA1A3B">
      <w:pPr>
        <w:spacing w:line="360" w:lineRule="auto"/>
        <w:jc w:val="center"/>
        <w:outlineLvl w:val="0"/>
        <w:rPr>
          <w:rFonts w:ascii="宋体" w:hAnsi="宋体" w:cs="宋体"/>
          <w:b/>
          <w:color w:val="000000" w:themeColor="text1"/>
          <w:sz w:val="36"/>
          <w:szCs w:val="20"/>
          <w:highlight w:val="none"/>
          <w14:textFill>
            <w14:solidFill>
              <w14:schemeClr w14:val="tx1"/>
            </w14:solidFill>
          </w14:textFill>
        </w:rPr>
      </w:pPr>
      <w:r>
        <w:rPr>
          <w:rFonts w:hint="eastAsia" w:ascii="宋体" w:hAnsi="宋体" w:cs="宋体"/>
          <w:b/>
          <w:color w:val="000000" w:themeColor="text1"/>
          <w:sz w:val="36"/>
          <w:szCs w:val="20"/>
          <w:highlight w:val="none"/>
          <w14:textFill>
            <w14:solidFill>
              <w14:schemeClr w14:val="tx1"/>
            </w14:solidFill>
          </w14:textFill>
        </w:rPr>
        <w:t>第六部分</w:t>
      </w:r>
      <w:bookmarkEnd w:id="436"/>
      <w:r>
        <w:rPr>
          <w:rFonts w:hint="eastAsia" w:ascii="宋体" w:hAnsi="宋体" w:cs="宋体"/>
          <w:b/>
          <w:color w:val="000000" w:themeColor="text1"/>
          <w:sz w:val="36"/>
          <w:szCs w:val="20"/>
          <w:highlight w:val="none"/>
          <w14:textFill>
            <w14:solidFill>
              <w14:schemeClr w14:val="tx1"/>
            </w14:solidFill>
          </w14:textFill>
        </w:rPr>
        <w:t xml:space="preserve"> </w:t>
      </w:r>
      <w:bookmarkEnd w:id="437"/>
      <w:r>
        <w:rPr>
          <w:rFonts w:hint="eastAsia" w:ascii="宋体" w:hAnsi="宋体" w:cs="宋体"/>
          <w:b/>
          <w:color w:val="000000" w:themeColor="text1"/>
          <w:sz w:val="36"/>
          <w:szCs w:val="20"/>
          <w:highlight w:val="none"/>
          <w14:textFill>
            <w14:solidFill>
              <w14:schemeClr w14:val="tx1"/>
            </w14:solidFill>
          </w14:textFill>
        </w:rPr>
        <w:t>应提交的有关格式范例</w:t>
      </w:r>
      <w:bookmarkEnd w:id="440"/>
      <w:bookmarkEnd w:id="441"/>
    </w:p>
    <w:p w14:paraId="3605B5F9">
      <w:pPr>
        <w:spacing w:line="360" w:lineRule="auto"/>
        <w:jc w:val="center"/>
        <w:rPr>
          <w:rFonts w:ascii="宋体" w:hAnsi="宋体" w:cs="宋体"/>
          <w:b/>
          <w:color w:val="000000" w:themeColor="text1"/>
          <w:kern w:val="0"/>
          <w:sz w:val="36"/>
          <w:szCs w:val="36"/>
          <w:highlight w:val="none"/>
          <w14:textFill>
            <w14:solidFill>
              <w14:schemeClr w14:val="tx1"/>
            </w14:solidFill>
          </w14:textFill>
        </w:rPr>
      </w:pPr>
    </w:p>
    <w:p w14:paraId="2686BAF3">
      <w:pPr>
        <w:spacing w:line="360" w:lineRule="auto"/>
        <w:jc w:val="center"/>
        <w:outlineLvl w:val="1"/>
        <w:rPr>
          <w:rFonts w:ascii="宋体" w:hAnsi="宋体" w:cs="宋体"/>
          <w:b/>
          <w:color w:val="000000" w:themeColor="text1"/>
          <w:kern w:val="0"/>
          <w:sz w:val="36"/>
          <w:szCs w:val="36"/>
          <w:highlight w:val="none"/>
          <w14:textFill>
            <w14:solidFill>
              <w14:schemeClr w14:val="tx1"/>
            </w14:solidFill>
          </w14:textFill>
        </w:rPr>
      </w:pPr>
      <w:bookmarkStart w:id="442" w:name="_Toc29848"/>
      <w:r>
        <w:rPr>
          <w:rFonts w:hint="eastAsia" w:ascii="宋体" w:hAnsi="宋体" w:cs="宋体"/>
          <w:b/>
          <w:color w:val="000000" w:themeColor="text1"/>
          <w:kern w:val="0"/>
          <w:sz w:val="36"/>
          <w:szCs w:val="36"/>
          <w:highlight w:val="none"/>
          <w14:textFill>
            <w14:solidFill>
              <w14:schemeClr w14:val="tx1"/>
            </w14:solidFill>
          </w14:textFill>
        </w:rPr>
        <w:t>资格文件部分</w:t>
      </w:r>
      <w:bookmarkEnd w:id="442"/>
    </w:p>
    <w:p w14:paraId="41210E04">
      <w:pPr>
        <w:snapToGrid w:val="0"/>
        <w:spacing w:line="360" w:lineRule="auto"/>
        <w:ind w:right="480"/>
        <w:jc w:val="center"/>
        <w:rPr>
          <w:rFonts w:hint="eastAsia" w:ascii="宋体" w:hAnsi="宋体" w:cs="宋体"/>
          <w:b/>
          <w:color w:val="000000" w:themeColor="text1"/>
          <w:kern w:val="0"/>
          <w:sz w:val="32"/>
          <w:szCs w:val="32"/>
          <w:highlight w:val="none"/>
          <w:lang w:eastAsia="zh-CN"/>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 xml:space="preserve">  一、营业执照等证明材料</w:t>
      </w:r>
      <w:r>
        <w:rPr>
          <w:rFonts w:hint="eastAsia" w:ascii="宋体" w:hAnsi="宋体" w:cs="宋体"/>
          <w:b/>
          <w:color w:val="000000" w:themeColor="text1"/>
          <w:kern w:val="0"/>
          <w:sz w:val="32"/>
          <w:szCs w:val="32"/>
          <w:highlight w:val="none"/>
          <w:lang w:eastAsia="zh-CN"/>
          <w14:textFill>
            <w14:solidFill>
              <w14:schemeClr w14:val="tx1"/>
            </w14:solidFill>
          </w14:textFill>
        </w:rPr>
        <w:t>；</w:t>
      </w:r>
    </w:p>
    <w:p w14:paraId="78334186">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注：法人或者其他组织投标的须提供营业执照（或事业法人登记证或其他登记证明材料）扫描件，自然人投标的提供身份证明扫描件</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cs="宋体"/>
          <w:b/>
          <w:color w:val="000000" w:themeColor="text1"/>
          <w:kern w:val="0"/>
          <w:sz w:val="32"/>
          <w:szCs w:val="32"/>
          <w:highlight w:val="none"/>
          <w14:textFill>
            <w14:solidFill>
              <w14:schemeClr w14:val="tx1"/>
            </w14:solidFill>
          </w14:textFill>
        </w:rPr>
        <w:t xml:space="preserve"> </w:t>
      </w:r>
    </w:p>
    <w:p w14:paraId="20AEAD97">
      <w:pP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br w:type="page"/>
      </w:r>
    </w:p>
    <w:p w14:paraId="6039CFFB">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 xml:space="preserve"> 二、符合参加政府采购活动应当具备的一般条件的承诺函</w:t>
      </w:r>
    </w:p>
    <w:p w14:paraId="4F18E8A1">
      <w:pPr>
        <w:snapToGrid w:val="0"/>
        <w:spacing w:line="360" w:lineRule="auto"/>
        <w:rPr>
          <w:rFonts w:ascii="宋体" w:hAnsi="宋体" w:cs="宋体"/>
          <w:color w:val="000000" w:themeColor="text1"/>
          <w:sz w:val="24"/>
          <w:highlight w:val="none"/>
          <w14:textFill>
            <w14:solidFill>
              <w14:schemeClr w14:val="tx1"/>
            </w14:solidFill>
          </w14:textFill>
        </w:rPr>
      </w:pPr>
    </w:p>
    <w:p w14:paraId="4E824D9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（采购人）、（采购代理机构）：</w:t>
      </w:r>
    </w:p>
    <w:p w14:paraId="4EBF9DC9">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我方参与</w:t>
      </w:r>
      <w:r>
        <w:rPr>
          <w:rFonts w:hint="eastAsia" w:ascii="宋体" w:hAnsi="宋体" w:cs="宋体"/>
          <w:color w:val="000000" w:themeColor="text1"/>
          <w:sz w:val="24"/>
          <w:highlight w:val="none"/>
          <w:u w:val="single"/>
          <w:lang w:eastAsia="zh-CN"/>
          <w14:textFill>
            <w14:solidFill>
              <w14:schemeClr w14:val="tx1"/>
            </w14:solidFill>
          </w14:textFill>
        </w:rPr>
        <w:t>宁波市北仑区人民医院应急医疗救治中心核医学系统采购项目（</w:t>
      </w:r>
      <w:r>
        <w:rPr>
          <w:rFonts w:hint="eastAsia" w:ascii="宋体" w:hAnsi="宋体" w:cs="宋体"/>
          <w:color w:val="000000" w:themeColor="text1"/>
          <w:sz w:val="24"/>
          <w:highlight w:val="none"/>
          <w:u w:val="single"/>
          <w:lang w:val="en-US" w:eastAsia="zh-CN"/>
          <w14:textFill>
            <w14:solidFill>
              <w14:schemeClr w14:val="tx1"/>
            </w14:solidFill>
          </w14:textFill>
        </w:rPr>
        <w:t>项目编号：CBNB-20261132-BL018G</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政府采购活动，郑重承诺：</w:t>
      </w:r>
    </w:p>
    <w:p w14:paraId="1828AB3C">
      <w:pPr>
        <w:snapToGrid w:val="0"/>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（一）具备《中华人民共和国政府采购法》第二十二条第一款规定的条件：</w:t>
      </w:r>
    </w:p>
    <w:p w14:paraId="4D6ACB86">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1、具有独立承担民事责任的能力；</w:t>
      </w:r>
    </w:p>
    <w:p w14:paraId="136B755B">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2、具有良好的商业信誉和健全的财务会计制度； </w:t>
      </w:r>
    </w:p>
    <w:p w14:paraId="22726E1A">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3、具有履行合同所必需的设备和专业技术能力；</w:t>
      </w:r>
    </w:p>
    <w:p w14:paraId="78DBD93B">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4、有依法缴纳税收和社会保障资金的良好记录；</w:t>
      </w:r>
    </w:p>
    <w:p w14:paraId="5288C275">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5、参加政府采购活动前三年内，在经营活动中没有重大违法记录；</w:t>
      </w:r>
    </w:p>
    <w:p w14:paraId="0D43D348">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6、具有法律、行政法规规定的其他条件。</w:t>
      </w:r>
    </w:p>
    <w:p w14:paraId="7332A186">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（二）未被信用中国（www.creditchina.gov.cn)、中国政府采购网（www.ccgp.gov.cn）列入失信被执行人、重大税收违法失信主体、政府采购严重违法失信行为记录名单。</w:t>
      </w:r>
    </w:p>
    <w:p w14:paraId="664BA670">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（三）不存在以下情况：</w:t>
      </w:r>
    </w:p>
    <w:p w14:paraId="6811DBF3">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1、单位负责人为同一人或者存在直接控股、管理关系的不同供应商参加同一合同项下的政府采购活动的；</w:t>
      </w:r>
    </w:p>
    <w:p w14:paraId="68FA53B1">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2、为采购项目提供整体设计、规范编制或者项目管理、监理、检测等服务后再参加该采购项目的其他采购活动的。</w:t>
      </w:r>
    </w:p>
    <w:p w14:paraId="235F29A2">
      <w:pPr>
        <w:snapToGrid w:val="0"/>
        <w:spacing w:line="360" w:lineRule="auto"/>
        <w:ind w:firstLine="5520" w:firstLineChars="2300"/>
        <w:rPr>
          <w:rFonts w:ascii="宋体" w:hAnsi="宋体" w:cs="宋体"/>
          <w:color w:val="000000" w:themeColor="text1"/>
          <w:kern w:val="0"/>
          <w:sz w:val="24"/>
          <w:highlight w:val="none"/>
          <w:lang w:val="zh-CN"/>
          <w14:textFill>
            <w14:solidFill>
              <w14:schemeClr w14:val="tx1"/>
            </w14:solidFill>
          </w14:textFill>
        </w:rPr>
      </w:pPr>
    </w:p>
    <w:p w14:paraId="17A710DC">
      <w:pPr>
        <w:snapToGrid w:val="0"/>
        <w:spacing w:line="360" w:lineRule="auto"/>
        <w:ind w:firstLine="5520" w:firstLineChars="2300"/>
        <w:rPr>
          <w:rFonts w:ascii="宋体" w:hAnsi="宋体" w:cs="宋体"/>
          <w:color w:val="000000" w:themeColor="text1"/>
          <w:kern w:val="0"/>
          <w:sz w:val="24"/>
          <w:highlight w:val="none"/>
          <w:lang w:val="zh-CN"/>
          <w14:textFill>
            <w14:solidFill>
              <w14:schemeClr w14:val="tx1"/>
            </w14:solidFill>
          </w14:textFill>
        </w:rPr>
      </w:pPr>
    </w:p>
    <w:p w14:paraId="00670F42">
      <w:pPr>
        <w:snapToGrid w:val="0"/>
        <w:spacing w:line="360" w:lineRule="auto"/>
        <w:ind w:firstLine="5520" w:firstLineChars="23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14:textFill>
            <w14:solidFill>
              <w14:schemeClr w14:val="tx1"/>
            </w14:solidFill>
          </w14:textFill>
        </w:rPr>
        <w:t>电子签章</w:t>
      </w:r>
      <w:r>
        <w:rPr>
          <w:rFonts w:hint="eastAsia" w:ascii="宋体" w:hAnsi="宋体" w:cs="宋体"/>
          <w:color w:val="000000" w:themeColor="text1"/>
          <w:kern w:val="0"/>
          <w:sz w:val="24"/>
          <w:highlight w:val="none"/>
          <w:lang w:val="zh-CN"/>
          <w14:textFill>
            <w14:solidFill>
              <w14:schemeClr w14:val="tx1"/>
            </w14:solidFill>
          </w14:textFill>
        </w:rPr>
        <w:t>)：</w:t>
      </w:r>
    </w:p>
    <w:p w14:paraId="2BF964A8">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14:paraId="7AEAD488">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6B6C8AB9">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50A5B555">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75036A26">
      <w:pPr>
        <w:rPr>
          <w:rFonts w:ascii="宋体" w:hAnsi="宋体" w:cs="宋体"/>
          <w:color w:val="000000" w:themeColor="text1"/>
          <w:highlight w:val="none"/>
          <w14:textFill>
            <w14:solidFill>
              <w14:schemeClr w14:val="tx1"/>
            </w14:solidFill>
          </w14:textFill>
        </w:rPr>
      </w:pPr>
    </w:p>
    <w:p w14:paraId="205A44FE">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1D1BA59B">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4F6CC3F1">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三、联合协议（如适用）</w:t>
      </w:r>
    </w:p>
    <w:p w14:paraId="30CC1E3E">
      <w:pPr>
        <w:widowControl/>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[以联合体形式投标的，提供联合协议（附件3）；本项目不接受联合体投标或者投标人不以联合体形式投标的，则不需要提供]</w:t>
      </w:r>
    </w:p>
    <w:p w14:paraId="065E2DD0">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554F4DE0">
      <w:pPr>
        <w:snapToGrid w:val="0"/>
        <w:spacing w:line="360" w:lineRule="auto"/>
        <w:ind w:right="480"/>
        <w:jc w:val="center"/>
        <w:rPr>
          <w:rFonts w:hint="eastAsia" w:ascii="宋体" w:hAnsi="宋体" w:eastAsia="宋体" w:cs="宋体"/>
          <w:b/>
          <w:color w:val="000000" w:themeColor="text1"/>
          <w:kern w:val="0"/>
          <w:sz w:val="32"/>
          <w:szCs w:val="32"/>
          <w:highlight w:val="none"/>
          <w:lang w:eastAsia="zh-CN"/>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四、落实政府采购政策需满足的资格要求</w:t>
      </w:r>
    </w:p>
    <w:p w14:paraId="6D0E784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（根据招标公告落实政府采购政策需满足的资格要求选择提供相应的材料；未要求的，无需提供）</w:t>
      </w:r>
    </w:p>
    <w:p w14:paraId="268414D7">
      <w:pPr>
        <w:snapToGrid w:val="0"/>
        <w:spacing w:before="50" w:after="50" w:line="360" w:lineRule="auto"/>
        <w:ind w:firstLine="470" w:firstLineChars="196"/>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A.专门面向中小企业，货物全部由符合政策要求的中小企业（或小微企业）制造的，提供相应的中小企业声明函（附件5）。 </w:t>
      </w:r>
    </w:p>
    <w:p w14:paraId="144D9016">
      <w:pPr>
        <w:widowControl/>
        <w:spacing w:line="360" w:lineRule="auto"/>
        <w:ind w:firstLine="480"/>
        <w:jc w:val="left"/>
        <w:rPr>
          <w:rFonts w:ascii="宋体" w:hAnsi="宋体" w:cs="宋体"/>
          <w:bCs/>
          <w:color w:val="000000" w:themeColor="text1"/>
          <w:sz w:val="24"/>
          <w:highlight w:val="none"/>
          <w14:textFill>
            <w14:solidFill>
              <w14:schemeClr w14:val="tx1"/>
            </w14:solidFill>
          </w14:textFill>
        </w:rPr>
      </w:pPr>
    </w:p>
    <w:p w14:paraId="3586198A">
      <w:pPr>
        <w:widowControl/>
        <w:spacing w:line="360" w:lineRule="auto"/>
        <w:ind w:firstLine="470" w:firstLineChars="196"/>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B.要求以联合体形式参加的，提供联合协议（附件3）和中小企业声明函（附件5），联合协议中中小企业合同金额应当达到招标公告载明的比例；如果供应商本身提供所有标的均由中小企业制造的，</w:t>
      </w:r>
      <w:r>
        <w:rPr>
          <w:rFonts w:hint="eastAsia" w:ascii="宋体" w:hAnsi="宋体" w:cs="宋体"/>
          <w:bCs/>
          <w:color w:val="000000" w:themeColor="text1"/>
          <w:spacing w:val="8"/>
          <w:kern w:val="0"/>
          <w:sz w:val="24"/>
          <w:highlight w:val="none"/>
          <w14:textFill>
            <w14:solidFill>
              <w14:schemeClr w14:val="tx1"/>
            </w14:solidFill>
          </w14:textFill>
        </w:rPr>
        <w:t>并相应达到了前述比例要求，</w:t>
      </w:r>
      <w:r>
        <w:rPr>
          <w:rFonts w:hint="eastAsia" w:ascii="宋体" w:hAnsi="宋体" w:cs="宋体"/>
          <w:bCs/>
          <w:color w:val="000000" w:themeColor="text1"/>
          <w:sz w:val="24"/>
          <w:highlight w:val="none"/>
          <w14:textFill>
            <w14:solidFill>
              <w14:schemeClr w14:val="tx1"/>
            </w14:solidFill>
          </w14:textFill>
        </w:rPr>
        <w:t>视同符合了资格条件，无需再与其他中小企业组成联合体参加政府采购活动，无需提供联合协议。</w:t>
      </w:r>
    </w:p>
    <w:p w14:paraId="2EBDD423">
      <w:pPr>
        <w:snapToGrid w:val="0"/>
        <w:spacing w:before="50" w:after="50"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w:t>
      </w:r>
    </w:p>
    <w:p w14:paraId="4F2D6E40">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C、要求合同分包的，提供分包意向协议（附件4）和中小企业声明函（附件5），分包意向协议中中小企业合同金额应当达到招标公告载明的比例；如果供应商本身提供所有标的均由中小企业制造的，</w:t>
      </w:r>
      <w:r>
        <w:rPr>
          <w:rFonts w:hint="eastAsia" w:ascii="宋体" w:hAnsi="宋体" w:cs="宋体"/>
          <w:bCs/>
          <w:color w:val="000000" w:themeColor="text1"/>
          <w:spacing w:val="8"/>
          <w:kern w:val="0"/>
          <w:sz w:val="24"/>
          <w:highlight w:val="none"/>
          <w14:textFill>
            <w14:solidFill>
              <w14:schemeClr w14:val="tx1"/>
            </w14:solidFill>
          </w14:textFill>
        </w:rPr>
        <w:t>并相应达到了前述比例要求，</w:t>
      </w:r>
      <w:r>
        <w:rPr>
          <w:rFonts w:hint="eastAsia" w:ascii="宋体" w:hAnsi="宋体" w:cs="宋体"/>
          <w:bCs/>
          <w:color w:val="000000" w:themeColor="text1"/>
          <w:sz w:val="24"/>
          <w:highlight w:val="none"/>
          <w14:textFill>
            <w14:solidFill>
              <w14:schemeClr w14:val="tx1"/>
            </w14:solidFill>
          </w14:textFill>
        </w:rPr>
        <w:t>视同符合了资格条件，无需再向中小企业分包，无需提供分包意向协议。</w:t>
      </w:r>
    </w:p>
    <w:p w14:paraId="7E9DBE0C">
      <w:pPr>
        <w:widowControl/>
        <w:spacing w:line="360" w:lineRule="auto"/>
        <w:ind w:left="150"/>
        <w:jc w:val="center"/>
        <w:rPr>
          <w:rFonts w:ascii="宋体" w:hAnsi="宋体" w:cs="宋体"/>
          <w:b/>
          <w:color w:val="000000" w:themeColor="text1"/>
          <w:kern w:val="0"/>
          <w:sz w:val="32"/>
          <w:szCs w:val="32"/>
          <w:highlight w:val="none"/>
          <w14:textFill>
            <w14:solidFill>
              <w14:schemeClr w14:val="tx1"/>
            </w14:solidFill>
          </w14:textFill>
        </w:rPr>
      </w:pPr>
    </w:p>
    <w:p w14:paraId="5967B7FE">
      <w:pPr>
        <w:widowControl/>
        <w:spacing w:line="360" w:lineRule="auto"/>
        <w:ind w:left="15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五、本项目的特定资格要求</w:t>
      </w:r>
    </w:p>
    <w:p w14:paraId="656CD40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（根据招标公告本项目的特定资格要求提供相应的材料；未要求的，无需提供）</w:t>
      </w:r>
    </w:p>
    <w:p w14:paraId="139D2209">
      <w:pPr>
        <w:rPr>
          <w:rFonts w:ascii="宋体" w:hAnsi="宋体" w:cs="宋体"/>
          <w:color w:val="000000" w:themeColor="text1"/>
          <w:highlight w:val="none"/>
          <w14:textFill>
            <w14:solidFill>
              <w14:schemeClr w14:val="tx1"/>
            </w14:solidFill>
          </w14:textFill>
        </w:rPr>
      </w:pPr>
    </w:p>
    <w:p w14:paraId="47EEFE72">
      <w:pPr>
        <w:widowControl/>
        <w:numPr>
          <w:ilvl w:val="0"/>
          <w:numId w:val="36"/>
        </w:numPr>
        <w:spacing w:line="360" w:lineRule="auto"/>
        <w:ind w:left="15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业务专用章使用说明函</w:t>
      </w:r>
    </w:p>
    <w:p w14:paraId="211BAFE7">
      <w:pPr>
        <w:pStyle w:val="63"/>
        <w:ind w:left="840" w:leftChars="400" w:firstLine="0" w:firstLineChars="0"/>
        <w:jc w:val="center"/>
        <w:rPr>
          <w:bCs/>
          <w:color w:val="000000" w:themeColor="text1"/>
          <w:highlight w:val="none"/>
          <w14:textFill>
            <w14:solidFill>
              <w14:schemeClr w14:val="tx1"/>
            </w14:solidFill>
          </w14:textFill>
        </w:rPr>
      </w:pPr>
      <w:r>
        <w:rPr>
          <w:rFonts w:hint="eastAsia" w:cs="宋体"/>
          <w:bCs/>
          <w:color w:val="000000" w:themeColor="text1"/>
          <w:sz w:val="24"/>
          <w:highlight w:val="none"/>
          <w14:textFill>
            <w14:solidFill>
              <w14:schemeClr w14:val="tx1"/>
            </w14:solidFill>
          </w14:textFill>
        </w:rPr>
        <w:t>[如适用，提供业务专用章使用说明函（附件2）]</w:t>
      </w:r>
    </w:p>
    <w:p w14:paraId="2EFEA46B">
      <w:pPr>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14:paraId="3651CDC2">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商务技术文件部分</w:t>
      </w:r>
    </w:p>
    <w:p w14:paraId="2C26FDCF">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14:paraId="6FC6BE9E">
      <w:pPr>
        <w:numPr>
          <w:ilvl w:val="0"/>
          <w:numId w:val="37"/>
        </w:numPr>
        <w:jc w:val="left"/>
        <w:rPr>
          <w:b/>
          <w:bCs/>
          <w:color w:val="000000" w:themeColor="text1"/>
          <w:sz w:val="32"/>
          <w:szCs w:val="32"/>
          <w:highlight w:val="none"/>
          <w14:textFill>
            <w14:solidFill>
              <w14:schemeClr w14:val="tx1"/>
            </w14:solidFill>
          </w14:textFill>
        </w:rPr>
      </w:pPr>
      <w:bookmarkStart w:id="443" w:name="_Toc2704"/>
      <w:r>
        <w:rPr>
          <w:rFonts w:hint="eastAsia"/>
          <w:b/>
          <w:bCs/>
          <w:color w:val="000000" w:themeColor="text1"/>
          <w:sz w:val="32"/>
          <w:szCs w:val="32"/>
          <w:highlight w:val="none"/>
          <w14:textFill>
            <w14:solidFill>
              <w14:schemeClr w14:val="tx1"/>
            </w14:solidFill>
          </w14:textFill>
        </w:rPr>
        <w:t>投标函</w:t>
      </w:r>
      <w:bookmarkEnd w:id="443"/>
    </w:p>
    <w:p w14:paraId="22715B75">
      <w:pPr>
        <w:pStyle w:val="63"/>
        <w:ind w:left="840" w:leftChars="400" w:firstLine="0" w:firstLineChars="0"/>
        <w:rPr>
          <w:color w:val="000000" w:themeColor="text1"/>
          <w:highlight w:val="none"/>
          <w14:textFill>
            <w14:solidFill>
              <w14:schemeClr w14:val="tx1"/>
            </w14:solidFill>
          </w14:textFill>
        </w:rPr>
      </w:pPr>
    </w:p>
    <w:p w14:paraId="4832372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（采购人）、（采购代理机构）</w:t>
      </w:r>
      <w:r>
        <w:rPr>
          <w:rFonts w:hint="eastAsia" w:ascii="宋体" w:hAnsi="宋体" w:cs="宋体"/>
          <w:color w:val="000000" w:themeColor="text1"/>
          <w:sz w:val="24"/>
          <w:highlight w:val="none"/>
          <w14:textFill>
            <w14:solidFill>
              <w14:schemeClr w14:val="tx1"/>
            </w14:solidFill>
          </w14:textFill>
        </w:rPr>
        <w:t>：</w:t>
      </w:r>
    </w:p>
    <w:p w14:paraId="2060762C">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我方参加你方组织的</w:t>
      </w:r>
      <w:r>
        <w:rPr>
          <w:rFonts w:hint="eastAsia" w:ascii="宋体" w:hAnsi="宋体" w:cs="宋体"/>
          <w:color w:val="000000" w:themeColor="text1"/>
          <w:sz w:val="24"/>
          <w:highlight w:val="none"/>
          <w:u w:val="single"/>
          <w:lang w:eastAsia="zh-CN"/>
          <w14:textFill>
            <w14:solidFill>
              <w14:schemeClr w14:val="tx1"/>
            </w14:solidFill>
          </w14:textFill>
        </w:rPr>
        <w:t>宁波市北仑区人民医院应急医疗救治中心核医学系统采购项目（</w:t>
      </w:r>
      <w:r>
        <w:rPr>
          <w:rFonts w:hint="eastAsia" w:ascii="宋体" w:hAnsi="宋体" w:cs="宋体"/>
          <w:color w:val="000000" w:themeColor="text1"/>
          <w:sz w:val="24"/>
          <w:highlight w:val="none"/>
          <w:u w:val="single"/>
          <w:lang w:val="en-US" w:eastAsia="zh-CN"/>
          <w14:textFill>
            <w14:solidFill>
              <w14:schemeClr w14:val="tx1"/>
            </w14:solidFill>
          </w14:textFill>
        </w:rPr>
        <w:t>项目编号：CBNB-20261132-BL018G</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招标的有关活动，并对此项目进行投标。为此：</w:t>
      </w:r>
    </w:p>
    <w:p w14:paraId="4AB70D25">
      <w:pPr>
        <w:adjustRightInd/>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1、我方承诺投标有效期从提交投标文件的截止之日起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天（不少于90天）</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本投标文件在投标有效期满之前均具有约束力。</w:t>
      </w:r>
    </w:p>
    <w:p w14:paraId="2CFE8F65">
      <w:pPr>
        <w:adjustRightInd/>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2、我方的投标文件包括以下内容：</w:t>
      </w:r>
    </w:p>
    <w:p w14:paraId="54EC05E8">
      <w:pPr>
        <w:adjustRightInd/>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2.1资格文件：</w:t>
      </w:r>
    </w:p>
    <w:p w14:paraId="70CCBB17">
      <w:pPr>
        <w:adjustRightInd/>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2商务技术</w:t>
      </w:r>
      <w:r>
        <w:rPr>
          <w:rFonts w:hint="eastAsia" w:ascii="宋体" w:hAnsi="宋体" w:cs="宋体"/>
          <w:color w:val="000000" w:themeColor="text1"/>
          <w:sz w:val="24"/>
          <w:highlight w:val="none"/>
          <w:lang w:val="zh-CN"/>
          <w14:textFill>
            <w14:solidFill>
              <w14:schemeClr w14:val="tx1"/>
            </w14:solidFill>
          </w14:textFill>
        </w:rPr>
        <w:t>文件：</w:t>
      </w:r>
    </w:p>
    <w:p w14:paraId="76026C26">
      <w:pPr>
        <w:adjustRightInd/>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3报价文件</w:t>
      </w:r>
    </w:p>
    <w:p w14:paraId="11C00A22">
      <w:pPr>
        <w:adjustRightInd/>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3、我方承诺除商务技术偏离表列出的偏离外，我方响应招标文件的全部要求。</w:t>
      </w:r>
    </w:p>
    <w:p w14:paraId="77B0F9DA">
      <w:pPr>
        <w:adjustRightInd/>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4、如我方中标，我方承诺：</w:t>
      </w:r>
    </w:p>
    <w:p w14:paraId="0C797175">
      <w:pPr>
        <w:adjustRightInd/>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4.1在收到中标通知书后，在中标通知书规定的期限内与你方签订合同； </w:t>
      </w:r>
    </w:p>
    <w:p w14:paraId="2BC035B9">
      <w:pPr>
        <w:adjustRightInd/>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4.2在签订合同时不向你方提出附加条件； </w:t>
      </w:r>
    </w:p>
    <w:p w14:paraId="2A6361FF">
      <w:pPr>
        <w:adjustRightInd/>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4.3按照招标文件要求提交履约保证金； </w:t>
      </w:r>
    </w:p>
    <w:p w14:paraId="1833BF9F">
      <w:pPr>
        <w:adjustRightInd/>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4.4在合同约定的期限内完成合同规定的全部义务。 </w:t>
      </w:r>
    </w:p>
    <w:p w14:paraId="1B89F4A3">
      <w:pPr>
        <w:adjustRightInd/>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5、其他补充说明：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00916418">
      <w:pPr>
        <w:spacing w:line="360" w:lineRule="auto"/>
        <w:ind w:firstLine="3840" w:firstLineChars="1600"/>
        <w:rPr>
          <w:rFonts w:ascii="宋体" w:hAnsi="宋体" w:cs="宋体"/>
          <w:color w:val="000000" w:themeColor="text1"/>
          <w:sz w:val="24"/>
          <w:highlight w:val="none"/>
          <w14:textFill>
            <w14:solidFill>
              <w14:schemeClr w14:val="tx1"/>
            </w14:solidFill>
          </w14:textFill>
        </w:rPr>
      </w:pPr>
    </w:p>
    <w:p w14:paraId="1AD29A6A">
      <w:pPr>
        <w:spacing w:line="360" w:lineRule="auto"/>
        <w:ind w:firstLine="3840" w:firstLineChars="1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投标人名称（电子签章）：                          </w:t>
      </w:r>
    </w:p>
    <w:p w14:paraId="39B18CB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14:paraId="35D4015E">
      <w:pPr>
        <w:snapToGrid w:val="0"/>
        <w:spacing w:line="360" w:lineRule="auto"/>
        <w:ind w:left="420" w:leftChars="200" w:firstLine="4200" w:firstLineChars="1750"/>
        <w:rPr>
          <w:rFonts w:ascii="宋体" w:hAnsi="宋体" w:cs="宋体"/>
          <w:color w:val="000000" w:themeColor="text1"/>
          <w:kern w:val="0"/>
          <w:sz w:val="24"/>
          <w:highlight w:val="none"/>
          <w:u w:val="single"/>
          <w14:textFill>
            <w14:solidFill>
              <w14:schemeClr w14:val="tx1"/>
            </w14:solidFill>
          </w14:textFill>
        </w:rPr>
      </w:pPr>
    </w:p>
    <w:p w14:paraId="0F2E2B06">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02EA6217">
      <w:pPr>
        <w:rPr>
          <w:color w:val="000000" w:themeColor="text1"/>
          <w:highlight w:val="none"/>
          <w:lang w:val="en-US"/>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br w:type="page"/>
      </w:r>
    </w:p>
    <w:p w14:paraId="78F41DD1">
      <w:pPr>
        <w:jc w:val="center"/>
        <w:rPr>
          <w:rFonts w:ascii="宋体" w:hAnsi="宋体" w:cs="宋体"/>
          <w:b/>
          <w:color w:val="000000" w:themeColor="text1"/>
          <w:kern w:val="0"/>
          <w:sz w:val="32"/>
          <w:szCs w:val="32"/>
          <w:highlight w:val="none"/>
          <w:lang w:val="zh-CN"/>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t>二、授权委托书或法定代表人（单位负责人、自然人本人）身份证明</w:t>
      </w:r>
    </w:p>
    <w:p w14:paraId="59692A68">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00646A18">
      <w:pPr>
        <w:snapToGrid w:val="0"/>
        <w:spacing w:line="360" w:lineRule="auto"/>
        <w:ind w:firstLine="2872" w:firstLineChars="894"/>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t>授权委托书（适用于非联合体投标）</w:t>
      </w:r>
      <w:r>
        <w:rPr>
          <w:rFonts w:hint="eastAsia" w:ascii="宋体" w:hAnsi="宋体" w:cs="宋体"/>
          <w:color w:val="000000" w:themeColor="text1"/>
          <w:highlight w:val="none"/>
          <w14:textFill>
            <w14:solidFill>
              <w14:schemeClr w14:val="tx1"/>
            </w14:solidFill>
          </w14:textFill>
        </w:rPr>
        <w:t xml:space="preserve">                               </w:t>
      </w:r>
    </w:p>
    <w:p w14:paraId="66FEB79D">
      <w:pPr>
        <w:spacing w:line="360" w:lineRule="auto"/>
        <w:rPr>
          <w:rFonts w:ascii="宋体" w:hAnsi="宋体" w:cs="宋体"/>
          <w:color w:val="000000" w:themeColor="text1"/>
          <w:sz w:val="24"/>
          <w:highlight w:val="none"/>
          <w:u w:val="single"/>
          <w14:textFill>
            <w14:solidFill>
              <w14:schemeClr w14:val="tx1"/>
            </w14:solidFill>
          </w14:textFill>
        </w:rPr>
      </w:pPr>
    </w:p>
    <w:p w14:paraId="7C1149C4">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（采购人）、（采购代理机构）：</w:t>
      </w:r>
    </w:p>
    <w:p w14:paraId="324EE135">
      <w:pPr>
        <w:snapToGrid w:val="0"/>
        <w:spacing w:line="360" w:lineRule="auto"/>
        <w:ind w:firstLine="576"/>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w:t>
      </w:r>
      <w:r>
        <w:rPr>
          <w:rFonts w:hint="eastAsia" w:ascii="宋体" w:hAnsi="宋体" w:cs="宋体"/>
          <w:color w:val="000000" w:themeColor="text1"/>
          <w:kern w:val="0"/>
          <w:sz w:val="24"/>
          <w:highlight w:val="none"/>
          <w:lang w:val="zh-CN"/>
          <w14:textFill>
            <w14:solidFill>
              <w14:schemeClr w14:val="tx1"/>
            </w14:solidFill>
          </w14:textFill>
        </w:rPr>
        <w:t>委托</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（姓名）为我方代理人（身份证号码：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，手机：</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），以我方名义处理</w:t>
      </w:r>
      <w:r>
        <w:rPr>
          <w:rFonts w:hint="eastAsia" w:ascii="宋体" w:hAnsi="宋体" w:cs="宋体"/>
          <w:color w:val="000000" w:themeColor="text1"/>
          <w:sz w:val="24"/>
          <w:highlight w:val="none"/>
          <w:u w:val="single"/>
          <w:lang w:eastAsia="zh-CN"/>
          <w14:textFill>
            <w14:solidFill>
              <w14:schemeClr w14:val="tx1"/>
            </w14:solidFill>
          </w14:textFill>
        </w:rPr>
        <w:t>宁波市北仑区人民医院应急医疗救治中心核医学系统采购项目（</w:t>
      </w:r>
      <w:r>
        <w:rPr>
          <w:rFonts w:hint="eastAsia" w:ascii="宋体" w:hAnsi="宋体" w:cs="宋体"/>
          <w:color w:val="000000" w:themeColor="text1"/>
          <w:sz w:val="24"/>
          <w:highlight w:val="none"/>
          <w:u w:val="single"/>
          <w:lang w:val="en-US" w:eastAsia="zh-CN"/>
          <w14:textFill>
            <w14:solidFill>
              <w14:schemeClr w14:val="tx1"/>
            </w14:solidFill>
          </w14:textFill>
        </w:rPr>
        <w:t>项目编号：CBNB-20261132-BL018G</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政府采购投标的一切事项，其法律后果由我方承担。</w:t>
      </w:r>
    </w:p>
    <w:p w14:paraId="63F01390">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委托期限</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自</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日起至</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日止。</w:t>
      </w:r>
    </w:p>
    <w:p w14:paraId="69AB8235">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特此告知。</w:t>
      </w:r>
    </w:p>
    <w:p w14:paraId="43EF8588">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投标人名称</w:t>
      </w:r>
      <w:r>
        <w:rPr>
          <w:rFonts w:hint="eastAsia" w:ascii="宋体" w:hAnsi="宋体" w:cs="宋体"/>
          <w:color w:val="000000" w:themeColor="text1"/>
          <w:sz w:val="24"/>
          <w:highlight w:val="none"/>
          <w14:textFill>
            <w14:solidFill>
              <w14:schemeClr w14:val="tx1"/>
            </w14:solidFill>
          </w14:textFill>
        </w:rPr>
        <w:t xml:space="preserve">（电子签章）：  </w:t>
      </w:r>
    </w:p>
    <w:p w14:paraId="320DECCE">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签发日期：  年  月   日</w:t>
      </w:r>
    </w:p>
    <w:p w14:paraId="32B28054">
      <w:pPr>
        <w:autoSpaceDE w:val="0"/>
        <w:autoSpaceDN w:val="0"/>
        <w:spacing w:line="360" w:lineRule="auto"/>
        <w:jc w:val="center"/>
        <w:rPr>
          <w:rFonts w:hint="eastAsia" w:ascii="宋体" w:hAnsi="宋体" w:cs="宋体"/>
          <w:b/>
          <w:color w:val="000000" w:themeColor="text1"/>
          <w:kern w:val="0"/>
          <w:sz w:val="24"/>
          <w:szCs w:val="24"/>
          <w:highlight w:val="none"/>
          <w:lang w:val="zh-CN"/>
          <w14:textFill>
            <w14:solidFill>
              <w14:schemeClr w14:val="tx1"/>
            </w14:solidFill>
          </w14:textFill>
        </w:rPr>
      </w:pPr>
    </w:p>
    <w:p w14:paraId="10ACFA44">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t>授权委托书（适用于联合体投标）</w:t>
      </w:r>
    </w:p>
    <w:p w14:paraId="4C4CA52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（采购人）、（采购代理机构）</w:t>
      </w:r>
      <w:r>
        <w:rPr>
          <w:rFonts w:hint="eastAsia" w:ascii="宋体" w:hAnsi="宋体" w:cs="宋体"/>
          <w:color w:val="000000" w:themeColor="text1"/>
          <w:kern w:val="0"/>
          <w:sz w:val="24"/>
          <w:highlight w:val="none"/>
          <w:lang w:val="zh-CN"/>
          <w14:textFill>
            <w14:solidFill>
              <w14:schemeClr w14:val="tx1"/>
            </w14:solidFill>
          </w14:textFill>
        </w:rPr>
        <w:t>：</w:t>
      </w:r>
    </w:p>
    <w:p w14:paraId="19198756">
      <w:pPr>
        <w:snapToGrid w:val="0"/>
        <w:spacing w:line="360" w:lineRule="auto"/>
        <w:ind w:firstLine="576"/>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w:t>
      </w:r>
      <w:r>
        <w:rPr>
          <w:rFonts w:hint="eastAsia" w:ascii="宋体" w:hAnsi="宋体" w:cs="宋体"/>
          <w:color w:val="000000" w:themeColor="text1"/>
          <w:kern w:val="0"/>
          <w:sz w:val="24"/>
          <w:highlight w:val="none"/>
          <w:lang w:val="zh-CN"/>
          <w14:textFill>
            <w14:solidFill>
              <w14:schemeClr w14:val="tx1"/>
            </w14:solidFill>
          </w14:textFill>
        </w:rPr>
        <w:t>委托</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（姓名）为我方代理人（身份证号码：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，手机：</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），以我方名义处理</w:t>
      </w:r>
      <w:r>
        <w:rPr>
          <w:rFonts w:hint="eastAsia" w:ascii="宋体" w:hAnsi="宋体" w:cs="宋体"/>
          <w:color w:val="000000" w:themeColor="text1"/>
          <w:sz w:val="24"/>
          <w:highlight w:val="none"/>
          <w:u w:val="single"/>
          <w:lang w:eastAsia="zh-CN"/>
          <w14:textFill>
            <w14:solidFill>
              <w14:schemeClr w14:val="tx1"/>
            </w14:solidFill>
          </w14:textFill>
        </w:rPr>
        <w:t>宁波市北仑区人民医院应急医疗救治中心核医学系统采购项目（</w:t>
      </w:r>
      <w:r>
        <w:rPr>
          <w:rFonts w:hint="eastAsia" w:ascii="宋体" w:hAnsi="宋体" w:cs="宋体"/>
          <w:color w:val="000000" w:themeColor="text1"/>
          <w:sz w:val="24"/>
          <w:highlight w:val="none"/>
          <w:u w:val="single"/>
          <w:lang w:val="en-US" w:eastAsia="zh-CN"/>
          <w14:textFill>
            <w14:solidFill>
              <w14:schemeClr w14:val="tx1"/>
            </w14:solidFill>
          </w14:textFill>
        </w:rPr>
        <w:t>项目编号：CBNB-20261132-BL018G</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政府采购投标的一切事项，其法律后果由我方承担。</w:t>
      </w:r>
    </w:p>
    <w:p w14:paraId="33C2269D">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委托期限</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自</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日起至</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日止。</w:t>
      </w:r>
    </w:p>
    <w:p w14:paraId="17FD6655">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特此告知。</w:t>
      </w:r>
    </w:p>
    <w:p w14:paraId="6FEB0891">
      <w:pPr>
        <w:jc w:val="center"/>
        <w:rPr>
          <w:rFonts w:ascii="宋体" w:hAnsi="宋体" w:cs="宋体"/>
          <w:b/>
          <w:color w:val="000000" w:themeColor="text1"/>
          <w:kern w:val="0"/>
          <w:sz w:val="32"/>
          <w:szCs w:val="32"/>
          <w:highlight w:val="none"/>
          <w14:textFill>
            <w14:solidFill>
              <w14:schemeClr w14:val="tx1"/>
            </w14:solidFill>
          </w14:textFill>
        </w:rPr>
      </w:pPr>
    </w:p>
    <w:p w14:paraId="1AF5909F">
      <w:pPr>
        <w:jc w:val="center"/>
        <w:rPr>
          <w:rFonts w:ascii="宋体" w:hAnsi="宋体" w:cs="宋体"/>
          <w:b/>
          <w:color w:val="000000" w:themeColor="text1"/>
          <w:kern w:val="0"/>
          <w:sz w:val="32"/>
          <w:szCs w:val="32"/>
          <w:highlight w:val="none"/>
          <w14:textFill>
            <w14:solidFill>
              <w14:schemeClr w14:val="tx1"/>
            </w14:solidFill>
          </w14:textFill>
        </w:rPr>
      </w:pPr>
    </w:p>
    <w:p w14:paraId="226C4865">
      <w:pPr>
        <w:jc w:val="center"/>
        <w:rPr>
          <w:rFonts w:ascii="宋体" w:hAnsi="宋体" w:cs="宋体"/>
          <w:b/>
          <w:color w:val="000000" w:themeColor="text1"/>
          <w:kern w:val="0"/>
          <w:sz w:val="32"/>
          <w:szCs w:val="32"/>
          <w:highlight w:val="none"/>
          <w14:textFill>
            <w14:solidFill>
              <w14:schemeClr w14:val="tx1"/>
            </w14:solidFill>
          </w14:textFill>
        </w:rPr>
      </w:pPr>
    </w:p>
    <w:p w14:paraId="77186FC8">
      <w:pPr>
        <w:rPr>
          <w:rFonts w:ascii="宋体" w:hAnsi="宋体" w:cs="宋体"/>
          <w:color w:val="000000" w:themeColor="text1"/>
          <w:highlight w:val="none"/>
          <w14:textFill>
            <w14:solidFill>
              <w14:schemeClr w14:val="tx1"/>
            </w14:solidFill>
          </w14:textFill>
        </w:rPr>
      </w:pPr>
    </w:p>
    <w:p w14:paraId="3BCBACBC">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联合体成员名称(电子签</w:t>
      </w:r>
      <w:r>
        <w:rPr>
          <w:rFonts w:hint="eastAsia" w:ascii="宋体" w:hAnsi="宋体" w:cs="宋体"/>
          <w:color w:val="000000" w:themeColor="text1"/>
          <w:kern w:val="0"/>
          <w:sz w:val="24"/>
          <w:highlight w:val="none"/>
          <w14:textFill>
            <w14:solidFill>
              <w14:schemeClr w14:val="tx1"/>
            </w14:solidFill>
          </w14:textFill>
        </w:rPr>
        <w:t>章</w:t>
      </w:r>
      <w:r>
        <w:rPr>
          <w:rFonts w:hint="eastAsia" w:ascii="宋体" w:hAnsi="宋体" w:cs="宋体"/>
          <w:color w:val="000000" w:themeColor="text1"/>
          <w:kern w:val="0"/>
          <w:sz w:val="24"/>
          <w:highlight w:val="none"/>
          <w:lang w:val="zh-CN"/>
          <w14:textFill>
            <w14:solidFill>
              <w14:schemeClr w14:val="tx1"/>
            </w14:solidFill>
          </w14:textFill>
        </w:rPr>
        <w:t>/公章)：</w:t>
      </w:r>
    </w:p>
    <w:p w14:paraId="35464E27">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联合体成员名称(电子签</w:t>
      </w:r>
      <w:r>
        <w:rPr>
          <w:rFonts w:hint="eastAsia" w:ascii="宋体" w:hAnsi="宋体" w:cs="宋体"/>
          <w:color w:val="000000" w:themeColor="text1"/>
          <w:kern w:val="0"/>
          <w:sz w:val="24"/>
          <w:highlight w:val="none"/>
          <w14:textFill>
            <w14:solidFill>
              <w14:schemeClr w14:val="tx1"/>
            </w14:solidFill>
          </w14:textFill>
        </w:rPr>
        <w:t>章</w:t>
      </w:r>
      <w:r>
        <w:rPr>
          <w:rFonts w:hint="eastAsia" w:ascii="宋体" w:hAnsi="宋体" w:cs="宋体"/>
          <w:color w:val="000000" w:themeColor="text1"/>
          <w:kern w:val="0"/>
          <w:sz w:val="24"/>
          <w:highlight w:val="none"/>
          <w:lang w:val="zh-CN"/>
          <w14:textFill>
            <w14:solidFill>
              <w14:schemeClr w14:val="tx1"/>
            </w14:solidFill>
          </w14:textFill>
        </w:rPr>
        <w:t>/公章)：</w:t>
      </w:r>
    </w:p>
    <w:p w14:paraId="74A0E47E">
      <w:pPr>
        <w:snapToGrid w:val="0"/>
        <w:spacing w:line="360" w:lineRule="auto"/>
        <w:ind w:firstLine="5760" w:firstLineChars="2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p w14:paraId="372FE6BA">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3E4FF199">
      <w:pPr>
        <w:autoSpaceDE w:val="0"/>
        <w:autoSpaceDN w:val="0"/>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val="zh-CN"/>
          <w14:textFill>
            <w14:solidFill>
              <w14:schemeClr w14:val="tx1"/>
            </w14:solidFill>
          </w14:textFill>
        </w:rPr>
        <w:t>法定代表人、单位负责人或自然人本人</w:t>
      </w:r>
      <w:r>
        <w:rPr>
          <w:rFonts w:hint="eastAsia" w:ascii="宋体" w:hAnsi="宋体" w:cs="宋体"/>
          <w:b/>
          <w:color w:val="000000" w:themeColor="text1"/>
          <w:sz w:val="24"/>
          <w:szCs w:val="24"/>
          <w:highlight w:val="none"/>
          <w14:textFill>
            <w14:solidFill>
              <w14:schemeClr w14:val="tx1"/>
            </w14:solidFill>
          </w14:textFill>
        </w:rPr>
        <w:t>的身份证明</w:t>
      </w:r>
    </w:p>
    <w:p w14:paraId="48207017">
      <w:pPr>
        <w:autoSpaceDE w:val="0"/>
        <w:autoSpaceDN w:val="0"/>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（适用于法定代表人、单位负责人或者自然人本人代表投标人参加投标）</w:t>
      </w:r>
    </w:p>
    <w:p w14:paraId="7E572F44">
      <w:pPr>
        <w:pStyle w:val="151"/>
        <w:spacing w:line="360" w:lineRule="auto"/>
        <w:ind w:firstLine="480" w:firstLineChars="200"/>
        <w:rPr>
          <w:rFonts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AD2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9207" w:type="dxa"/>
          </w:tcPr>
          <w:p w14:paraId="558121F7">
            <w:pPr>
              <w:pStyle w:val="151"/>
              <w:adjustRightInd w:val="0"/>
              <w:spacing w:line="360" w:lineRule="auto"/>
              <w:rPr>
                <w:rFonts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正面：                                 反面：</w:t>
            </w:r>
          </w:p>
          <w:p w14:paraId="4EA5E8B2">
            <w:pPr>
              <w:pStyle w:val="151"/>
              <w:adjustRightInd w:val="0"/>
              <w:spacing w:line="360" w:lineRule="auto"/>
              <w:rPr>
                <w:rFonts w:hAnsi="宋体" w:cs="宋体"/>
                <w:bCs/>
                <w:color w:val="000000" w:themeColor="text1"/>
                <w:sz w:val="24"/>
                <w:highlight w:val="none"/>
                <w14:textFill>
                  <w14:solidFill>
                    <w14:schemeClr w14:val="tx1"/>
                  </w14:solidFill>
                </w14:textFill>
              </w:rPr>
            </w:pPr>
          </w:p>
        </w:tc>
      </w:tr>
    </w:tbl>
    <w:p w14:paraId="42355B5B">
      <w:pPr>
        <w:snapToGrid w:val="0"/>
        <w:spacing w:line="360" w:lineRule="auto"/>
        <w:ind w:firstLine="576"/>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4205B115">
      <w:pPr>
        <w:snapToGrid w:val="0"/>
        <w:spacing w:line="360" w:lineRule="auto"/>
        <w:ind w:firstLine="576"/>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投标人名称(</w:t>
      </w:r>
      <w:r>
        <w:rPr>
          <w:rFonts w:hint="eastAsia" w:ascii="宋体" w:hAnsi="宋体" w:cs="宋体"/>
          <w:color w:val="000000" w:themeColor="text1"/>
          <w:sz w:val="24"/>
          <w:highlight w:val="none"/>
          <w14:textFill>
            <w14:solidFill>
              <w14:schemeClr w14:val="tx1"/>
            </w14:solidFill>
          </w14:textFill>
        </w:rPr>
        <w:t>电子签章</w:t>
      </w: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03E6E28E">
      <w:pPr>
        <w:spacing w:line="360" w:lineRule="auto"/>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3EA1B80A">
      <w:pPr>
        <w:snapToGrid w:val="0"/>
        <w:spacing w:line="360" w:lineRule="auto"/>
        <w:jc w:val="center"/>
        <w:rPr>
          <w:rFonts w:hint="eastAsia" w:ascii="宋体" w:hAnsi="宋体" w:cs="宋体"/>
          <w:b/>
          <w:color w:val="000000" w:themeColor="text1"/>
          <w:kern w:val="0"/>
          <w:sz w:val="32"/>
          <w:szCs w:val="32"/>
          <w:highlight w:val="none"/>
          <w14:textFill>
            <w14:solidFill>
              <w14:schemeClr w14:val="tx1"/>
            </w14:solidFill>
          </w14:textFill>
        </w:rPr>
      </w:pPr>
    </w:p>
    <w:p w14:paraId="3447796E">
      <w:pPr>
        <w:snapToGrid w:val="0"/>
        <w:spacing w:line="360" w:lineRule="auto"/>
        <w:jc w:val="center"/>
        <w:rPr>
          <w:rFonts w:hint="eastAsia" w:ascii="宋体" w:hAnsi="宋体" w:cs="宋体"/>
          <w:b/>
          <w:color w:val="000000" w:themeColor="text1"/>
          <w:kern w:val="0"/>
          <w:sz w:val="32"/>
          <w:szCs w:val="32"/>
          <w:highlight w:val="none"/>
          <w14:textFill>
            <w14:solidFill>
              <w14:schemeClr w14:val="tx1"/>
            </w14:solidFill>
          </w14:textFill>
        </w:rPr>
      </w:pPr>
    </w:p>
    <w:p w14:paraId="404F823B">
      <w:pPr>
        <w:snapToGrid w:val="0"/>
        <w:spacing w:line="360" w:lineRule="auto"/>
        <w:jc w:val="center"/>
        <w:rPr>
          <w:rFonts w:hint="eastAsia" w:ascii="宋体" w:hAnsi="宋体" w:cs="宋体"/>
          <w:b/>
          <w:color w:val="000000" w:themeColor="text1"/>
          <w:kern w:val="0"/>
          <w:sz w:val="32"/>
          <w:szCs w:val="32"/>
          <w:highlight w:val="none"/>
          <w14:textFill>
            <w14:solidFill>
              <w14:schemeClr w14:val="tx1"/>
            </w14:solidFill>
          </w14:textFill>
        </w:rPr>
      </w:pPr>
    </w:p>
    <w:p w14:paraId="22795E0E">
      <w:pPr>
        <w:snapToGrid w:val="0"/>
        <w:spacing w:line="360" w:lineRule="auto"/>
        <w:jc w:val="center"/>
        <w:rPr>
          <w:rFonts w:hint="eastAsia" w:ascii="宋体" w:hAnsi="宋体" w:cs="宋体"/>
          <w:b/>
          <w:color w:val="000000" w:themeColor="text1"/>
          <w:kern w:val="0"/>
          <w:sz w:val="32"/>
          <w:szCs w:val="32"/>
          <w:highlight w:val="none"/>
          <w14:textFill>
            <w14:solidFill>
              <w14:schemeClr w14:val="tx1"/>
            </w14:solidFill>
          </w14:textFill>
        </w:rPr>
      </w:pPr>
    </w:p>
    <w:p w14:paraId="194564DB">
      <w:pPr>
        <w:snapToGrid w:val="0"/>
        <w:spacing w:line="360" w:lineRule="auto"/>
        <w:jc w:val="center"/>
        <w:rPr>
          <w:rFonts w:hint="eastAsia" w:ascii="宋体" w:hAnsi="宋体" w:cs="宋体"/>
          <w:b/>
          <w:color w:val="000000" w:themeColor="text1"/>
          <w:kern w:val="0"/>
          <w:sz w:val="32"/>
          <w:szCs w:val="32"/>
          <w:highlight w:val="none"/>
          <w14:textFill>
            <w14:solidFill>
              <w14:schemeClr w14:val="tx1"/>
            </w14:solidFill>
          </w14:textFill>
        </w:rPr>
      </w:pPr>
    </w:p>
    <w:p w14:paraId="517F3771">
      <w:pPr>
        <w:snapToGrid w:val="0"/>
        <w:spacing w:line="360" w:lineRule="auto"/>
        <w:jc w:val="center"/>
        <w:rPr>
          <w:rFonts w:hint="eastAsia" w:ascii="宋体" w:hAnsi="宋体" w:cs="宋体"/>
          <w:b/>
          <w:color w:val="000000" w:themeColor="text1"/>
          <w:kern w:val="0"/>
          <w:sz w:val="32"/>
          <w:szCs w:val="32"/>
          <w:highlight w:val="none"/>
          <w14:textFill>
            <w14:solidFill>
              <w14:schemeClr w14:val="tx1"/>
            </w14:solidFill>
          </w14:textFill>
        </w:rPr>
      </w:pPr>
    </w:p>
    <w:p w14:paraId="2E975F56">
      <w:pPr>
        <w:snapToGrid w:val="0"/>
        <w:spacing w:line="360" w:lineRule="auto"/>
        <w:jc w:val="center"/>
        <w:rPr>
          <w:rFonts w:hint="eastAsia" w:ascii="宋体" w:hAnsi="宋体" w:cs="宋体"/>
          <w:b/>
          <w:color w:val="000000" w:themeColor="text1"/>
          <w:kern w:val="0"/>
          <w:sz w:val="32"/>
          <w:szCs w:val="32"/>
          <w:highlight w:val="none"/>
          <w14:textFill>
            <w14:solidFill>
              <w14:schemeClr w14:val="tx1"/>
            </w14:solidFill>
          </w14:textFill>
        </w:rPr>
      </w:pPr>
    </w:p>
    <w:p w14:paraId="47425EE7">
      <w:pPr>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三、分包意向协议（如适用）</w:t>
      </w:r>
    </w:p>
    <w:p w14:paraId="2CEC26DE">
      <w:pPr>
        <w:widowControl/>
        <w:spacing w:line="360" w:lineRule="auto"/>
        <w:ind w:firstLine="120" w:firstLineChars="50"/>
        <w:jc w:val="left"/>
        <w:rPr>
          <w:rFonts w:ascii="宋体" w:hAnsi="宋体" w:cs="宋体"/>
          <w:color w:val="000000" w:themeColor="text1"/>
          <w:sz w:val="24"/>
          <w:highlight w:val="none"/>
          <w14:textFill>
            <w14:solidFill>
              <w14:schemeClr w14:val="tx1"/>
            </w14:solidFill>
          </w14:textFill>
        </w:rPr>
      </w:pPr>
      <w:bookmarkStart w:id="444" w:name="_Hlk101169080"/>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中标后以分包方式履行合同的，提供分包意向协议(附件4</w:t>
      </w:r>
      <w:r>
        <w:rPr>
          <w:rFonts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；采购人不同意分包或者投标人中标后不以分包方式履行合同的，则不需要提供。</w:t>
      </w:r>
      <w:r>
        <w:rPr>
          <w:rFonts w:hint="eastAsia" w:ascii="宋体" w:hAnsi="宋体" w:cs="宋体"/>
          <w:color w:val="000000" w:themeColor="text1"/>
          <w:sz w:val="24"/>
          <w:highlight w:val="none"/>
          <w14:textFill>
            <w14:solidFill>
              <w14:schemeClr w14:val="tx1"/>
            </w14:solidFill>
          </w14:textFill>
        </w:rPr>
        <w:t>]</w:t>
      </w:r>
    </w:p>
    <w:bookmarkEnd w:id="444"/>
    <w:p w14:paraId="35666346">
      <w:pPr>
        <w:snapToGrid w:val="0"/>
        <w:spacing w:line="360" w:lineRule="auto"/>
        <w:rPr>
          <w:rFonts w:ascii="宋体" w:hAnsi="宋体" w:cs="宋体"/>
          <w:color w:val="000000" w:themeColor="text1"/>
          <w:kern w:val="0"/>
          <w:sz w:val="24"/>
          <w:highlight w:val="none"/>
          <w14:textFill>
            <w14:solidFill>
              <w14:schemeClr w14:val="tx1"/>
            </w14:solidFill>
          </w14:textFill>
        </w:rPr>
      </w:pPr>
    </w:p>
    <w:p w14:paraId="60627A8E">
      <w:pPr>
        <w:pStyle w:val="4"/>
        <w:ind w:left="0" w:leftChars="0" w:firstLine="0" w:firstLineChars="0"/>
        <w:rPr>
          <w:color w:val="000000" w:themeColor="text1"/>
          <w:highlight w:val="none"/>
          <w:lang w:val="en-US"/>
          <w14:textFill>
            <w14:solidFill>
              <w14:schemeClr w14:val="tx1"/>
            </w14:solidFill>
          </w14:textFill>
        </w:rPr>
      </w:pPr>
    </w:p>
    <w:p w14:paraId="5704BF9A">
      <w:pPr>
        <w:jc w:val="center"/>
        <w:rPr>
          <w:rFonts w:ascii="宋体" w:hAnsi="宋体" w:cs="宋体"/>
          <w:b/>
          <w:color w:val="000000" w:themeColor="text1"/>
          <w:kern w:val="0"/>
          <w:sz w:val="32"/>
          <w:szCs w:val="32"/>
          <w:highlight w:val="none"/>
          <w14:textFill>
            <w14:solidFill>
              <w14:schemeClr w14:val="tx1"/>
            </w14:solidFill>
          </w14:textFill>
        </w:rPr>
      </w:pPr>
    </w:p>
    <w:p w14:paraId="04552337">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四、符合性审查资料</w:t>
      </w:r>
    </w:p>
    <w:p w14:paraId="221C8DEB">
      <w:pPr>
        <w:jc w:val="center"/>
        <w:rPr>
          <w:rFonts w:ascii="宋体" w:hAnsi="宋体" w:cs="宋体"/>
          <w:b/>
          <w:color w:val="000000" w:themeColor="text1"/>
          <w:kern w:val="0"/>
          <w:sz w:val="32"/>
          <w:szCs w:val="32"/>
          <w:highlight w:val="none"/>
          <w14:textFill>
            <w14:solidFill>
              <w14:schemeClr w14:val="tx1"/>
            </w14:solidFill>
          </w14:textFill>
        </w:rPr>
      </w:pPr>
    </w:p>
    <w:tbl>
      <w:tblPr>
        <w:tblStyle w:val="64"/>
        <w:tblW w:w="9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3525"/>
        <w:gridCol w:w="3323"/>
        <w:gridCol w:w="2250"/>
      </w:tblGrid>
      <w:tr w14:paraId="398A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73" w:type="dxa"/>
            <w:vAlign w:val="center"/>
          </w:tcPr>
          <w:p w14:paraId="151000E4">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3525" w:type="dxa"/>
            <w:vAlign w:val="center"/>
          </w:tcPr>
          <w:p w14:paraId="5516D200">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实质性要求</w:t>
            </w:r>
          </w:p>
        </w:tc>
        <w:tc>
          <w:tcPr>
            <w:tcW w:w="3323" w:type="dxa"/>
            <w:vAlign w:val="center"/>
          </w:tcPr>
          <w:p w14:paraId="01B5DCA8">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需要提供的符合性审查资料</w:t>
            </w:r>
          </w:p>
        </w:tc>
        <w:tc>
          <w:tcPr>
            <w:tcW w:w="2250" w:type="dxa"/>
            <w:vAlign w:val="center"/>
          </w:tcPr>
          <w:p w14:paraId="61ED7C39">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投标文件中的</w:t>
            </w:r>
          </w:p>
          <w:p w14:paraId="405D8103">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页码位置</w:t>
            </w:r>
          </w:p>
        </w:tc>
      </w:tr>
      <w:tr w14:paraId="1160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73" w:type="dxa"/>
            <w:vAlign w:val="center"/>
          </w:tcPr>
          <w:p w14:paraId="4C40B551">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3525" w:type="dxa"/>
            <w:vAlign w:val="center"/>
          </w:tcPr>
          <w:p w14:paraId="5E27D54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投标文件按照招标文件要求签署、盖章。</w:t>
            </w:r>
          </w:p>
        </w:tc>
        <w:tc>
          <w:tcPr>
            <w:tcW w:w="3323" w:type="dxa"/>
            <w:vAlign w:val="center"/>
          </w:tcPr>
          <w:p w14:paraId="3318A8F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需要使用电子签章或者签字盖章的投标文件的组成部分</w:t>
            </w:r>
          </w:p>
        </w:tc>
        <w:tc>
          <w:tcPr>
            <w:tcW w:w="2250" w:type="dxa"/>
            <w:vAlign w:val="center"/>
          </w:tcPr>
          <w:p w14:paraId="3C5A64BB">
            <w:pPr>
              <w:jc w:val="center"/>
              <w:rPr>
                <w:rFonts w:ascii="宋体" w:hAnsi="宋体" w:cs="宋体"/>
                <w:color w:val="000000" w:themeColor="text1"/>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见投标文件需要签字盖章的各页。</w:t>
            </w:r>
          </w:p>
        </w:tc>
      </w:tr>
      <w:tr w14:paraId="2D91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73" w:type="dxa"/>
            <w:vAlign w:val="center"/>
          </w:tcPr>
          <w:p w14:paraId="6EC86A41">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3525" w:type="dxa"/>
            <w:vAlign w:val="center"/>
          </w:tcPr>
          <w:p w14:paraId="231E690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投标文件中承诺的投标有效期不少于招标文件中载明的投标有效期。</w:t>
            </w:r>
          </w:p>
        </w:tc>
        <w:tc>
          <w:tcPr>
            <w:tcW w:w="3323" w:type="dxa"/>
            <w:vAlign w:val="center"/>
          </w:tcPr>
          <w:p w14:paraId="5034862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投标函</w:t>
            </w:r>
          </w:p>
        </w:tc>
        <w:tc>
          <w:tcPr>
            <w:tcW w:w="2250" w:type="dxa"/>
            <w:vAlign w:val="center"/>
          </w:tcPr>
          <w:p w14:paraId="4F7F887B">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页</w:t>
            </w:r>
          </w:p>
        </w:tc>
      </w:tr>
      <w:tr w14:paraId="7F5D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73" w:type="dxa"/>
            <w:vAlign w:val="center"/>
          </w:tcPr>
          <w:p w14:paraId="1A5416F3">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3525" w:type="dxa"/>
            <w:vAlign w:val="center"/>
          </w:tcPr>
          <w:p w14:paraId="692FDCE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投标文件满足招标文件的其它实质性要求。</w:t>
            </w:r>
          </w:p>
        </w:tc>
        <w:tc>
          <w:tcPr>
            <w:tcW w:w="3323" w:type="dxa"/>
            <w:vAlign w:val="center"/>
          </w:tcPr>
          <w:p w14:paraId="733A423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招标文件其它实质性要求相应的材料（“</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 系指实质性要求条款，招标文件无其它实质性要求的，无需提供）</w:t>
            </w:r>
          </w:p>
        </w:tc>
        <w:tc>
          <w:tcPr>
            <w:tcW w:w="2250" w:type="dxa"/>
            <w:vAlign w:val="center"/>
          </w:tcPr>
          <w:p w14:paraId="137E511E">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页</w:t>
            </w:r>
          </w:p>
        </w:tc>
      </w:tr>
    </w:tbl>
    <w:p w14:paraId="093E70B3">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0F21238E">
      <w:pPr>
        <w:jc w:val="center"/>
        <w:rPr>
          <w:rFonts w:ascii="宋体" w:hAnsi="宋体" w:cs="宋体"/>
          <w:b/>
          <w:color w:val="000000" w:themeColor="text1"/>
          <w:kern w:val="0"/>
          <w:sz w:val="32"/>
          <w:szCs w:val="32"/>
          <w:highlight w:val="none"/>
          <w14:textFill>
            <w14:solidFill>
              <w14:schemeClr w14:val="tx1"/>
            </w14:solidFill>
          </w14:textFill>
        </w:rPr>
      </w:pPr>
    </w:p>
    <w:p w14:paraId="244EDB27">
      <w:pP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br w:type="page"/>
      </w:r>
    </w:p>
    <w:p w14:paraId="09092ED1">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五、</w:t>
      </w:r>
      <w:r>
        <w:rPr>
          <w:rFonts w:hint="eastAsia" w:ascii="宋体" w:hAnsi="宋体" w:cs="宋体"/>
          <w:b/>
          <w:color w:val="000000" w:themeColor="text1"/>
          <w:kern w:val="0"/>
          <w:sz w:val="32"/>
          <w:szCs w:val="32"/>
          <w:highlight w:val="none"/>
          <w:lang w:val="zh-CN"/>
          <w14:textFill>
            <w14:solidFill>
              <w14:schemeClr w14:val="tx1"/>
            </w14:solidFill>
          </w14:textFill>
        </w:rPr>
        <w:t>政府采购供应商廉洁自律承诺书</w:t>
      </w:r>
    </w:p>
    <w:p w14:paraId="26B22B86">
      <w:pPr>
        <w:snapToGrid w:val="0"/>
        <w:spacing w:line="360" w:lineRule="auto"/>
        <w:rPr>
          <w:rFonts w:ascii="宋体" w:hAnsi="宋体" w:cs="宋体"/>
          <w:color w:val="000000" w:themeColor="text1"/>
          <w:sz w:val="24"/>
          <w:highlight w:val="none"/>
          <w14:textFill>
            <w14:solidFill>
              <w14:schemeClr w14:val="tx1"/>
            </w14:solidFill>
          </w14:textFill>
        </w:rPr>
      </w:pPr>
    </w:p>
    <w:p w14:paraId="1EB06FD4">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（采购人）、（采购代理机构）：</w:t>
      </w:r>
    </w:p>
    <w:p w14:paraId="200C6721">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我单位响应你</w:t>
      </w:r>
      <w:r>
        <w:rPr>
          <w:rFonts w:hint="eastAsia" w:ascii="宋体" w:hAnsi="宋体" w:cs="宋体"/>
          <w:color w:val="000000" w:themeColor="text1"/>
          <w:sz w:val="24"/>
          <w:highlight w:val="none"/>
          <w14:textFill>
            <w14:solidFill>
              <w14:schemeClr w14:val="tx1"/>
            </w14:solidFill>
          </w14:textFill>
        </w:rPr>
        <w:t>单位</w:t>
      </w:r>
      <w:r>
        <w:rPr>
          <w:rFonts w:hint="eastAsia" w:ascii="宋体" w:hAnsi="宋体" w:cs="宋体"/>
          <w:color w:val="000000" w:themeColor="text1"/>
          <w:kern w:val="0"/>
          <w:sz w:val="24"/>
          <w:highlight w:val="none"/>
          <w:lang w:val="zh-CN"/>
          <w14:textFill>
            <w14:solidFill>
              <w14:schemeClr w14:val="tx1"/>
            </w14:solidFill>
          </w14:textFill>
        </w:rPr>
        <w:t>项目招标要求参加投标。在这次投标过程中和中标后，我们将严格遵守国家法律法规要求，并郑重承诺：</w:t>
      </w:r>
    </w:p>
    <w:p w14:paraId="26DF45F0">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一、不向项目有关人员及部门赠送礼金礼物、有价证券、回扣以及中介费、介绍费、咨询费等好处费； </w:t>
      </w:r>
    </w:p>
    <w:p w14:paraId="1B990121">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二、不为项目有关人员及部门报销应由你方单位或个人支付的费用； </w:t>
      </w:r>
    </w:p>
    <w:p w14:paraId="0D28313D">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三、不向项目有关人员及部门提供有可能影响公正的宴请和健身娱乐等活动； </w:t>
      </w:r>
    </w:p>
    <w:p w14:paraId="7DF0BC4A">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四、不为项目有关人员及部门出国（境）、旅游等提供方便；</w:t>
      </w:r>
    </w:p>
    <w:p w14:paraId="2A23646A">
      <w:pPr>
        <w:autoSpaceDE w:val="0"/>
        <w:autoSpaceDN w:val="0"/>
        <w:spacing w:line="360" w:lineRule="auto"/>
        <w:ind w:left="481" w:leftChars="229"/>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五、不为项目有关人员个人装修住房、婚丧嫁娶、配偶子女工作安排等提供</w:t>
      </w:r>
    </w:p>
    <w:p w14:paraId="6CDFBADE">
      <w:pPr>
        <w:autoSpaceDE w:val="0"/>
        <w:autoSpaceDN w:val="0"/>
        <w:spacing w:line="360" w:lineRule="auto"/>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好处；</w:t>
      </w:r>
    </w:p>
    <w:p w14:paraId="0294B083">
      <w:pPr>
        <w:autoSpaceDE w:val="0"/>
        <w:autoSpaceDN w:val="0"/>
        <w:spacing w:line="360" w:lineRule="auto"/>
        <w:ind w:left="481" w:leftChars="229"/>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六、严格遵守《</w:t>
      </w:r>
      <w:r>
        <w:rPr>
          <w:rFonts w:hint="eastAsia" w:ascii="宋体" w:hAnsi="宋体" w:cs="宋体"/>
          <w:color w:val="000000" w:themeColor="text1"/>
          <w:sz w:val="24"/>
          <w:highlight w:val="none"/>
          <w:lang w:val="zh-CN"/>
          <w14:textFill>
            <w14:solidFill>
              <w14:schemeClr w14:val="tx1"/>
            </w14:solidFill>
          </w14:textFill>
        </w:rPr>
        <w:t>中华人民共和国</w:t>
      </w:r>
      <w:r>
        <w:rPr>
          <w:rFonts w:hint="eastAsia" w:ascii="宋体" w:hAnsi="宋体" w:cs="宋体"/>
          <w:color w:val="000000" w:themeColor="text1"/>
          <w:kern w:val="0"/>
          <w:sz w:val="24"/>
          <w:highlight w:val="none"/>
          <w:lang w:val="zh-CN"/>
          <w14:textFill>
            <w14:solidFill>
              <w14:schemeClr w14:val="tx1"/>
            </w14:solidFill>
          </w14:textFill>
        </w:rPr>
        <w:t>政府采购法》、《</w:t>
      </w:r>
      <w:r>
        <w:rPr>
          <w:rFonts w:hint="eastAsia" w:ascii="宋体" w:hAnsi="宋体" w:cs="宋体"/>
          <w:color w:val="000000" w:themeColor="text1"/>
          <w:sz w:val="24"/>
          <w:highlight w:val="none"/>
          <w:lang w:val="zh-CN"/>
          <w14:textFill>
            <w14:solidFill>
              <w14:schemeClr w14:val="tx1"/>
            </w14:solidFill>
          </w14:textFill>
        </w:rPr>
        <w:t>中华人民共和国</w:t>
      </w:r>
      <w:r>
        <w:rPr>
          <w:rFonts w:hint="eastAsia" w:ascii="宋体" w:hAnsi="宋体" w:cs="宋体"/>
          <w:color w:val="000000" w:themeColor="text1"/>
          <w:kern w:val="0"/>
          <w:sz w:val="24"/>
          <w:highlight w:val="none"/>
          <w:lang w:val="zh-CN"/>
          <w14:textFill>
            <w14:solidFill>
              <w14:schemeClr w14:val="tx1"/>
            </w14:solidFill>
          </w14:textFill>
        </w:rPr>
        <w:t>招标投标</w:t>
      </w:r>
      <w:r>
        <w:rPr>
          <w:rFonts w:hint="eastAsia" w:ascii="宋体" w:hAnsi="宋体" w:cs="宋体"/>
          <w:color w:val="000000" w:themeColor="text1"/>
          <w:kern w:val="0"/>
          <w:sz w:val="24"/>
          <w:highlight w:val="none"/>
          <w14:textFill>
            <w14:solidFill>
              <w14:schemeClr w14:val="tx1"/>
            </w14:solidFill>
          </w14:textFill>
        </w:rPr>
        <w:t>法》、</w:t>
      </w:r>
    </w:p>
    <w:p w14:paraId="4D86234C">
      <w:pPr>
        <w:autoSpaceDE w:val="0"/>
        <w:autoSpaceDN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《中华人民共和国民法典》</w:t>
      </w:r>
      <w:r>
        <w:rPr>
          <w:rFonts w:hint="eastAsia" w:ascii="宋体" w:hAnsi="宋体" w:cs="宋体"/>
          <w:color w:val="000000" w:themeColor="text1"/>
          <w:kern w:val="0"/>
          <w:sz w:val="24"/>
          <w:highlight w:val="none"/>
          <w:lang w:val="zh-CN"/>
          <w14:textFill>
            <w14:solidFill>
              <w14:schemeClr w14:val="tx1"/>
            </w14:solidFill>
          </w14:textFill>
        </w:rPr>
        <w:t xml:space="preserve">等法律法规，诚实守信，合法经营，坚决抵制各种违法违纪行为。 </w:t>
      </w:r>
    </w:p>
    <w:p w14:paraId="119A938F">
      <w:pPr>
        <w:autoSpaceDE w:val="0"/>
        <w:autoSpaceDN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如违反上述承诺，你</w:t>
      </w:r>
      <w:r>
        <w:rPr>
          <w:rFonts w:hint="eastAsia" w:ascii="宋体" w:hAnsi="宋体" w:cs="宋体"/>
          <w:color w:val="000000" w:themeColor="text1"/>
          <w:sz w:val="24"/>
          <w:highlight w:val="none"/>
          <w14:textFill>
            <w14:solidFill>
              <w14:schemeClr w14:val="tx1"/>
            </w14:solidFill>
          </w14:textFill>
        </w:rPr>
        <w:t>单位</w:t>
      </w:r>
      <w:r>
        <w:rPr>
          <w:rFonts w:hint="eastAsia" w:ascii="宋体" w:hAnsi="宋体" w:cs="宋体"/>
          <w:color w:val="000000" w:themeColor="text1"/>
          <w:kern w:val="0"/>
          <w:sz w:val="24"/>
          <w:highlight w:val="none"/>
          <w:lang w:val="zh-CN"/>
          <w14:textFill>
            <w14:solidFill>
              <w14:schemeClr w14:val="tx1"/>
            </w14:solidFill>
          </w14:textFill>
        </w:rPr>
        <w:t>有权立即取消我单位投标、中标或在建项目的建设资格，有权拒绝我单位在一定时期内进入你</w:t>
      </w:r>
      <w:r>
        <w:rPr>
          <w:rFonts w:hint="eastAsia" w:ascii="宋体" w:hAnsi="宋体" w:cs="宋体"/>
          <w:color w:val="000000" w:themeColor="text1"/>
          <w:sz w:val="24"/>
          <w:highlight w:val="none"/>
          <w14:textFill>
            <w14:solidFill>
              <w14:schemeClr w14:val="tx1"/>
            </w14:solidFill>
          </w14:textFill>
        </w:rPr>
        <w:t>单位</w:t>
      </w:r>
      <w:r>
        <w:rPr>
          <w:rFonts w:hint="eastAsia" w:ascii="宋体" w:hAnsi="宋体" w:cs="宋体"/>
          <w:color w:val="000000" w:themeColor="text1"/>
          <w:kern w:val="0"/>
          <w:sz w:val="24"/>
          <w:highlight w:val="none"/>
          <w:lang w:val="zh-CN"/>
          <w14:textFill>
            <w14:solidFill>
              <w14:schemeClr w14:val="tx1"/>
            </w14:solidFill>
          </w14:textFill>
        </w:rPr>
        <w:t>进行项目建设或其他经营活动，并通报市财政局。由此引起的相应损失均由我单位承担。</w:t>
      </w:r>
    </w:p>
    <w:p w14:paraId="19E55D64">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14:paraId="2921ED59">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14:paraId="74585FDC">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14:paraId="0A865624">
      <w:pPr>
        <w:autoSpaceDE w:val="0"/>
        <w:autoSpaceDN w:val="0"/>
        <w:spacing w:line="360" w:lineRule="auto"/>
        <w:ind w:left="2" w:leftChars="1" w:right="1120" w:firstLine="4560" w:firstLineChars="19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sz w:val="24"/>
          <w:highlight w:val="none"/>
          <w14:textFill>
            <w14:solidFill>
              <w14:schemeClr w14:val="tx1"/>
            </w14:solidFill>
          </w14:textFill>
        </w:rPr>
        <w:t>电子签章</w:t>
      </w: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4A982083">
      <w:pPr>
        <w:spacing w:line="360" w:lineRule="auto"/>
        <w:ind w:left="4620" w:leftChars="2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 xml:space="preserve">   年   月   日</w:t>
      </w:r>
    </w:p>
    <w:p w14:paraId="0199CDDC">
      <w:pPr>
        <w:spacing w:line="360" w:lineRule="auto"/>
        <w:jc w:val="center"/>
        <w:rPr>
          <w:rFonts w:ascii="宋体" w:hAnsi="宋体" w:cs="宋体"/>
          <w:b/>
          <w:bCs/>
          <w:color w:val="000000" w:themeColor="text1"/>
          <w:sz w:val="24"/>
          <w:highlight w:val="none"/>
          <w14:textFill>
            <w14:solidFill>
              <w14:schemeClr w14:val="tx1"/>
            </w14:solidFill>
          </w14:textFill>
        </w:rPr>
      </w:pPr>
    </w:p>
    <w:p w14:paraId="483A9AEB">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4A6D98F4">
      <w:pPr>
        <w:rPr>
          <w:rFonts w:ascii="宋体" w:hAnsi="宋体" w:cs="宋体"/>
          <w:b/>
          <w:bCs/>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br w:type="page"/>
      </w:r>
    </w:p>
    <w:p w14:paraId="56F2FBF6">
      <w:pPr>
        <w:jc w:val="center"/>
        <w:rPr>
          <w:rFonts w:ascii="宋体" w:hAnsi="宋体" w:cs="宋体"/>
          <w:b/>
          <w:color w:val="000000" w:themeColor="text1"/>
          <w:kern w:val="0"/>
          <w:sz w:val="32"/>
          <w:szCs w:val="32"/>
          <w:highlight w:val="none"/>
          <w14:textFill>
            <w14:solidFill>
              <w14:schemeClr w14:val="tx1"/>
            </w14:solidFill>
          </w14:textFill>
        </w:rPr>
      </w:pPr>
    </w:p>
    <w:p w14:paraId="2B52856E">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六、投标标的清单（不适用）</w:t>
      </w:r>
    </w:p>
    <w:tbl>
      <w:tblPr>
        <w:tblStyle w:val="64"/>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833"/>
        <w:gridCol w:w="1305"/>
        <w:gridCol w:w="2011"/>
        <w:gridCol w:w="1777"/>
      </w:tblGrid>
      <w:tr w14:paraId="691C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693A216">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3894173E">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名称</w:t>
            </w:r>
          </w:p>
        </w:tc>
        <w:tc>
          <w:tcPr>
            <w:tcW w:w="1833" w:type="dxa"/>
            <w:tcBorders>
              <w:top w:val="single" w:color="auto" w:sz="4" w:space="0"/>
              <w:left w:val="single" w:color="auto" w:sz="4" w:space="0"/>
              <w:bottom w:val="single" w:color="auto" w:sz="4" w:space="0"/>
              <w:right w:val="single" w:color="auto" w:sz="4" w:space="0"/>
            </w:tcBorders>
            <w:vAlign w:val="center"/>
          </w:tcPr>
          <w:p w14:paraId="4527E6B0">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品牌（如果有）</w:t>
            </w:r>
          </w:p>
        </w:tc>
        <w:tc>
          <w:tcPr>
            <w:tcW w:w="1305" w:type="dxa"/>
            <w:tcBorders>
              <w:top w:val="single" w:color="auto" w:sz="4" w:space="0"/>
              <w:left w:val="single" w:color="auto" w:sz="4" w:space="0"/>
              <w:bottom w:val="single" w:color="auto" w:sz="4" w:space="0"/>
              <w:right w:val="single" w:color="auto" w:sz="4" w:space="0"/>
            </w:tcBorders>
            <w:vAlign w:val="center"/>
          </w:tcPr>
          <w:p w14:paraId="2CE1D818">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规格型号</w:t>
            </w:r>
          </w:p>
        </w:tc>
        <w:tc>
          <w:tcPr>
            <w:tcW w:w="2011" w:type="dxa"/>
            <w:tcBorders>
              <w:top w:val="single" w:color="auto" w:sz="4" w:space="0"/>
              <w:left w:val="single" w:color="auto" w:sz="4" w:space="0"/>
              <w:bottom w:val="single" w:color="auto" w:sz="4" w:space="0"/>
              <w:right w:val="single" w:color="auto" w:sz="4" w:space="0"/>
            </w:tcBorders>
            <w:vAlign w:val="center"/>
          </w:tcPr>
          <w:p w14:paraId="45AE63A9">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数量</w:t>
            </w:r>
          </w:p>
        </w:tc>
        <w:tc>
          <w:tcPr>
            <w:tcW w:w="1777" w:type="dxa"/>
            <w:tcBorders>
              <w:top w:val="single" w:color="auto" w:sz="4" w:space="0"/>
              <w:left w:val="single" w:color="auto" w:sz="4" w:space="0"/>
              <w:bottom w:val="single" w:color="auto" w:sz="4" w:space="0"/>
              <w:right w:val="single" w:color="auto" w:sz="4" w:space="0"/>
            </w:tcBorders>
            <w:vAlign w:val="center"/>
          </w:tcPr>
          <w:p w14:paraId="64A529F5">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w:t>
            </w:r>
          </w:p>
        </w:tc>
      </w:tr>
      <w:tr w14:paraId="7308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20CE454">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369" w:type="dxa"/>
            <w:tcBorders>
              <w:top w:val="single" w:color="auto" w:sz="4" w:space="0"/>
              <w:left w:val="single" w:color="auto" w:sz="4" w:space="0"/>
              <w:bottom w:val="single" w:color="auto" w:sz="4" w:space="0"/>
              <w:right w:val="single" w:color="auto" w:sz="4" w:space="0"/>
            </w:tcBorders>
            <w:vAlign w:val="center"/>
          </w:tcPr>
          <w:p w14:paraId="07FF139D">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14:paraId="5653803A">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14:paraId="05686DFA">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011" w:type="dxa"/>
            <w:tcBorders>
              <w:top w:val="single" w:color="auto" w:sz="4" w:space="0"/>
              <w:left w:val="single" w:color="auto" w:sz="4" w:space="0"/>
              <w:bottom w:val="single" w:color="auto" w:sz="4" w:space="0"/>
              <w:right w:val="single" w:color="auto" w:sz="4" w:space="0"/>
            </w:tcBorders>
            <w:vAlign w:val="center"/>
          </w:tcPr>
          <w:p w14:paraId="26E99FA7">
            <w:pPr>
              <w:spacing w:line="360" w:lineRule="auto"/>
              <w:jc w:val="center"/>
              <w:rPr>
                <w:rFonts w:ascii="宋体" w:hAnsi="宋体" w:cs="宋体"/>
                <w:color w:val="000000" w:themeColor="text1"/>
                <w:sz w:val="24"/>
                <w:highlight w:val="none"/>
                <w14:textFill>
                  <w14:solidFill>
                    <w14:schemeClr w14:val="tx1"/>
                  </w14:solidFill>
                </w14:textFill>
              </w:rPr>
            </w:pPr>
          </w:p>
        </w:tc>
        <w:tc>
          <w:tcPr>
            <w:tcW w:w="1777" w:type="dxa"/>
            <w:tcBorders>
              <w:top w:val="single" w:color="auto" w:sz="4" w:space="0"/>
              <w:left w:val="single" w:color="auto" w:sz="4" w:space="0"/>
              <w:bottom w:val="single" w:color="auto" w:sz="4" w:space="0"/>
              <w:right w:val="single" w:color="auto" w:sz="4" w:space="0"/>
            </w:tcBorders>
            <w:vAlign w:val="center"/>
          </w:tcPr>
          <w:p w14:paraId="35B01E54">
            <w:pPr>
              <w:spacing w:line="360" w:lineRule="auto"/>
              <w:jc w:val="center"/>
              <w:rPr>
                <w:rFonts w:ascii="宋体" w:hAnsi="宋体" w:cs="宋体"/>
                <w:color w:val="000000" w:themeColor="text1"/>
                <w:sz w:val="24"/>
                <w:highlight w:val="none"/>
                <w14:textFill>
                  <w14:solidFill>
                    <w14:schemeClr w14:val="tx1"/>
                  </w14:solidFill>
                </w14:textFill>
              </w:rPr>
            </w:pPr>
          </w:p>
        </w:tc>
      </w:tr>
      <w:tr w14:paraId="5211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FD8DA8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369" w:type="dxa"/>
            <w:tcBorders>
              <w:top w:val="single" w:color="auto" w:sz="4" w:space="0"/>
              <w:left w:val="single" w:color="auto" w:sz="4" w:space="0"/>
              <w:bottom w:val="single" w:color="auto" w:sz="4" w:space="0"/>
              <w:right w:val="single" w:color="auto" w:sz="4" w:space="0"/>
            </w:tcBorders>
            <w:vAlign w:val="center"/>
          </w:tcPr>
          <w:p w14:paraId="5D1CF48D">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14:paraId="52A88BBC">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14:paraId="580FFEF9">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011" w:type="dxa"/>
            <w:tcBorders>
              <w:top w:val="single" w:color="auto" w:sz="4" w:space="0"/>
              <w:left w:val="single" w:color="auto" w:sz="4" w:space="0"/>
              <w:bottom w:val="single" w:color="auto" w:sz="4" w:space="0"/>
              <w:right w:val="single" w:color="auto" w:sz="4" w:space="0"/>
            </w:tcBorders>
            <w:vAlign w:val="center"/>
          </w:tcPr>
          <w:p w14:paraId="66637724">
            <w:pPr>
              <w:spacing w:line="360" w:lineRule="auto"/>
              <w:jc w:val="center"/>
              <w:rPr>
                <w:rFonts w:ascii="宋体" w:hAnsi="宋体" w:cs="宋体"/>
                <w:color w:val="000000" w:themeColor="text1"/>
                <w:sz w:val="24"/>
                <w:highlight w:val="none"/>
                <w14:textFill>
                  <w14:solidFill>
                    <w14:schemeClr w14:val="tx1"/>
                  </w14:solidFill>
                </w14:textFill>
              </w:rPr>
            </w:pPr>
          </w:p>
        </w:tc>
        <w:tc>
          <w:tcPr>
            <w:tcW w:w="1777" w:type="dxa"/>
            <w:tcBorders>
              <w:top w:val="single" w:color="auto" w:sz="4" w:space="0"/>
              <w:left w:val="single" w:color="auto" w:sz="4" w:space="0"/>
              <w:bottom w:val="single" w:color="auto" w:sz="4" w:space="0"/>
              <w:right w:val="single" w:color="auto" w:sz="4" w:space="0"/>
            </w:tcBorders>
            <w:vAlign w:val="center"/>
          </w:tcPr>
          <w:p w14:paraId="08B5C29C">
            <w:pPr>
              <w:spacing w:line="360" w:lineRule="auto"/>
              <w:jc w:val="center"/>
              <w:rPr>
                <w:rFonts w:ascii="宋体" w:hAnsi="宋体" w:cs="宋体"/>
                <w:color w:val="000000" w:themeColor="text1"/>
                <w:sz w:val="24"/>
                <w:highlight w:val="none"/>
                <w14:textFill>
                  <w14:solidFill>
                    <w14:schemeClr w14:val="tx1"/>
                  </w14:solidFill>
                </w14:textFill>
              </w:rPr>
            </w:pPr>
          </w:p>
        </w:tc>
      </w:tr>
      <w:tr w14:paraId="2E9D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107E75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69" w:type="dxa"/>
            <w:tcBorders>
              <w:top w:val="single" w:color="auto" w:sz="4" w:space="0"/>
              <w:left w:val="single" w:color="auto" w:sz="4" w:space="0"/>
              <w:bottom w:val="single" w:color="auto" w:sz="4" w:space="0"/>
              <w:right w:val="single" w:color="auto" w:sz="4" w:space="0"/>
            </w:tcBorders>
            <w:vAlign w:val="center"/>
          </w:tcPr>
          <w:p w14:paraId="480AF416">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14:paraId="6456198F">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14:paraId="330852B1">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011" w:type="dxa"/>
            <w:tcBorders>
              <w:top w:val="single" w:color="auto" w:sz="4" w:space="0"/>
              <w:left w:val="single" w:color="auto" w:sz="4" w:space="0"/>
              <w:bottom w:val="single" w:color="auto" w:sz="4" w:space="0"/>
              <w:right w:val="single" w:color="auto" w:sz="4" w:space="0"/>
            </w:tcBorders>
            <w:vAlign w:val="center"/>
          </w:tcPr>
          <w:p w14:paraId="1CDF61F0">
            <w:pPr>
              <w:spacing w:line="360" w:lineRule="auto"/>
              <w:jc w:val="center"/>
              <w:rPr>
                <w:rFonts w:ascii="宋体" w:hAnsi="宋体" w:cs="宋体"/>
                <w:color w:val="000000" w:themeColor="text1"/>
                <w:sz w:val="24"/>
                <w:highlight w:val="none"/>
                <w14:textFill>
                  <w14:solidFill>
                    <w14:schemeClr w14:val="tx1"/>
                  </w14:solidFill>
                </w14:textFill>
              </w:rPr>
            </w:pPr>
          </w:p>
        </w:tc>
        <w:tc>
          <w:tcPr>
            <w:tcW w:w="1777" w:type="dxa"/>
            <w:tcBorders>
              <w:top w:val="single" w:color="auto" w:sz="4" w:space="0"/>
              <w:left w:val="single" w:color="auto" w:sz="4" w:space="0"/>
              <w:bottom w:val="single" w:color="auto" w:sz="4" w:space="0"/>
              <w:right w:val="single" w:color="auto" w:sz="4" w:space="0"/>
            </w:tcBorders>
            <w:vAlign w:val="center"/>
          </w:tcPr>
          <w:p w14:paraId="1CCE3AD9">
            <w:pPr>
              <w:spacing w:line="360" w:lineRule="auto"/>
              <w:jc w:val="center"/>
              <w:rPr>
                <w:rFonts w:ascii="宋体" w:hAnsi="宋体" w:cs="宋体"/>
                <w:color w:val="000000" w:themeColor="text1"/>
                <w:sz w:val="24"/>
                <w:highlight w:val="none"/>
                <w14:textFill>
                  <w14:solidFill>
                    <w14:schemeClr w14:val="tx1"/>
                  </w14:solidFill>
                </w14:textFill>
              </w:rPr>
            </w:pPr>
          </w:p>
        </w:tc>
      </w:tr>
    </w:tbl>
    <w:p w14:paraId="00EDE6BB">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56A8A530">
      <w:pPr>
        <w:jc w:val="center"/>
        <w:rPr>
          <w:rFonts w:ascii="宋体" w:hAnsi="宋体" w:cs="宋体"/>
          <w:b/>
          <w:color w:val="000000" w:themeColor="text1"/>
          <w:kern w:val="0"/>
          <w:sz w:val="32"/>
          <w:szCs w:val="32"/>
          <w:highlight w:val="none"/>
          <w14:textFill>
            <w14:solidFill>
              <w14:schemeClr w14:val="tx1"/>
            </w14:solidFill>
          </w14:textFill>
        </w:rPr>
      </w:pPr>
    </w:p>
    <w:p w14:paraId="06D0C426">
      <w:pPr>
        <w:jc w:val="center"/>
        <w:rPr>
          <w:rFonts w:ascii="宋体" w:hAnsi="宋体" w:cs="宋体"/>
          <w:b/>
          <w:color w:val="000000" w:themeColor="text1"/>
          <w:kern w:val="0"/>
          <w:sz w:val="32"/>
          <w:szCs w:val="32"/>
          <w:highlight w:val="none"/>
          <w14:textFill>
            <w14:solidFill>
              <w14:schemeClr w14:val="tx1"/>
            </w14:solidFill>
          </w14:textFill>
        </w:rPr>
      </w:pPr>
    </w:p>
    <w:p w14:paraId="08E574E3">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七、商务技术偏离表</w:t>
      </w:r>
    </w:p>
    <w:tbl>
      <w:tblPr>
        <w:tblStyle w:val="65"/>
        <w:tblW w:w="9000" w:type="dxa"/>
        <w:tblInd w:w="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3328"/>
        <w:gridCol w:w="3287"/>
        <w:gridCol w:w="1425"/>
      </w:tblGrid>
      <w:tr w14:paraId="34E9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33013B0">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序号</w:t>
            </w:r>
          </w:p>
        </w:tc>
        <w:tc>
          <w:tcPr>
            <w:tcW w:w="3328" w:type="dxa"/>
          </w:tcPr>
          <w:p w14:paraId="510BA393">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招标文件章节及具体内容</w:t>
            </w:r>
          </w:p>
        </w:tc>
        <w:tc>
          <w:tcPr>
            <w:tcW w:w="3287" w:type="dxa"/>
          </w:tcPr>
          <w:p w14:paraId="06E2BBBB">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投标文件章节及具体内容</w:t>
            </w:r>
          </w:p>
        </w:tc>
        <w:tc>
          <w:tcPr>
            <w:tcW w:w="1425" w:type="dxa"/>
          </w:tcPr>
          <w:p w14:paraId="10E7E669">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偏离说明</w:t>
            </w:r>
          </w:p>
        </w:tc>
      </w:tr>
      <w:tr w14:paraId="4614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88250AE">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328" w:type="dxa"/>
          </w:tcPr>
          <w:p w14:paraId="00955A54">
            <w:pPr>
              <w:jc w:val="center"/>
              <w:rPr>
                <w:rFonts w:ascii="宋体" w:hAnsi="宋体" w:cs="宋体"/>
                <w:b/>
                <w:color w:val="000000" w:themeColor="text1"/>
                <w:kern w:val="0"/>
                <w:sz w:val="32"/>
                <w:szCs w:val="32"/>
                <w:highlight w:val="none"/>
                <w14:textFill>
                  <w14:solidFill>
                    <w14:schemeClr w14:val="tx1"/>
                  </w14:solidFill>
                </w14:textFill>
              </w:rPr>
            </w:pPr>
          </w:p>
        </w:tc>
        <w:tc>
          <w:tcPr>
            <w:tcW w:w="3287" w:type="dxa"/>
          </w:tcPr>
          <w:p w14:paraId="50984943">
            <w:pPr>
              <w:jc w:val="center"/>
              <w:rPr>
                <w:rFonts w:ascii="宋体" w:hAnsi="宋体" w:cs="宋体"/>
                <w:b/>
                <w:color w:val="000000" w:themeColor="text1"/>
                <w:kern w:val="0"/>
                <w:sz w:val="32"/>
                <w:szCs w:val="32"/>
                <w:highlight w:val="none"/>
                <w14:textFill>
                  <w14:solidFill>
                    <w14:schemeClr w14:val="tx1"/>
                  </w14:solidFill>
                </w14:textFill>
              </w:rPr>
            </w:pPr>
          </w:p>
        </w:tc>
        <w:tc>
          <w:tcPr>
            <w:tcW w:w="1425" w:type="dxa"/>
          </w:tcPr>
          <w:p w14:paraId="70C86268">
            <w:pPr>
              <w:jc w:val="center"/>
              <w:rPr>
                <w:rFonts w:ascii="宋体" w:hAnsi="宋体" w:cs="宋体"/>
                <w:b/>
                <w:color w:val="000000" w:themeColor="text1"/>
                <w:kern w:val="0"/>
                <w:sz w:val="32"/>
                <w:szCs w:val="32"/>
                <w:highlight w:val="none"/>
                <w14:textFill>
                  <w14:solidFill>
                    <w14:schemeClr w14:val="tx1"/>
                  </w14:solidFill>
                </w14:textFill>
              </w:rPr>
            </w:pPr>
          </w:p>
        </w:tc>
      </w:tr>
      <w:tr w14:paraId="2797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D5AE7E4">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3328" w:type="dxa"/>
          </w:tcPr>
          <w:p w14:paraId="0DAACB7F">
            <w:pPr>
              <w:jc w:val="center"/>
              <w:rPr>
                <w:rFonts w:ascii="宋体" w:hAnsi="宋体" w:cs="宋体"/>
                <w:b/>
                <w:color w:val="000000" w:themeColor="text1"/>
                <w:kern w:val="0"/>
                <w:sz w:val="32"/>
                <w:szCs w:val="32"/>
                <w:highlight w:val="none"/>
                <w14:textFill>
                  <w14:solidFill>
                    <w14:schemeClr w14:val="tx1"/>
                  </w14:solidFill>
                </w14:textFill>
              </w:rPr>
            </w:pPr>
          </w:p>
        </w:tc>
        <w:tc>
          <w:tcPr>
            <w:tcW w:w="3287" w:type="dxa"/>
          </w:tcPr>
          <w:p w14:paraId="7BA92B0F">
            <w:pPr>
              <w:jc w:val="center"/>
              <w:rPr>
                <w:rFonts w:ascii="宋体" w:hAnsi="宋体" w:cs="宋体"/>
                <w:b/>
                <w:color w:val="000000" w:themeColor="text1"/>
                <w:kern w:val="0"/>
                <w:sz w:val="32"/>
                <w:szCs w:val="32"/>
                <w:highlight w:val="none"/>
                <w14:textFill>
                  <w14:solidFill>
                    <w14:schemeClr w14:val="tx1"/>
                  </w14:solidFill>
                </w14:textFill>
              </w:rPr>
            </w:pPr>
          </w:p>
        </w:tc>
        <w:tc>
          <w:tcPr>
            <w:tcW w:w="1425" w:type="dxa"/>
          </w:tcPr>
          <w:p w14:paraId="3219F139">
            <w:pPr>
              <w:jc w:val="center"/>
              <w:rPr>
                <w:rFonts w:ascii="宋体" w:hAnsi="宋体" w:cs="宋体"/>
                <w:b/>
                <w:color w:val="000000" w:themeColor="text1"/>
                <w:kern w:val="0"/>
                <w:sz w:val="32"/>
                <w:szCs w:val="32"/>
                <w:highlight w:val="none"/>
                <w14:textFill>
                  <w14:solidFill>
                    <w14:schemeClr w14:val="tx1"/>
                  </w14:solidFill>
                </w14:textFill>
              </w:rPr>
            </w:pPr>
          </w:p>
        </w:tc>
      </w:tr>
      <w:tr w14:paraId="5120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07171C3">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3328" w:type="dxa"/>
          </w:tcPr>
          <w:p w14:paraId="32B4DBD4">
            <w:pPr>
              <w:jc w:val="center"/>
              <w:rPr>
                <w:rFonts w:ascii="宋体" w:hAnsi="宋体" w:cs="宋体"/>
                <w:b/>
                <w:color w:val="000000" w:themeColor="text1"/>
                <w:kern w:val="0"/>
                <w:sz w:val="32"/>
                <w:szCs w:val="32"/>
                <w:highlight w:val="none"/>
                <w14:textFill>
                  <w14:solidFill>
                    <w14:schemeClr w14:val="tx1"/>
                  </w14:solidFill>
                </w14:textFill>
              </w:rPr>
            </w:pPr>
          </w:p>
        </w:tc>
        <w:tc>
          <w:tcPr>
            <w:tcW w:w="3287" w:type="dxa"/>
          </w:tcPr>
          <w:p w14:paraId="670B3F0F">
            <w:pPr>
              <w:jc w:val="center"/>
              <w:rPr>
                <w:rFonts w:ascii="宋体" w:hAnsi="宋体" w:cs="宋体"/>
                <w:b/>
                <w:color w:val="000000" w:themeColor="text1"/>
                <w:kern w:val="0"/>
                <w:sz w:val="32"/>
                <w:szCs w:val="32"/>
                <w:highlight w:val="none"/>
                <w14:textFill>
                  <w14:solidFill>
                    <w14:schemeClr w14:val="tx1"/>
                  </w14:solidFill>
                </w14:textFill>
              </w:rPr>
            </w:pPr>
          </w:p>
        </w:tc>
        <w:tc>
          <w:tcPr>
            <w:tcW w:w="1425" w:type="dxa"/>
          </w:tcPr>
          <w:p w14:paraId="4D312929">
            <w:pPr>
              <w:jc w:val="center"/>
              <w:rPr>
                <w:rFonts w:ascii="宋体" w:hAnsi="宋体" w:cs="宋体"/>
                <w:b/>
                <w:color w:val="000000" w:themeColor="text1"/>
                <w:kern w:val="0"/>
                <w:sz w:val="32"/>
                <w:szCs w:val="32"/>
                <w:highlight w:val="none"/>
                <w14:textFill>
                  <w14:solidFill>
                    <w14:schemeClr w14:val="tx1"/>
                  </w14:solidFill>
                </w14:textFill>
              </w:rPr>
            </w:pPr>
          </w:p>
        </w:tc>
      </w:tr>
    </w:tbl>
    <w:p w14:paraId="24DC2F8D">
      <w:pPr>
        <w:jc w:val="center"/>
        <w:rPr>
          <w:rFonts w:ascii="宋体" w:hAnsi="宋体" w:cs="宋体"/>
          <w:b/>
          <w:color w:val="000000" w:themeColor="text1"/>
          <w:kern w:val="0"/>
          <w:sz w:val="32"/>
          <w:szCs w:val="32"/>
          <w:highlight w:val="none"/>
          <w14:textFill>
            <w14:solidFill>
              <w14:schemeClr w14:val="tx1"/>
            </w14:solidFill>
          </w14:textFill>
        </w:rPr>
      </w:pPr>
    </w:p>
    <w:p w14:paraId="54402EA9">
      <w:pPr>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『编制说明』：</w:t>
      </w:r>
    </w:p>
    <w:p w14:paraId="7B9AA0E1">
      <w:pPr>
        <w:numPr>
          <w:ilvl w:val="0"/>
          <w:numId w:val="38"/>
        </w:numPr>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投标人需按“第三部分  采购需求”中各项要求（包含技术需求及商务、其他要求）对应,在本表中如实填写具体响应(有技术参数的提供响应的技术参数)，未按要求填写的，有可能作负偏离处理。</w:t>
      </w:r>
    </w:p>
    <w:p w14:paraId="022C3454">
      <w:pPr>
        <w:numPr>
          <w:ilvl w:val="0"/>
          <w:numId w:val="38"/>
        </w:numPr>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偏离说明是指对招标文件要求存在不同之处的解释说明。偏离系指：正偏离（高于采购需求）、负偏离（低于采购需求）、无偏离（满足采购需求）</w:t>
      </w:r>
    </w:p>
    <w:p w14:paraId="4333FD19">
      <w:pPr>
        <w:widowControl/>
        <w:spacing w:line="360" w:lineRule="auto"/>
        <w:jc w:val="left"/>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3、技术指标若有要求供应商提供相应佐证材料的，供应商未提供相应佐证材料或者供应商的响应承诺与其佐证材料不一致的，评审小组会将以不利于供应商的内容为准进行评审（负偏离）。</w:t>
      </w:r>
    </w:p>
    <w:p w14:paraId="0EB37AFF">
      <w:pPr>
        <w:pStyle w:val="63"/>
        <w:ind w:firstLine="420"/>
        <w:rPr>
          <w:color w:val="000000" w:themeColor="text1"/>
          <w:highlight w:val="none"/>
          <w14:textFill>
            <w14:solidFill>
              <w14:schemeClr w14:val="tx1"/>
            </w14:solidFill>
          </w14:textFill>
        </w:rPr>
      </w:pPr>
    </w:p>
    <w:p w14:paraId="666386C0">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3675E116">
      <w:pPr>
        <w:widowControl/>
        <w:adjustRightInd/>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b/>
          <w:bCs/>
          <w:color w:val="000000" w:themeColor="text1"/>
          <w:sz w:val="32"/>
          <w:szCs w:val="32"/>
          <w:highlight w:val="none"/>
          <w14:textFill>
            <w14:solidFill>
              <w14:schemeClr w14:val="tx1"/>
            </w14:solidFill>
          </w14:textFill>
        </w:rPr>
        <w:br w:type="page"/>
      </w:r>
    </w:p>
    <w:p w14:paraId="20BB3FFF">
      <w:pPr>
        <w:pStyle w:val="2"/>
        <w:rPr>
          <w:color w:val="000000" w:themeColor="text1"/>
          <w:highlight w:val="none"/>
          <w:lang w:val="en-US"/>
          <w14:textFill>
            <w14:solidFill>
              <w14:schemeClr w14:val="tx1"/>
            </w14:solidFill>
          </w14:textFill>
        </w:rPr>
        <w:sectPr>
          <w:headerReference r:id="rId7" w:type="default"/>
          <w:footerReference r:id="rId8" w:type="default"/>
          <w:pgSz w:w="11905" w:h="16838"/>
          <w:pgMar w:top="1474" w:right="1417" w:bottom="1247" w:left="1417" w:header="851" w:footer="850" w:gutter="0"/>
          <w:pgBorders>
            <w:top w:val="none" w:sz="0" w:space="0"/>
            <w:left w:val="none" w:sz="0" w:space="0"/>
            <w:bottom w:val="none" w:sz="0" w:space="0"/>
            <w:right w:val="none" w:sz="0" w:space="0"/>
          </w:pgBorders>
          <w:cols w:space="0" w:num="1"/>
          <w:rtlGutter w:val="0"/>
          <w:docGrid w:linePitch="312" w:charSpace="0"/>
        </w:sectPr>
      </w:pPr>
    </w:p>
    <w:p w14:paraId="472E52AC">
      <w:pPr>
        <w:snapToGrid w:val="0"/>
        <w:spacing w:line="360" w:lineRule="auto"/>
        <w:ind w:firstLine="964" w:firstLineChars="400"/>
        <w:jc w:val="center"/>
        <w:rPr>
          <w:rFonts w:ascii="宋体" w:hAnsi="宋体" w:cs="宋体"/>
          <w:b/>
          <w:bCs/>
          <w:color w:val="000000" w:themeColor="text1"/>
          <w:sz w:val="24"/>
          <w:highlight w:val="none"/>
          <w14:textFill>
            <w14:solidFill>
              <w14:schemeClr w14:val="tx1"/>
            </w14:solidFill>
          </w14:textFill>
        </w:rPr>
      </w:pPr>
    </w:p>
    <w:p w14:paraId="6871B871">
      <w:pPr>
        <w:rPr>
          <w:rFonts w:ascii="宋体" w:hAnsi="宋体" w:cs="宋体"/>
          <w:b/>
          <w:color w:val="000000" w:themeColor="text1"/>
          <w:kern w:val="0"/>
          <w:sz w:val="32"/>
          <w:szCs w:val="32"/>
          <w:highlight w:val="none"/>
          <w14:textFill>
            <w14:solidFill>
              <w14:schemeClr w14:val="tx1"/>
            </w14:solidFill>
          </w14:textFill>
        </w:rPr>
      </w:pPr>
    </w:p>
    <w:p w14:paraId="2CF70BBB">
      <w:pPr>
        <w:jc w:val="center"/>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八、评标标准相应的商务技术资料</w:t>
      </w:r>
    </w:p>
    <w:p w14:paraId="1EBB5B82">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p>
    <w:p w14:paraId="506BE7D9">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zh-CN" w:eastAsia="zh-CN"/>
          <w14:textFill>
            <w14:solidFill>
              <w14:schemeClr w14:val="tx1"/>
            </w14:solidFill>
          </w14:textFill>
        </w:rPr>
        <w:t>8-</w:t>
      </w:r>
      <w:r>
        <w:rPr>
          <w:rFonts w:hint="eastAsia" w:ascii="宋体" w:hAnsi="宋体" w:eastAsia="宋体" w:cs="宋体"/>
          <w:color w:val="000000" w:themeColor="text1"/>
          <w:sz w:val="24"/>
          <w:highlight w:val="none"/>
          <w:lang w:val="zh-CN" w:eastAsia="zh-CN"/>
          <w14:textFill>
            <w14:solidFill>
              <w14:schemeClr w14:val="tx1"/>
            </w14:solidFill>
          </w14:textFill>
        </w:rPr>
        <w:t>1）</w:t>
      </w:r>
      <w:r>
        <w:rPr>
          <w:rFonts w:hint="eastAsia" w:ascii="宋体" w:hAnsi="宋体" w:eastAsia="宋体" w:cs="宋体"/>
          <w:color w:val="000000" w:themeColor="text1"/>
          <w:sz w:val="24"/>
          <w:highlight w:val="none"/>
          <w:lang w:val="en-US"/>
          <w14:textFill>
            <w14:solidFill>
              <w14:schemeClr w14:val="tx1"/>
            </w14:solidFill>
          </w14:textFill>
        </w:rPr>
        <w:t>项目需求及现状分析</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4AB13B03">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zh-CN" w:eastAsia="zh-CN"/>
          <w14:textFill>
            <w14:solidFill>
              <w14:schemeClr w14:val="tx1"/>
            </w14:solidFill>
          </w14:textFill>
        </w:rPr>
        <w:t>8-</w:t>
      </w:r>
      <w:r>
        <w:rPr>
          <w:rFonts w:hint="eastAsia" w:ascii="宋体" w:hAnsi="宋体" w:eastAsia="宋体" w:cs="宋体"/>
          <w:color w:val="000000" w:themeColor="text1"/>
          <w:sz w:val="24"/>
          <w:highlight w:val="none"/>
          <w:lang w:val="zh-CN" w:eastAsia="zh-CN"/>
          <w14:textFill>
            <w14:solidFill>
              <w14:schemeClr w14:val="tx1"/>
            </w14:solidFill>
          </w14:textFill>
        </w:rPr>
        <w:t>2）重点难点分析</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234CCCC7">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zh-CN" w:eastAsia="zh-CN"/>
          <w14:textFill>
            <w14:solidFill>
              <w14:schemeClr w14:val="tx1"/>
            </w14:solidFill>
          </w14:textFill>
        </w:rPr>
        <w:t>8-</w:t>
      </w:r>
      <w:r>
        <w:rPr>
          <w:rFonts w:hint="eastAsia" w:ascii="宋体" w:hAnsi="宋体" w:eastAsia="宋体" w:cs="宋体"/>
          <w:color w:val="000000" w:themeColor="text1"/>
          <w:sz w:val="24"/>
          <w:highlight w:val="none"/>
          <w:lang w:val="zh-CN" w:eastAsia="zh-CN"/>
          <w14:textFill>
            <w14:solidFill>
              <w14:schemeClr w14:val="tx1"/>
            </w14:solidFill>
          </w14:textFill>
        </w:rPr>
        <w:t>3）重点难点</w:t>
      </w:r>
      <w:r>
        <w:rPr>
          <w:rFonts w:hint="eastAsia" w:ascii="宋体" w:hAnsi="宋体" w:eastAsia="宋体" w:cs="宋体"/>
          <w:color w:val="000000" w:themeColor="text1"/>
          <w:sz w:val="24"/>
          <w:highlight w:val="none"/>
          <w:lang w:val="en-US" w:eastAsia="zh-CN"/>
          <w14:textFill>
            <w14:solidFill>
              <w14:schemeClr w14:val="tx1"/>
            </w14:solidFill>
          </w14:textFill>
        </w:rPr>
        <w:t>解决方案；</w:t>
      </w:r>
    </w:p>
    <w:p w14:paraId="3F291CBD">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zh-CN" w:eastAsia="zh-CN"/>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项目实施</w:t>
      </w:r>
      <w:r>
        <w:rPr>
          <w:rFonts w:hint="eastAsia" w:ascii="宋体" w:hAnsi="宋体" w:eastAsia="宋体" w:cs="宋体"/>
          <w:color w:val="000000" w:themeColor="text1"/>
          <w:sz w:val="24"/>
          <w:highlight w:val="none"/>
          <w:lang w:val="zh-CN" w:eastAsia="zh-CN"/>
          <w14:textFill>
            <w14:solidFill>
              <w14:schemeClr w14:val="tx1"/>
            </w14:solidFill>
          </w14:textFill>
        </w:rPr>
        <w:t>方案</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1EA006F6">
      <w:pPr>
        <w:snapToGrid w:val="0"/>
        <w:spacing w:line="360" w:lineRule="auto"/>
        <w:ind w:firstLine="960" w:firstLineChars="400"/>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zh-CN" w:eastAsia="zh-CN"/>
          <w14:textFill>
            <w14:solidFill>
              <w14:schemeClr w14:val="tx1"/>
            </w14:solidFill>
          </w14:textFill>
        </w:rPr>
        <w:t>8-</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lang w:val="zh-CN" w:eastAsia="zh-CN"/>
          <w14:textFill>
            <w14:solidFill>
              <w14:schemeClr w14:val="tx1"/>
            </w14:solidFill>
          </w14:textFill>
        </w:rPr>
        <w:t>）拟派实施团队</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5667A22F">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zh-CN" w:eastAsia="zh-CN"/>
          <w14:textFill>
            <w14:solidFill>
              <w14:schemeClr w14:val="tx1"/>
            </w14:solidFill>
          </w14:textFill>
        </w:rPr>
        <w:t>8-</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质量保证措施</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3F821422">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zh-CN" w:eastAsia="zh-CN"/>
          <w14:textFill>
            <w14:solidFill>
              <w14:schemeClr w14:val="tx1"/>
            </w14:solidFill>
          </w14:textFill>
        </w:rPr>
        <w:t>8-</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）验收方案</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42A6DCE8">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zh-CN" w:eastAsia="zh-CN"/>
          <w14:textFill>
            <w14:solidFill>
              <w14:schemeClr w14:val="tx1"/>
            </w14:solidFill>
          </w14:textFill>
        </w:rPr>
        <w:t>8-</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保密方案</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06BC8D6E">
      <w:pPr>
        <w:snapToGrid w:val="0"/>
        <w:spacing w:line="360" w:lineRule="auto"/>
        <w:ind w:firstLine="960" w:firstLineChars="400"/>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zh-CN" w:eastAsia="zh-CN"/>
          <w14:textFill>
            <w14:solidFill>
              <w14:schemeClr w14:val="tx1"/>
            </w14:solidFill>
          </w14:textFill>
        </w:rPr>
        <w:t>8-</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文档管理方案；</w:t>
      </w:r>
    </w:p>
    <w:p w14:paraId="1D30654F">
      <w:pPr>
        <w:snapToGrid w:val="0"/>
        <w:spacing w:line="360" w:lineRule="auto"/>
        <w:ind w:firstLine="960" w:firstLineChars="400"/>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zh-CN" w:eastAsia="zh-CN"/>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技术支持方案</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6053D259">
      <w:pP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p>
    <w:p w14:paraId="29AB6050">
      <w:pPr>
        <w:rPr>
          <w:rFonts w:ascii="宋体" w:hAnsi="宋体" w:cs="宋体"/>
          <w:b/>
          <w:bCs/>
          <w:color w:val="000000" w:themeColor="text1"/>
          <w:sz w:val="24"/>
          <w:highlight w:val="none"/>
          <w14:textFill>
            <w14:solidFill>
              <w14:schemeClr w14:val="tx1"/>
            </w14:solidFill>
          </w14:textFill>
        </w:rPr>
      </w:pPr>
    </w:p>
    <w:p w14:paraId="4BDA37CC">
      <w:pPr>
        <w:jc w:val="center"/>
        <w:rPr>
          <w:b/>
          <w:bCs/>
          <w:color w:val="000000" w:themeColor="text1"/>
          <w:sz w:val="36"/>
          <w:szCs w:val="36"/>
          <w:highlight w:val="none"/>
          <w14:textFill>
            <w14:solidFill>
              <w14:schemeClr w14:val="tx1"/>
            </w14:solidFill>
          </w14:textFill>
        </w:rPr>
      </w:pPr>
      <w:bookmarkStart w:id="445" w:name="_Toc16712"/>
    </w:p>
    <w:p w14:paraId="26723B24">
      <w:pPr>
        <w:jc w:val="center"/>
        <w:rPr>
          <w:b/>
          <w:bCs/>
          <w:color w:val="000000" w:themeColor="text1"/>
          <w:sz w:val="36"/>
          <w:szCs w:val="36"/>
          <w:highlight w:val="none"/>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报价文件部分</w:t>
      </w:r>
      <w:bookmarkEnd w:id="445"/>
    </w:p>
    <w:p w14:paraId="795999E2">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bookmarkStart w:id="446" w:name="_Toc31513"/>
    </w:p>
    <w:bookmarkEnd w:id="446"/>
    <w:p w14:paraId="5D7ADA60">
      <w:pPr>
        <w:jc w:val="center"/>
        <w:rPr>
          <w:b/>
          <w:bCs/>
          <w:color w:val="000000" w:themeColor="text1"/>
          <w:sz w:val="30"/>
          <w:szCs w:val="30"/>
          <w:highlight w:val="none"/>
          <w14:textFill>
            <w14:solidFill>
              <w14:schemeClr w14:val="tx1"/>
            </w14:solidFill>
          </w14:textFill>
        </w:rPr>
      </w:pPr>
      <w:bookmarkStart w:id="447" w:name="_Toc21159"/>
      <w:r>
        <w:rPr>
          <w:rFonts w:hint="eastAsia"/>
          <w:b/>
          <w:bCs/>
          <w:color w:val="000000" w:themeColor="text1"/>
          <w:sz w:val="30"/>
          <w:szCs w:val="30"/>
          <w:highlight w:val="none"/>
          <w14:textFill>
            <w14:solidFill>
              <w14:schemeClr w14:val="tx1"/>
            </w14:solidFill>
          </w14:textFill>
        </w:rPr>
        <w:t>一、开标一览表</w:t>
      </w:r>
      <w:bookmarkEnd w:id="447"/>
    </w:p>
    <w:p w14:paraId="3B59FDD0">
      <w:pPr>
        <w:spacing w:after="120" w:afterLines="50" w:line="540" w:lineRule="exact"/>
        <w:ind w:right="25" w:rightChars="12"/>
        <w:rPr>
          <w:rFonts w:ascii="宋体" w:hAnsi="宋体" w:cs="宋体"/>
          <w:color w:val="000000" w:themeColor="text1"/>
          <w:sz w:val="24"/>
          <w:highlight w:val="none"/>
          <w14:textFill>
            <w14:solidFill>
              <w14:schemeClr w14:val="tx1"/>
            </w14:solidFill>
          </w14:textFill>
        </w:rPr>
      </w:pPr>
    </w:p>
    <w:tbl>
      <w:tblPr>
        <w:tblStyle w:val="6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3473"/>
        <w:gridCol w:w="4665"/>
      </w:tblGrid>
      <w:tr w14:paraId="4C01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17" w:type="pct"/>
            <w:vAlign w:val="center"/>
          </w:tcPr>
          <w:p w14:paraId="5892F89C">
            <w:pPr>
              <w:spacing w:line="500" w:lineRule="exact"/>
              <w:ind w:right="25" w:rightChars="12"/>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标项号</w:t>
            </w:r>
          </w:p>
        </w:tc>
        <w:tc>
          <w:tcPr>
            <w:tcW w:w="1870" w:type="pct"/>
            <w:vAlign w:val="center"/>
          </w:tcPr>
          <w:p w14:paraId="21D5D9FA">
            <w:pPr>
              <w:spacing w:line="500" w:lineRule="exact"/>
              <w:ind w:left="297" w:right="25" w:rightChars="12"/>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采购内容</w:t>
            </w:r>
          </w:p>
        </w:tc>
        <w:tc>
          <w:tcPr>
            <w:tcW w:w="2512" w:type="pct"/>
            <w:vAlign w:val="center"/>
          </w:tcPr>
          <w:p w14:paraId="5DE2451E">
            <w:pPr>
              <w:spacing w:line="500" w:lineRule="exact"/>
              <w:ind w:right="25" w:rightChars="12"/>
              <w:jc w:val="cente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w:t>
            </w:r>
            <w:r>
              <w:rPr>
                <w:rFonts w:hint="eastAsia" w:ascii="宋体" w:hAnsi="宋体" w:cs="宋体"/>
                <w:b/>
                <w:color w:val="000000" w:themeColor="text1"/>
                <w:sz w:val="24"/>
                <w:highlight w:val="none"/>
                <w:lang w:val="en-US" w:eastAsia="zh-CN"/>
                <w14:textFill>
                  <w14:solidFill>
                    <w14:schemeClr w14:val="tx1"/>
                  </w14:solidFill>
                </w14:textFill>
              </w:rPr>
              <w:t>报价（元）</w:t>
            </w:r>
          </w:p>
        </w:tc>
      </w:tr>
      <w:tr w14:paraId="4C0B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617" w:type="pct"/>
            <w:vAlign w:val="center"/>
          </w:tcPr>
          <w:p w14:paraId="282578B2">
            <w:pPr>
              <w:spacing w:line="500" w:lineRule="exact"/>
              <w:ind w:right="25" w:rightChars="12"/>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p>
        </w:tc>
        <w:tc>
          <w:tcPr>
            <w:tcW w:w="1870" w:type="pct"/>
            <w:vAlign w:val="center"/>
          </w:tcPr>
          <w:p w14:paraId="683F598B">
            <w:pPr>
              <w:spacing w:line="500" w:lineRule="exact"/>
              <w:ind w:right="25" w:rightChars="12"/>
              <w:jc w:val="center"/>
              <w:rPr>
                <w:rFonts w:hint="default" w:ascii="宋体" w:hAnsi="宋体" w:eastAsia="宋体" w:cs="宋体"/>
                <w:color w:val="000000" w:themeColor="text1"/>
                <w:sz w:val="24"/>
                <w:highlight w:val="none"/>
                <w:lang w:val="en-US" w:eastAsia="zh-CN"/>
                <w14:textFill>
                  <w14:solidFill>
                    <w14:schemeClr w14:val="tx1"/>
                  </w14:solidFill>
                </w14:textFill>
              </w:rPr>
            </w:pPr>
          </w:p>
        </w:tc>
        <w:tc>
          <w:tcPr>
            <w:tcW w:w="2512" w:type="pct"/>
            <w:vAlign w:val="center"/>
          </w:tcPr>
          <w:p w14:paraId="79F79287">
            <w:pPr>
              <w:spacing w:line="500" w:lineRule="exact"/>
              <w:ind w:right="25" w:rightChars="12"/>
              <w:jc w:val="center"/>
              <w:rPr>
                <w:rFonts w:ascii="宋体" w:hAnsi="宋体" w:cs="宋体"/>
                <w:color w:val="000000" w:themeColor="text1"/>
                <w:sz w:val="24"/>
                <w:highlight w:val="none"/>
                <w14:textFill>
                  <w14:solidFill>
                    <w14:schemeClr w14:val="tx1"/>
                  </w14:solidFill>
                </w14:textFill>
              </w:rPr>
            </w:pPr>
          </w:p>
        </w:tc>
      </w:tr>
    </w:tbl>
    <w:p w14:paraId="73F67F78">
      <w:pPr>
        <w:snapToGrid w:val="0"/>
        <w:spacing w:before="50" w:after="5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10B014AE">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 报价一经涂改，应在涂改处加盖单位公章或者由法定代表人或授权委托人签字或盖章，否则其投标作无效标处理。</w:t>
      </w:r>
    </w:p>
    <w:p w14:paraId="17166085">
      <w:pPr>
        <w:snapToGrid w:val="0"/>
        <w:spacing w:line="360" w:lineRule="auto"/>
        <w:ind w:left="-21" w:leftChars="-72" w:right="-817" w:rightChars="-389" w:hanging="130" w:hangingChars="62"/>
        <w:rPr>
          <w:rFonts w:ascii="宋体" w:hAnsi="宋体" w:cs="宋体"/>
          <w:color w:val="000000" w:themeColor="text1"/>
          <w:szCs w:val="21"/>
          <w:highlight w:val="none"/>
          <w14:textFill>
            <w14:solidFill>
              <w14:schemeClr w14:val="tx1"/>
            </w14:solidFill>
          </w14:textFill>
        </w:rPr>
      </w:pPr>
    </w:p>
    <w:p w14:paraId="0E0028E3">
      <w:pPr>
        <w:snapToGrid w:val="0"/>
        <w:spacing w:line="360" w:lineRule="auto"/>
        <w:ind w:left="-21" w:leftChars="-72" w:right="-817" w:rightChars="-389" w:hanging="130" w:hangingChars="62"/>
        <w:rPr>
          <w:rFonts w:ascii="宋体" w:hAnsi="宋体" w:cs="宋体"/>
          <w:color w:val="000000" w:themeColor="text1"/>
          <w:szCs w:val="21"/>
          <w:highlight w:val="none"/>
          <w14:textFill>
            <w14:solidFill>
              <w14:schemeClr w14:val="tx1"/>
            </w14:solidFill>
          </w14:textFill>
        </w:rPr>
      </w:pPr>
    </w:p>
    <w:p w14:paraId="122DD9C8">
      <w:pPr>
        <w:pStyle w:val="32"/>
        <w:tabs>
          <w:tab w:val="left" w:pos="2472"/>
        </w:tabs>
        <w:snapToGrid w:val="0"/>
        <w:spacing w:line="360" w:lineRule="auto"/>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投标人名称(电子签章):___________________</w:t>
      </w:r>
    </w:p>
    <w:p w14:paraId="30FF1CD7">
      <w:pPr>
        <w:pStyle w:val="32"/>
        <w:tabs>
          <w:tab w:val="left" w:pos="2472"/>
        </w:tabs>
        <w:snapToGrid w:val="0"/>
        <w:spacing w:line="360" w:lineRule="auto"/>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w:t>
      </w:r>
    </w:p>
    <w:p w14:paraId="6043941B">
      <w:pPr>
        <w:pStyle w:val="32"/>
        <w:snapToGrid w:val="0"/>
        <w:spacing w:before="295" w:after="29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日期:_____年___月___日</w:t>
      </w:r>
    </w:p>
    <w:p w14:paraId="7D08DE4C">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br w:type="page"/>
      </w:r>
    </w:p>
    <w:p w14:paraId="25C313BC">
      <w:pPr>
        <w:pStyle w:val="32"/>
        <w:snapToGrid w:val="0"/>
        <w:spacing w:before="295" w:after="295"/>
        <w:jc w:val="center"/>
        <w:rPr>
          <w:rFonts w:ascii="Times New Roman" w:hAnsi="Times New Roman" w:cs="Times New Roman"/>
          <w:b/>
          <w:bCs/>
          <w:snapToGrid/>
          <w:color w:val="000000" w:themeColor="text1"/>
          <w:sz w:val="30"/>
          <w:szCs w:val="30"/>
          <w:highlight w:val="none"/>
          <w14:textFill>
            <w14:solidFill>
              <w14:schemeClr w14:val="tx1"/>
            </w14:solidFill>
          </w14:textFill>
        </w:rPr>
      </w:pPr>
      <w:r>
        <w:rPr>
          <w:rFonts w:hint="eastAsia" w:ascii="Times New Roman" w:hAnsi="Times New Roman" w:cs="Times New Roman"/>
          <w:b/>
          <w:bCs/>
          <w:snapToGrid/>
          <w:color w:val="000000" w:themeColor="text1"/>
          <w:sz w:val="30"/>
          <w:szCs w:val="30"/>
          <w:highlight w:val="none"/>
          <w14:textFill>
            <w14:solidFill>
              <w14:schemeClr w14:val="tx1"/>
            </w14:solidFill>
          </w14:textFill>
        </w:rPr>
        <w:t>二、投标报价明细表</w:t>
      </w:r>
    </w:p>
    <w:p w14:paraId="2B63BFEC">
      <w:pPr>
        <w:pStyle w:val="32"/>
        <w:snapToGrid w:val="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金额单位：人民币（元）</w:t>
      </w:r>
    </w:p>
    <w:tbl>
      <w:tblPr>
        <w:tblStyle w:val="6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6"/>
        <w:gridCol w:w="2454"/>
        <w:gridCol w:w="1440"/>
        <w:gridCol w:w="1620"/>
        <w:gridCol w:w="1260"/>
        <w:gridCol w:w="1440"/>
      </w:tblGrid>
      <w:tr w14:paraId="74AB5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vAlign w:val="center"/>
          </w:tcPr>
          <w:p w14:paraId="3BB273C0">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454" w:type="dxa"/>
            <w:tcBorders>
              <w:top w:val="single" w:color="auto" w:sz="4" w:space="0"/>
              <w:left w:val="single" w:color="auto" w:sz="4" w:space="0"/>
              <w:bottom w:val="single" w:color="auto" w:sz="4" w:space="0"/>
              <w:right w:val="single" w:color="auto" w:sz="4" w:space="0"/>
            </w:tcBorders>
            <w:vAlign w:val="center"/>
          </w:tcPr>
          <w:p w14:paraId="7E9EB6AD">
            <w:pPr>
              <w:tabs>
                <w:tab w:val="left" w:pos="1418"/>
              </w:tabs>
              <w:snapToGrid w:val="0"/>
              <w:spacing w:before="50" w:after="5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内容</w:t>
            </w:r>
          </w:p>
        </w:tc>
        <w:tc>
          <w:tcPr>
            <w:tcW w:w="1440" w:type="dxa"/>
            <w:tcBorders>
              <w:top w:val="single" w:color="auto" w:sz="4" w:space="0"/>
              <w:left w:val="single" w:color="auto" w:sz="4" w:space="0"/>
              <w:bottom w:val="single" w:color="auto" w:sz="4" w:space="0"/>
              <w:right w:val="single" w:color="auto" w:sz="4" w:space="0"/>
            </w:tcBorders>
            <w:vAlign w:val="center"/>
          </w:tcPr>
          <w:p w14:paraId="4CFF824A">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单位及数量</w:t>
            </w:r>
          </w:p>
        </w:tc>
        <w:tc>
          <w:tcPr>
            <w:tcW w:w="1620" w:type="dxa"/>
            <w:tcBorders>
              <w:top w:val="single" w:color="auto" w:sz="4" w:space="0"/>
              <w:left w:val="single" w:color="auto" w:sz="4" w:space="0"/>
              <w:bottom w:val="single" w:color="auto" w:sz="4" w:space="0"/>
              <w:right w:val="single" w:color="auto" w:sz="4" w:space="0"/>
            </w:tcBorders>
            <w:vAlign w:val="center"/>
          </w:tcPr>
          <w:p w14:paraId="2FD00C1A">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单价</w:t>
            </w:r>
          </w:p>
        </w:tc>
        <w:tc>
          <w:tcPr>
            <w:tcW w:w="1260" w:type="dxa"/>
            <w:tcBorders>
              <w:top w:val="single" w:color="auto" w:sz="4" w:space="0"/>
              <w:left w:val="single" w:color="auto" w:sz="4" w:space="0"/>
              <w:bottom w:val="single" w:color="auto" w:sz="4" w:space="0"/>
              <w:right w:val="single" w:color="auto" w:sz="4" w:space="0"/>
            </w:tcBorders>
            <w:vAlign w:val="center"/>
          </w:tcPr>
          <w:p w14:paraId="4C020C4E">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金额</w:t>
            </w:r>
          </w:p>
        </w:tc>
        <w:tc>
          <w:tcPr>
            <w:tcW w:w="1440" w:type="dxa"/>
            <w:tcBorders>
              <w:top w:val="single" w:color="auto" w:sz="4" w:space="0"/>
              <w:left w:val="single" w:color="auto" w:sz="4" w:space="0"/>
              <w:bottom w:val="single" w:color="auto" w:sz="4" w:space="0"/>
              <w:right w:val="single" w:color="auto" w:sz="4" w:space="0"/>
            </w:tcBorders>
            <w:vAlign w:val="center"/>
          </w:tcPr>
          <w:p w14:paraId="0C723F14">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r>
              <w:rPr>
                <w:rFonts w:hint="eastAsia" w:ascii="宋体" w:hAnsi="宋体" w:cs="宋体"/>
                <w:color w:val="000000" w:themeColor="text1"/>
                <w:spacing w:val="20"/>
                <w:szCs w:val="21"/>
                <w:highlight w:val="none"/>
                <w14:textFill>
                  <w14:solidFill>
                    <w14:schemeClr w14:val="tx1"/>
                  </w14:solidFill>
                </w14:textFill>
              </w:rPr>
              <w:t>备注</w:t>
            </w:r>
          </w:p>
        </w:tc>
      </w:tr>
      <w:tr w14:paraId="1C724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tcPr>
          <w:p w14:paraId="00ECF5FA">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tcPr>
          <w:p w14:paraId="2DC439D6">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EAB4532">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6EB0CD79">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CA8AD46">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0C24F56">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r>
      <w:tr w14:paraId="5E0EF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tcPr>
          <w:p w14:paraId="023D11C9">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tcPr>
          <w:p w14:paraId="0904B503">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74763BE">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4A403BE2">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5AB7B37">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955DA1E">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r>
      <w:tr w14:paraId="288C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tcPr>
          <w:p w14:paraId="27FFCEA3">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tcPr>
          <w:p w14:paraId="27062E22">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82B8602">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73E5E855">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1FDE517">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F2764A3">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r>
      <w:tr w14:paraId="6D3B0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tcPr>
          <w:p w14:paraId="06E16D80">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tcPr>
          <w:p w14:paraId="6AC9F73A">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208E8C7">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4413D903">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73CD7464">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31E1C7D">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r>
      <w:tr w14:paraId="5718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tcPr>
          <w:p w14:paraId="1E3E8E7E">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tcPr>
          <w:p w14:paraId="3504AF56">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30C43E19">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1F8CB75C">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E9EFE13">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A15487F">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r>
      <w:tr w14:paraId="28835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tcPr>
          <w:p w14:paraId="546538E9">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tcPr>
          <w:p w14:paraId="75B13BD9">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B901036">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68285C11">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585D19D6">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58026BA">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r>
      <w:tr w14:paraId="6223C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tcPr>
          <w:p w14:paraId="4742E97F">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tcPr>
          <w:p w14:paraId="5BC84938">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31AC3FD">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0233CC9C">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76DCB2D9">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AAC6A9F">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r>
      <w:tr w14:paraId="7ABDB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786" w:type="dxa"/>
            <w:tcBorders>
              <w:top w:val="single" w:color="auto" w:sz="4" w:space="0"/>
              <w:left w:val="single" w:color="auto" w:sz="4" w:space="0"/>
              <w:bottom w:val="single" w:color="auto" w:sz="4" w:space="0"/>
              <w:right w:val="single" w:color="auto" w:sz="4" w:space="0"/>
            </w:tcBorders>
          </w:tcPr>
          <w:p w14:paraId="68682EC9">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tcPr>
          <w:p w14:paraId="3EB31D17">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1262754">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7200BFD1">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A1436E7">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0222194C">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r>
      <w:tr w14:paraId="6C996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0" w:type="dxa"/>
            <w:gridSpan w:val="5"/>
            <w:tcBorders>
              <w:top w:val="single" w:color="auto" w:sz="4" w:space="0"/>
              <w:left w:val="single" w:color="auto" w:sz="4" w:space="0"/>
              <w:bottom w:val="single" w:color="auto" w:sz="4" w:space="0"/>
              <w:right w:val="single" w:color="auto" w:sz="4" w:space="0"/>
            </w:tcBorders>
          </w:tcPr>
          <w:p w14:paraId="0C5A4DF9">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r>
              <w:rPr>
                <w:rFonts w:hint="eastAsia" w:ascii="宋体" w:hAnsi="宋体" w:cs="宋体"/>
                <w:color w:val="000000" w:themeColor="text1"/>
                <w:spacing w:val="20"/>
                <w:szCs w:val="21"/>
                <w:highlight w:val="none"/>
                <w14:textFill>
                  <w14:solidFill>
                    <w14:schemeClr w14:val="tx1"/>
                  </w14:solidFill>
                </w14:textFill>
              </w:rPr>
              <w:t>投标</w:t>
            </w:r>
            <w:r>
              <w:rPr>
                <w:rFonts w:hint="eastAsia" w:ascii="宋体" w:hAnsi="宋体" w:cs="宋体"/>
                <w:color w:val="000000" w:themeColor="text1"/>
                <w:spacing w:val="20"/>
                <w:szCs w:val="21"/>
                <w:highlight w:val="none"/>
                <w:lang w:val="en-US" w:eastAsia="zh-CN"/>
                <w14:textFill>
                  <w14:solidFill>
                    <w14:schemeClr w14:val="tx1"/>
                  </w14:solidFill>
                </w14:textFill>
              </w:rPr>
              <w:t>报价</w:t>
            </w:r>
            <w:r>
              <w:rPr>
                <w:rFonts w:hint="eastAsia" w:ascii="宋体" w:hAnsi="宋体" w:cs="Arial"/>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元</w:t>
            </w:r>
            <w:r>
              <w:rPr>
                <w:rFonts w:hint="eastAsia" w:ascii="宋体" w:hAnsi="宋体" w:cs="Arial"/>
                <w:bCs/>
                <w:color w:val="000000" w:themeColor="text1"/>
                <w:sz w:val="24"/>
                <w:highlight w:val="none"/>
                <w14:textFill>
                  <w14:solidFill>
                    <w14:schemeClr w14:val="tx1"/>
                  </w14:solidFill>
                </w14:textFill>
              </w:rPr>
              <w:t>）</w:t>
            </w:r>
          </w:p>
        </w:tc>
        <w:tc>
          <w:tcPr>
            <w:tcW w:w="1440" w:type="dxa"/>
            <w:tcBorders>
              <w:top w:val="single" w:color="auto" w:sz="4" w:space="0"/>
              <w:left w:val="single" w:color="auto" w:sz="4" w:space="0"/>
              <w:bottom w:val="single" w:color="auto" w:sz="4" w:space="0"/>
              <w:right w:val="single" w:color="auto" w:sz="4" w:space="0"/>
            </w:tcBorders>
          </w:tcPr>
          <w:p w14:paraId="67407C41">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r>
    </w:tbl>
    <w:p w14:paraId="2FECA565">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p>
    <w:p w14:paraId="183C944B">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p>
    <w:p w14:paraId="297AC33B">
      <w:pPr>
        <w:tabs>
          <w:tab w:val="left" w:pos="1418"/>
        </w:tabs>
        <w:snapToGrid w:val="0"/>
        <w:spacing w:before="50" w:after="50"/>
        <w:ind w:left="1418" w:hanging="567"/>
        <w:jc w:val="center"/>
        <w:rPr>
          <w:rFonts w:ascii="宋体" w:hAnsi="宋体" w:cs="宋体"/>
          <w:color w:val="000000" w:themeColor="text1"/>
          <w:spacing w:val="20"/>
          <w:szCs w:val="21"/>
          <w:highlight w:val="none"/>
          <w:u w:val="single"/>
          <w14:textFill>
            <w14:solidFill>
              <w14:schemeClr w14:val="tx1"/>
            </w14:solidFill>
          </w14:textFill>
        </w:rPr>
      </w:pPr>
    </w:p>
    <w:p w14:paraId="1799EAEA">
      <w:pPr>
        <w:pStyle w:val="32"/>
        <w:tabs>
          <w:tab w:val="left" w:pos="2472"/>
        </w:tabs>
        <w:snapToGrid w:val="0"/>
        <w:spacing w:line="360" w:lineRule="auto"/>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投标人名称(电子签章):___________________</w:t>
      </w:r>
    </w:p>
    <w:p w14:paraId="317AD6E2">
      <w:pPr>
        <w:pStyle w:val="32"/>
        <w:tabs>
          <w:tab w:val="left" w:pos="2472"/>
        </w:tabs>
        <w:snapToGrid w:val="0"/>
        <w:spacing w:line="360" w:lineRule="auto"/>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w:t>
      </w:r>
    </w:p>
    <w:p w14:paraId="6CAA265A">
      <w:pPr>
        <w:snapToGrid w:val="0"/>
        <w:spacing w:before="50" w:after="50"/>
        <w:rPr>
          <w:rFonts w:ascii="宋体" w:hAnsi="宋体" w:cs="宋体"/>
          <w:color w:val="000000" w:themeColor="text1"/>
          <w:spacing w:val="20"/>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日期:_____年___月___日</w:t>
      </w:r>
    </w:p>
    <w:p w14:paraId="3C76E254">
      <w:pPr>
        <w:pStyle w:val="32"/>
        <w:snapToGrid w:val="0"/>
        <w:spacing w:before="295" w:after="295"/>
        <w:rPr>
          <w:rFonts w:hAnsi="宋体" w:cs="宋体"/>
          <w:color w:val="000000" w:themeColor="text1"/>
          <w:highlight w:val="none"/>
          <w14:textFill>
            <w14:solidFill>
              <w14:schemeClr w14:val="tx1"/>
            </w14:solidFill>
          </w14:textFill>
        </w:rPr>
      </w:pPr>
    </w:p>
    <w:p w14:paraId="540F2A8B">
      <w:pPr>
        <w:pStyle w:val="62"/>
        <w:rPr>
          <w:color w:val="000000" w:themeColor="text1"/>
          <w:highlight w:val="none"/>
          <w14:textFill>
            <w14:solidFill>
              <w14:schemeClr w14:val="tx1"/>
            </w14:solidFill>
          </w14:textFill>
        </w:rPr>
      </w:pPr>
    </w:p>
    <w:p w14:paraId="653B4DD2">
      <w:pPr>
        <w:snapToGrid w:val="0"/>
        <w:spacing w:line="360" w:lineRule="auto"/>
        <w:rPr>
          <w:rFonts w:ascii="宋体" w:hAnsi="宋体" w:cs="宋体"/>
          <w:color w:val="000000" w:themeColor="text1"/>
          <w:sz w:val="24"/>
          <w:highlight w:val="none"/>
          <w14:textFill>
            <w14:solidFill>
              <w14:schemeClr w14:val="tx1"/>
            </w14:solidFill>
          </w14:textFill>
        </w:rPr>
      </w:pPr>
    </w:p>
    <w:p w14:paraId="2383DD41">
      <w:pPr>
        <w:rPr>
          <w:rFonts w:ascii="宋体" w:hAnsi="宋体" w:cs="宋体"/>
          <w:color w:val="000000" w:themeColor="text1"/>
          <w:sz w:val="32"/>
          <w:szCs w:val="32"/>
          <w:highlight w:val="none"/>
          <w14:textFill>
            <w14:solidFill>
              <w14:schemeClr w14:val="tx1"/>
            </w14:solidFill>
          </w14:textFill>
        </w:rPr>
      </w:pPr>
      <w:r>
        <w:rPr>
          <w:rFonts w:ascii="宋体" w:hAnsi="宋体" w:cs="宋体"/>
          <w:color w:val="000000" w:themeColor="text1"/>
          <w:sz w:val="32"/>
          <w:szCs w:val="32"/>
          <w:highlight w:val="none"/>
          <w14:textFill>
            <w14:solidFill>
              <w14:schemeClr w14:val="tx1"/>
            </w14:solidFill>
          </w14:textFill>
        </w:rPr>
        <w:br w:type="page"/>
      </w:r>
    </w:p>
    <w:p w14:paraId="6B3F81AB">
      <w:pPr>
        <w:pStyle w:val="695"/>
        <w:ind w:firstLine="0"/>
        <w:jc w:val="center"/>
        <w:rPr>
          <w:b/>
          <w:bCs/>
          <w:color w:val="000000" w:themeColor="text1"/>
          <w:sz w:val="32"/>
          <w:szCs w:val="32"/>
          <w:highlight w:val="none"/>
          <w14:textFill>
            <w14:solidFill>
              <w14:schemeClr w14:val="tx1"/>
            </w14:solidFill>
          </w14:textFill>
        </w:rPr>
      </w:pPr>
      <w:bookmarkStart w:id="448" w:name="_Toc8239"/>
      <w:r>
        <w:rPr>
          <w:rFonts w:hint="eastAsia"/>
          <w:b/>
          <w:bCs/>
          <w:color w:val="000000" w:themeColor="text1"/>
          <w:sz w:val="32"/>
          <w:szCs w:val="32"/>
          <w:highlight w:val="none"/>
          <w:lang w:val="en-US" w:eastAsia="zh-CN"/>
          <w14:textFill>
            <w14:solidFill>
              <w14:schemeClr w14:val="tx1"/>
            </w14:solidFill>
          </w14:textFill>
        </w:rPr>
        <w:t>三</w:t>
      </w:r>
      <w:r>
        <w:rPr>
          <w:rFonts w:hint="eastAsia"/>
          <w:b/>
          <w:bCs/>
          <w:color w:val="000000" w:themeColor="text1"/>
          <w:sz w:val="32"/>
          <w:szCs w:val="32"/>
          <w:highlight w:val="none"/>
          <w14:textFill>
            <w14:solidFill>
              <w14:schemeClr w14:val="tx1"/>
            </w14:solidFill>
          </w14:textFill>
        </w:rPr>
        <w:t>、中小企业声明函</w:t>
      </w:r>
      <w:bookmarkStart w:id="449" w:name="_Hlk101259491"/>
      <w:r>
        <w:rPr>
          <w:rFonts w:hint="eastAsia"/>
          <w:b/>
          <w:bCs/>
          <w:color w:val="000000" w:themeColor="text1"/>
          <w:sz w:val="32"/>
          <w:szCs w:val="32"/>
          <w:highlight w:val="none"/>
          <w14:textFill>
            <w14:solidFill>
              <w14:schemeClr w14:val="tx1"/>
            </w14:solidFill>
          </w14:textFill>
        </w:rPr>
        <w:t>（如果有）</w:t>
      </w:r>
      <w:bookmarkEnd w:id="448"/>
      <w:bookmarkEnd w:id="449"/>
    </w:p>
    <w:p w14:paraId="5BD5F1E2">
      <w:pPr>
        <w:pStyle w:val="695"/>
        <w:ind w:firstLine="0"/>
        <w:jc w:val="both"/>
        <w:rPr>
          <w:b/>
          <w:bCs/>
          <w:color w:val="000000" w:themeColor="text1"/>
          <w:sz w:val="32"/>
          <w:szCs w:val="32"/>
          <w:highlight w:val="none"/>
          <w14:textFill>
            <w14:solidFill>
              <w14:schemeClr w14:val="tx1"/>
            </w14:solidFill>
          </w14:textFill>
        </w:rPr>
      </w:pPr>
    </w:p>
    <w:p w14:paraId="0AF14625">
      <w:pPr>
        <w:widowControl/>
        <w:spacing w:line="360" w:lineRule="auto"/>
        <w:ind w:firstLine="120" w:firstLineChars="5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招标公告落实政府采购政策需满足的资格要求为“无”即本项目或标项未预留份额专门面向中小企业时，符合《政府采购促进中小企业发展管理办法》规定的小微企业拟享受价格扣除政策的，需提供中小企业声明函（详见附件）。]</w:t>
      </w:r>
    </w:p>
    <w:p w14:paraId="4FB4DF04">
      <w:pPr>
        <w:pStyle w:val="693"/>
        <w:keepNext w:val="0"/>
        <w:pageBreakBefore w:val="0"/>
        <w:tabs>
          <w:tab w:val="clear" w:pos="720"/>
        </w:tabs>
        <w:snapToGrid w:val="0"/>
        <w:ind w:firstLine="643"/>
        <w:outlineLvl w:val="9"/>
        <w:rPr>
          <w:rFonts w:ascii="宋体" w:hAnsi="宋体" w:eastAsia="宋体" w:cs="宋体"/>
          <w:b w:val="0"/>
          <w:color w:val="000000" w:themeColor="text1"/>
          <w:sz w:val="32"/>
          <w:szCs w:val="32"/>
          <w:highlight w:val="none"/>
          <w14:textFill>
            <w14:solidFill>
              <w14:schemeClr w14:val="tx1"/>
            </w14:solidFill>
          </w14:textFill>
        </w:rPr>
      </w:pPr>
    </w:p>
    <w:p w14:paraId="059A9CAD">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27C2621C">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6729DC35">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3E0697E8">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4827439E">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716E8A3A">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2F633A5D">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3A594333">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2E9FCEF0">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3D3B46C4">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4C4D810B">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27E44E05">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15B260C5">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312774A0">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4BC85387">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7C9FE3E5">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2BCB216A">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7DED81B0">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36961103">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lang w:val="en-US" w:eastAsia="zh-CN"/>
          <w14:textFill>
            <w14:solidFill>
              <w14:schemeClr w14:val="tx1"/>
            </w14:solidFill>
          </w14:textFill>
        </w:rPr>
        <w:t>四</w:t>
      </w:r>
      <w:r>
        <w:rPr>
          <w:rFonts w:hint="eastAsia" w:ascii="宋体" w:hAnsi="宋体" w:cs="宋体"/>
          <w:b/>
          <w:color w:val="000000" w:themeColor="text1"/>
          <w:spacing w:val="6"/>
          <w:sz w:val="32"/>
          <w:szCs w:val="32"/>
          <w:highlight w:val="none"/>
          <w14:textFill>
            <w14:solidFill>
              <w14:schemeClr w14:val="tx1"/>
            </w14:solidFill>
          </w14:textFill>
        </w:rPr>
        <w:t>、残疾人福利性单位声明函</w:t>
      </w:r>
      <w:r>
        <w:rPr>
          <w:rFonts w:hint="eastAsia"/>
          <w:b/>
          <w:bCs/>
          <w:color w:val="000000" w:themeColor="text1"/>
          <w:sz w:val="32"/>
          <w:szCs w:val="32"/>
          <w:highlight w:val="none"/>
          <w14:textFill>
            <w14:solidFill>
              <w14:schemeClr w14:val="tx1"/>
            </w14:solidFill>
          </w14:textFill>
        </w:rPr>
        <w:t>（如果有）</w:t>
      </w:r>
    </w:p>
    <w:p w14:paraId="63875335">
      <w:pPr>
        <w:spacing w:line="360" w:lineRule="auto"/>
        <w:rPr>
          <w:rFonts w:ascii="宋体" w:hAnsi="宋体" w:cs="宋体"/>
          <w:b/>
          <w:color w:val="000000" w:themeColor="text1"/>
          <w:spacing w:val="6"/>
          <w:sz w:val="30"/>
          <w:szCs w:val="30"/>
          <w:highlight w:val="none"/>
          <w14:textFill>
            <w14:solidFill>
              <w14:schemeClr w14:val="tx1"/>
            </w14:solidFill>
          </w14:textFill>
        </w:rPr>
      </w:pPr>
    </w:p>
    <w:p w14:paraId="6276A31F">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bookmarkStart w:id="450" w:name="OLE_LINK13"/>
      <w:bookmarkStart w:id="451" w:name="OLE_LINK14"/>
      <w:r>
        <w:rPr>
          <w:rFonts w:hint="eastAsia" w:ascii="宋体" w:hAnsi="宋体" w:cs="宋体"/>
          <w:b/>
          <w:color w:val="000000" w:themeColor="text1"/>
          <w:spacing w:val="6"/>
          <w:sz w:val="32"/>
          <w:szCs w:val="32"/>
          <w:highlight w:val="none"/>
          <w14:textFill>
            <w14:solidFill>
              <w14:schemeClr w14:val="tx1"/>
            </w14:solidFill>
          </w14:textFill>
        </w:rPr>
        <w:t>残疾人福利性单位声明函</w:t>
      </w:r>
    </w:p>
    <w:bookmarkEnd w:id="450"/>
    <w:bookmarkEnd w:id="451"/>
    <w:p w14:paraId="125BDF32">
      <w:pPr>
        <w:spacing w:line="360" w:lineRule="auto"/>
        <w:rPr>
          <w:rFonts w:ascii="宋体" w:hAnsi="宋体" w:cs="宋体"/>
          <w:b/>
          <w:color w:val="000000" w:themeColor="text1"/>
          <w:spacing w:val="6"/>
          <w:sz w:val="30"/>
          <w:szCs w:val="30"/>
          <w:highlight w:val="none"/>
          <w14:textFill>
            <w14:solidFill>
              <w14:schemeClr w14:val="tx1"/>
            </w14:solidFill>
          </w14:textFill>
        </w:rPr>
      </w:pPr>
    </w:p>
    <w:p w14:paraId="7F0AD79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000000" w:themeColor="text1"/>
          <w:sz w:val="24"/>
          <w:highlight w:val="none"/>
          <w:u w:val="single"/>
          <w:lang w:eastAsia="zh-CN"/>
          <w14:textFill>
            <w14:solidFill>
              <w14:schemeClr w14:val="tx1"/>
            </w14:solidFill>
          </w14:textFill>
        </w:rPr>
        <w:t>宁波市北仑区人民医院</w:t>
      </w:r>
      <w:r>
        <w:rPr>
          <w:rFonts w:hint="eastAsia" w:ascii="宋体" w:hAnsi="宋体" w:cs="宋体"/>
          <w:color w:val="000000" w:themeColor="text1"/>
          <w:sz w:val="24"/>
          <w:highlight w:val="none"/>
          <w14:textFill>
            <w14:solidFill>
              <w14:schemeClr w14:val="tx1"/>
            </w14:solidFill>
          </w14:textFill>
        </w:rPr>
        <w:t>单位的</w:t>
      </w:r>
      <w:r>
        <w:rPr>
          <w:rFonts w:hint="eastAsia" w:ascii="宋体" w:hAnsi="宋体" w:cs="宋体"/>
          <w:color w:val="000000" w:themeColor="text1"/>
          <w:sz w:val="24"/>
          <w:highlight w:val="none"/>
          <w:u w:val="single"/>
          <w:lang w:eastAsia="zh-CN"/>
          <w14:textFill>
            <w14:solidFill>
              <w14:schemeClr w14:val="tx1"/>
            </w14:solidFill>
          </w14:textFill>
        </w:rPr>
        <w:t>宁波市北仑区人民医院应急医疗救治中心核医学系统采购项目（</w:t>
      </w:r>
      <w:r>
        <w:rPr>
          <w:rFonts w:hint="eastAsia" w:ascii="宋体" w:hAnsi="宋体" w:cs="宋体"/>
          <w:color w:val="000000" w:themeColor="text1"/>
          <w:sz w:val="24"/>
          <w:highlight w:val="none"/>
          <w:u w:val="single"/>
          <w:lang w:val="en-US" w:eastAsia="zh-CN"/>
          <w14:textFill>
            <w14:solidFill>
              <w14:schemeClr w14:val="tx1"/>
            </w14:solidFill>
          </w14:textFill>
        </w:rPr>
        <w:t>项目编号：CBNB-20261132-BL018G</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11B7F01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本单位对上述声明的真实性负责。如有虚假，将依法承担相应责任。</w:t>
      </w:r>
    </w:p>
    <w:p w14:paraId="0D981981">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5A73C4B">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42434024">
      <w:pPr>
        <w:tabs>
          <w:tab w:val="left" w:pos="4860"/>
        </w:tabs>
        <w:spacing w:line="360" w:lineRule="auto"/>
        <w:ind w:right="1560"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14:textFill>
            <w14:solidFill>
              <w14:schemeClr w14:val="tx1"/>
            </w14:solidFill>
          </w14:textFill>
        </w:rPr>
        <w:t>电子盖章</w:t>
      </w:r>
      <w:r>
        <w:rPr>
          <w:rFonts w:hint="eastAsia" w:ascii="宋体" w:hAnsi="宋体" w:cs="宋体"/>
          <w:color w:val="000000" w:themeColor="text1"/>
          <w:kern w:val="0"/>
          <w:sz w:val="24"/>
          <w:highlight w:val="none"/>
          <w:lang w:val="zh-CN"/>
          <w14:textFill>
            <w14:solidFill>
              <w14:schemeClr w14:val="tx1"/>
            </w14:solidFill>
          </w14:textFill>
        </w:rPr>
        <w:t>）：</w:t>
      </w:r>
    </w:p>
    <w:p w14:paraId="180905E2">
      <w:pPr>
        <w:tabs>
          <w:tab w:val="left" w:pos="4860"/>
        </w:tabs>
        <w:spacing w:line="360" w:lineRule="auto"/>
        <w:ind w:right="1560"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  期：</w:t>
      </w:r>
    </w:p>
    <w:p w14:paraId="762AFEA9">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40E90F70">
      <w:pPr>
        <w:spacing w:line="360" w:lineRule="auto"/>
        <w:ind w:firstLine="360" w:firstLineChars="200"/>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备注：享受政府采购支持政策的残疾人福利性单位应当同时满足以下条件：</w:t>
      </w:r>
    </w:p>
    <w:p w14:paraId="1CBCC1DC">
      <w:pPr>
        <w:spacing w:line="360" w:lineRule="auto"/>
        <w:ind w:firstLine="360" w:firstLineChars="200"/>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（一）安置的残疾人占本单位在职职工人数的比例不低于25%（含25%），并且安置的残疾人人数不少于10人（含10人）；</w:t>
      </w:r>
    </w:p>
    <w:p w14:paraId="6736AB0A">
      <w:pPr>
        <w:spacing w:line="360" w:lineRule="auto"/>
        <w:ind w:firstLine="360" w:firstLineChars="200"/>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（二）依法与安置的每位残疾人签订了一年以上（含一年）的劳动合同或服务协议；</w:t>
      </w:r>
    </w:p>
    <w:p w14:paraId="667092EB">
      <w:pPr>
        <w:spacing w:line="360" w:lineRule="auto"/>
        <w:ind w:firstLine="360" w:firstLineChars="200"/>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（三）为安置的每位残疾人按月足额缴纳了基本养老保险、基本医疗保险、失业保险、工伤保险和生育保险等社会保险费；</w:t>
      </w:r>
    </w:p>
    <w:p w14:paraId="78BA3492">
      <w:pPr>
        <w:spacing w:line="360" w:lineRule="auto"/>
        <w:ind w:firstLine="360" w:firstLineChars="200"/>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（四）通过银行等金融机构向安置的每位残疾人，按月支付了不低于单位所在区县适用的经省级人民政府批准的月最低工资标准的工资；</w:t>
      </w:r>
    </w:p>
    <w:p w14:paraId="25DF87B9">
      <w:pPr>
        <w:spacing w:line="360" w:lineRule="auto"/>
        <w:ind w:firstLine="360" w:firstLineChars="200"/>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14:paraId="2DBBC76C">
      <w:pPr>
        <w:pStyle w:val="693"/>
        <w:keepNext w:val="0"/>
        <w:pageBreakBefore w:val="0"/>
        <w:tabs>
          <w:tab w:val="clear" w:pos="720"/>
        </w:tabs>
        <w:adjustRightInd/>
        <w:jc w:val="both"/>
        <w:outlineLvl w:val="9"/>
        <w:rPr>
          <w:rFonts w:ascii="宋体" w:hAnsi="宋体" w:eastAsia="宋体" w:cs="宋体"/>
          <w:bCs/>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54C3AD9">
      <w:pPr>
        <w:pStyle w:val="693"/>
        <w:keepNext w:val="0"/>
        <w:pageBreakBefore w:val="0"/>
        <w:tabs>
          <w:tab w:val="clear" w:pos="720"/>
        </w:tabs>
        <w:snapToGrid w:val="0"/>
        <w:spacing w:before="120" w:after="120"/>
        <w:jc w:val="left"/>
        <w:outlineLvl w:val="9"/>
        <w:rPr>
          <w:rFonts w:ascii="宋体" w:hAnsi="宋体" w:eastAsia="宋体" w:cs="宋体"/>
          <w:b w:val="0"/>
          <w:color w:val="000000" w:themeColor="text1"/>
          <w:kern w:val="0"/>
          <w:sz w:val="24"/>
          <w:szCs w:val="24"/>
          <w:highlight w:val="none"/>
          <w:lang w:val="zh-CN"/>
          <w14:textFill>
            <w14:solidFill>
              <w14:schemeClr w14:val="tx1"/>
            </w14:solidFill>
          </w14:textFill>
        </w:rPr>
      </w:pPr>
    </w:p>
    <w:p w14:paraId="1E926B59">
      <w:pPr>
        <w:pStyle w:val="693"/>
        <w:keepNext w:val="0"/>
        <w:pageBreakBefore w:val="0"/>
        <w:tabs>
          <w:tab w:val="clear" w:pos="720"/>
        </w:tabs>
        <w:snapToGrid w:val="0"/>
        <w:spacing w:before="120" w:after="120"/>
        <w:jc w:val="left"/>
        <w:outlineLvl w:val="9"/>
        <w:rPr>
          <w:rFonts w:ascii="宋体" w:hAnsi="宋体" w:eastAsia="宋体" w:cs="宋体"/>
          <w:b w:val="0"/>
          <w:color w:val="000000" w:themeColor="text1"/>
          <w:kern w:val="0"/>
          <w:sz w:val="24"/>
          <w:szCs w:val="24"/>
          <w:highlight w:val="none"/>
          <w:lang w:val="zh-CN"/>
          <w14:textFill>
            <w14:solidFill>
              <w14:schemeClr w14:val="tx1"/>
            </w14:solidFill>
          </w14:textFill>
        </w:rPr>
      </w:pPr>
    </w:p>
    <w:p w14:paraId="1913AF40">
      <w:pPr>
        <w:spacing w:line="360" w:lineRule="auto"/>
        <w:jc w:val="center"/>
        <w:rPr>
          <w:rFonts w:hint="eastAsia" w:ascii="宋体" w:hAnsi="宋体" w:eastAsia="宋体" w:cs="宋体"/>
          <w:b/>
          <w:color w:val="000000" w:themeColor="text1"/>
          <w:spacing w:val="6"/>
          <w:sz w:val="32"/>
          <w:szCs w:val="32"/>
          <w:highlight w:val="none"/>
          <w14:textFill>
            <w14:solidFill>
              <w14:schemeClr w14:val="tx1"/>
            </w14:solidFill>
          </w14:textFill>
        </w:rPr>
      </w:pPr>
      <w:r>
        <w:rPr>
          <w:rFonts w:hint="eastAsia" w:ascii="宋体" w:hAnsi="宋体" w:eastAsia="宋体" w:cs="宋体"/>
          <w:b/>
          <w:color w:val="000000" w:themeColor="text1"/>
          <w:spacing w:val="6"/>
          <w:sz w:val="32"/>
          <w:szCs w:val="32"/>
          <w:highlight w:val="none"/>
          <w:lang w:val="en-US" w:eastAsia="zh-CN"/>
          <w14:textFill>
            <w14:solidFill>
              <w14:schemeClr w14:val="tx1"/>
            </w14:solidFill>
          </w14:textFill>
        </w:rPr>
        <w:t>五</w:t>
      </w:r>
      <w:r>
        <w:rPr>
          <w:rFonts w:hint="eastAsia" w:ascii="宋体" w:hAnsi="宋体" w:eastAsia="宋体" w:cs="宋体"/>
          <w:b/>
          <w:color w:val="000000" w:themeColor="text1"/>
          <w:spacing w:val="6"/>
          <w:sz w:val="32"/>
          <w:szCs w:val="32"/>
          <w:highlight w:val="none"/>
          <w14:textFill>
            <w14:solidFill>
              <w14:schemeClr w14:val="tx1"/>
            </w14:solidFill>
          </w14:textFill>
        </w:rPr>
        <w:t>、由省级以上监狱管理局、戒毒管理局（含新疆生产建设兵团）出具的属于监狱企业的证明文件（如果有）</w:t>
      </w:r>
    </w:p>
    <w:p w14:paraId="05001FDE">
      <w:pPr>
        <w:spacing w:line="360" w:lineRule="auto"/>
        <w:ind w:right="420"/>
        <w:jc w:val="center"/>
        <w:rPr>
          <w:rFonts w:ascii="宋体" w:hAnsi="宋体" w:cs="宋体"/>
          <w:b/>
          <w:color w:val="000000" w:themeColor="text1"/>
          <w:kern w:val="0"/>
          <w:sz w:val="36"/>
          <w:szCs w:val="36"/>
          <w:highlight w:val="none"/>
          <w14:textFill>
            <w14:solidFill>
              <w14:schemeClr w14:val="tx1"/>
            </w14:solidFill>
          </w14:textFill>
        </w:rPr>
      </w:pPr>
    </w:p>
    <w:p w14:paraId="13971AD0">
      <w:pPr>
        <w:spacing w:line="360" w:lineRule="auto"/>
        <w:ind w:right="420"/>
        <w:jc w:val="center"/>
        <w:rPr>
          <w:rFonts w:ascii="宋体" w:hAnsi="宋体" w:cs="宋体"/>
          <w:b/>
          <w:color w:val="000000" w:themeColor="text1"/>
          <w:kern w:val="0"/>
          <w:sz w:val="36"/>
          <w:szCs w:val="36"/>
          <w:highlight w:val="none"/>
          <w14:textFill>
            <w14:solidFill>
              <w14:schemeClr w14:val="tx1"/>
            </w14:solidFill>
          </w14:textFill>
        </w:rPr>
      </w:pPr>
    </w:p>
    <w:p w14:paraId="3F68F7DB">
      <w:pPr>
        <w:pStyle w:val="693"/>
        <w:keepNext w:val="0"/>
        <w:pageBreakBefore w:val="0"/>
        <w:tabs>
          <w:tab w:val="clear" w:pos="720"/>
        </w:tabs>
        <w:snapToGrid w:val="0"/>
        <w:spacing w:before="120" w:after="120"/>
        <w:ind w:firstLine="643"/>
        <w:jc w:val="both"/>
        <w:outlineLvl w:val="9"/>
        <w:rPr>
          <w:rFonts w:ascii="宋体" w:hAnsi="宋体" w:eastAsia="宋体" w:cs="宋体"/>
          <w:color w:val="000000" w:themeColor="text1"/>
          <w:kern w:val="2"/>
          <w:sz w:val="32"/>
          <w:szCs w:val="32"/>
          <w:highlight w:val="none"/>
          <w14:textFill>
            <w14:solidFill>
              <w14:schemeClr w14:val="tx1"/>
            </w14:solidFill>
          </w14:textFill>
        </w:rPr>
        <w:sectPr>
          <w:headerReference r:id="rId10" w:type="first"/>
          <w:footerReference r:id="rId12" w:type="first"/>
          <w:headerReference r:id="rId9" w:type="default"/>
          <w:footerReference r:id="rId11" w:type="default"/>
          <w:pgSz w:w="11905" w:h="16838"/>
          <w:pgMar w:top="1474" w:right="1417" w:bottom="1247" w:left="1417" w:header="851" w:footer="850" w:gutter="0"/>
          <w:pgBorders>
            <w:top w:val="none" w:sz="0" w:space="0"/>
            <w:left w:val="none" w:sz="0" w:space="0"/>
            <w:bottom w:val="none" w:sz="0" w:space="0"/>
            <w:right w:val="none" w:sz="0" w:space="0"/>
          </w:pgBorders>
          <w:cols w:space="0" w:num="1"/>
          <w:rtlGutter w:val="0"/>
          <w:docGrid w:linePitch="312" w:charSpace="0"/>
        </w:sectPr>
      </w:pPr>
    </w:p>
    <w:p w14:paraId="3191CB57">
      <w:pPr>
        <w:jc w:val="center"/>
        <w:rPr>
          <w:b/>
          <w:bCs/>
          <w:color w:val="000000" w:themeColor="text1"/>
          <w:sz w:val="44"/>
          <w:szCs w:val="44"/>
          <w:highlight w:val="none"/>
          <w14:textFill>
            <w14:solidFill>
              <w14:schemeClr w14:val="tx1"/>
            </w14:solidFill>
          </w14:textFill>
        </w:rPr>
      </w:pPr>
      <w:bookmarkStart w:id="452" w:name="_Toc20847"/>
      <w:bookmarkStart w:id="453" w:name="_Toc465665161"/>
      <w:r>
        <w:rPr>
          <w:rFonts w:hint="eastAsia"/>
          <w:b/>
          <w:bCs/>
          <w:color w:val="000000" w:themeColor="text1"/>
          <w:sz w:val="44"/>
          <w:szCs w:val="44"/>
          <w:highlight w:val="none"/>
          <w14:textFill>
            <w14:solidFill>
              <w14:schemeClr w14:val="tx1"/>
            </w14:solidFill>
          </w14:textFill>
        </w:rPr>
        <w:t>附件</w:t>
      </w:r>
      <w:bookmarkEnd w:id="452"/>
      <w:bookmarkEnd w:id="453"/>
    </w:p>
    <w:p w14:paraId="40C6F4EA">
      <w:pPr>
        <w:spacing w:line="360" w:lineRule="auto"/>
        <w:rPr>
          <w:rFonts w:ascii="宋体" w:hAnsi="宋体" w:cs="宋体"/>
          <w:b/>
          <w:color w:val="000000" w:themeColor="text1"/>
          <w:spacing w:val="6"/>
          <w:sz w:val="32"/>
          <w:szCs w:val="32"/>
          <w:highlight w:val="none"/>
          <w14:textFill>
            <w14:solidFill>
              <w14:schemeClr w14:val="tx1"/>
            </w14:solidFill>
          </w14:textFill>
        </w:rPr>
      </w:pPr>
    </w:p>
    <w:p w14:paraId="3474B320">
      <w:pPr>
        <w:spacing w:line="360" w:lineRule="auto"/>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附件1：</w:t>
      </w:r>
    </w:p>
    <w:p w14:paraId="35219268">
      <w:pPr>
        <w:autoSpaceDE w:val="0"/>
        <w:autoSpaceDN w:val="0"/>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业务专用章使用说明函</w:t>
      </w:r>
    </w:p>
    <w:p w14:paraId="2AFAF053">
      <w:pPr>
        <w:spacing w:line="360" w:lineRule="auto"/>
        <w:rPr>
          <w:rFonts w:ascii="宋体" w:hAnsi="宋体" w:cs="宋体"/>
          <w:color w:val="000000" w:themeColor="text1"/>
          <w:sz w:val="24"/>
          <w:highlight w:val="none"/>
          <w:u w:val="single"/>
          <w14:textFill>
            <w14:solidFill>
              <w14:schemeClr w14:val="tx1"/>
            </w14:solidFill>
          </w14:textFill>
        </w:rPr>
      </w:pPr>
    </w:p>
    <w:p w14:paraId="44D7AF8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（采购人）、（采购代理机构）：</w:t>
      </w:r>
    </w:p>
    <w:p w14:paraId="0800DAB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我方</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(投标人全称)是中华人民共和国依法登记注册的合法企业，</w:t>
      </w:r>
      <w:r>
        <w:rPr>
          <w:rFonts w:hint="eastAsia" w:ascii="宋体" w:hAnsi="宋体" w:cs="宋体"/>
          <w:bCs/>
          <w:color w:val="000000" w:themeColor="text1"/>
          <w:sz w:val="24"/>
          <w:highlight w:val="none"/>
          <w14:textFill>
            <w14:solidFill>
              <w14:schemeClr w14:val="tx1"/>
            </w14:solidFill>
          </w14:textFill>
        </w:rPr>
        <w:t>在参加</w:t>
      </w:r>
      <w:r>
        <w:rPr>
          <w:rFonts w:hint="eastAsia" w:ascii="宋体" w:hAnsi="宋体" w:cs="宋体"/>
          <w:color w:val="000000" w:themeColor="text1"/>
          <w:sz w:val="24"/>
          <w:highlight w:val="none"/>
          <w14:textFill>
            <w14:solidFill>
              <w14:schemeClr w14:val="tx1"/>
            </w14:solidFill>
          </w14:textFill>
        </w:rPr>
        <w:t>你方组织的</w:t>
      </w:r>
      <w:r>
        <w:rPr>
          <w:rFonts w:hint="eastAsia" w:ascii="宋体" w:hAnsi="宋体" w:cs="宋体"/>
          <w:color w:val="000000" w:themeColor="text1"/>
          <w:sz w:val="24"/>
          <w:highlight w:val="none"/>
          <w:u w:val="single"/>
          <w:lang w:eastAsia="zh-CN"/>
          <w14:textFill>
            <w14:solidFill>
              <w14:schemeClr w14:val="tx1"/>
            </w14:solidFill>
          </w14:textFill>
        </w:rPr>
        <w:t>宁波市北仑区人民医院应急医疗救治中心核医学系统采购项目（</w:t>
      </w:r>
      <w:r>
        <w:rPr>
          <w:rFonts w:hint="eastAsia" w:ascii="宋体" w:hAnsi="宋体" w:cs="宋体"/>
          <w:color w:val="000000" w:themeColor="text1"/>
          <w:sz w:val="24"/>
          <w:highlight w:val="none"/>
          <w:u w:val="single"/>
          <w:lang w:val="en-US" w:eastAsia="zh-CN"/>
          <w14:textFill>
            <w14:solidFill>
              <w14:schemeClr w14:val="tx1"/>
            </w14:solidFill>
          </w14:textFill>
        </w:rPr>
        <w:t>项目编号：CBNB-20261132-BL018G</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投标活动中作如下说明：</w:t>
      </w:r>
      <w:r>
        <w:rPr>
          <w:rFonts w:hint="eastAsia" w:ascii="宋体" w:hAnsi="宋体" w:cs="宋体"/>
          <w:color w:val="000000" w:themeColor="text1"/>
          <w:sz w:val="24"/>
          <w:highlight w:val="none"/>
          <w14:textFill>
            <w14:solidFill>
              <w14:schemeClr w14:val="tx1"/>
            </w14:solidFill>
          </w14:textFill>
        </w:rPr>
        <w:t xml:space="preserve">我方所使用的“XX专用章”与法定名称章具有同等的法律效力，对使用“XX专用章”的行为予以完全承认，并愿意承担相应责任。   </w:t>
      </w:r>
    </w:p>
    <w:p w14:paraId="5FC2661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特此说明。</w:t>
      </w:r>
    </w:p>
    <w:p w14:paraId="4E9056A6">
      <w:pPr>
        <w:spacing w:line="360" w:lineRule="auto"/>
        <w:ind w:firstLine="494"/>
        <w:rPr>
          <w:rFonts w:ascii="宋体" w:hAnsi="宋体" w:cs="宋体"/>
          <w:color w:val="000000" w:themeColor="text1"/>
          <w:sz w:val="24"/>
          <w:highlight w:val="none"/>
          <w14:textFill>
            <w14:solidFill>
              <w14:schemeClr w14:val="tx1"/>
            </w14:solidFill>
          </w14:textFill>
        </w:rPr>
      </w:pPr>
    </w:p>
    <w:p w14:paraId="7289B851">
      <w:pPr>
        <w:spacing w:line="360" w:lineRule="auto"/>
        <w:ind w:firstLine="494"/>
        <w:rPr>
          <w:rFonts w:ascii="宋体" w:hAnsi="宋体" w:cs="宋体"/>
          <w:color w:val="000000" w:themeColor="text1"/>
          <w:sz w:val="24"/>
          <w:highlight w:val="none"/>
          <w14:textFill>
            <w14:solidFill>
              <w14:schemeClr w14:val="tx1"/>
            </w14:solidFill>
          </w14:textFill>
        </w:rPr>
      </w:pPr>
    </w:p>
    <w:p w14:paraId="38906120">
      <w:pPr>
        <w:spacing w:line="360" w:lineRule="auto"/>
        <w:ind w:firstLine="494"/>
        <w:rPr>
          <w:rFonts w:ascii="宋体" w:hAnsi="宋体" w:cs="宋体"/>
          <w:color w:val="000000" w:themeColor="text1"/>
          <w:sz w:val="24"/>
          <w:highlight w:val="none"/>
          <w14:textFill>
            <w14:solidFill>
              <w14:schemeClr w14:val="tx1"/>
            </w14:solidFill>
          </w14:textFill>
        </w:rPr>
      </w:pPr>
    </w:p>
    <w:p w14:paraId="57F123C5">
      <w:pPr>
        <w:spacing w:line="360" w:lineRule="auto"/>
        <w:ind w:right="480" w:firstLine="4080" w:firstLineChars="17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投标单位（电子签章）：</w:t>
      </w:r>
    </w:p>
    <w:p w14:paraId="4F776560">
      <w:pPr>
        <w:ind w:right="1440" w:firstLine="494"/>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14:paraId="1C222B3A">
      <w:pP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附：</w:t>
      </w:r>
    </w:p>
    <w:p w14:paraId="43FE8AEC">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txbx>
                        <w:txbxContent>
                          <w:p w14:paraId="45B8C2B9">
                            <w:pPr>
                              <w:jc w:val="center"/>
                            </w:pPr>
                          </w:p>
                        </w:txbxContent>
                      </wps:txbx>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ILD+2LwIAAH8EAAAOAAAAAAAAAAEAIAAAACcBAABkcnMvZTJvRG9jLnht&#10;bFBLBQYAAAAABgAGAFkBAADIBQAAAAA=&#10;">
                <v:fill on="t" focussize="0,0"/>
                <v:stroke color="#000000" miterlimit="2" joinstyle="miter"/>
                <v:imagedata o:title=""/>
                <o:lock v:ext="edit" aspectratio="f"/>
                <v:textbox>
                  <w:txbxContent>
                    <w:p w14:paraId="45B8C2B9">
                      <w:pPr>
                        <w:jc w:val="center"/>
                      </w:pPr>
                    </w:p>
                  </w:txbxContent>
                </v:textbox>
              </v:rect>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txbx>
                        <w:txbxContent>
                          <w:p w14:paraId="58A01B9D">
                            <w:pPr>
                              <w:jc w:val="center"/>
                            </w:pPr>
                          </w:p>
                        </w:txbxContent>
                      </wps:txbx>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KL3uDLwIAAH8EAAAOAAAAAAAAAAEAIAAAACcBAABkcnMvZTJvRG9jLnht&#10;bFBLBQYAAAAABgAGAFkBAADIBQAAAAA=&#10;">
                <v:fill on="t" focussize="0,0"/>
                <v:stroke color="#000000" miterlimit="2" joinstyle="miter"/>
                <v:imagedata o:title=""/>
                <o:lock v:ext="edit" aspectratio="f"/>
                <v:textbox>
                  <w:txbxContent>
                    <w:p w14:paraId="58A01B9D">
                      <w:pPr>
                        <w:jc w:val="center"/>
                      </w:pPr>
                    </w:p>
                  </w:txbxContent>
                </v:textbox>
              </v:rect>
            </w:pict>
          </mc:Fallback>
        </mc:AlternateContent>
      </w:r>
      <w:r>
        <w:rPr>
          <w:rFonts w:hint="eastAsia" w:ascii="宋体" w:hAnsi="宋体" w:cs="宋体"/>
          <w:color w:val="000000" w:themeColor="text1"/>
          <w:sz w:val="24"/>
          <w:highlight w:val="none"/>
          <w14:textFill>
            <w14:solidFill>
              <w14:schemeClr w14:val="tx1"/>
            </w14:solidFill>
          </w14:textFill>
        </w:rPr>
        <w:t>投标单位法定名称章（印模）                投标单位“XX专用章”（印模）</w:t>
      </w:r>
    </w:p>
    <w:p w14:paraId="5ABEE189">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690120EC">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0C15F93">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519A686">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004D22D5">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AA838C1">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870AFD9">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4D654EF">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271DE9A6">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262FBB7B">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2AF1F6EE">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F91B8CE">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6C030510">
      <w:pPr>
        <w:rPr>
          <w:b/>
          <w:bCs/>
          <w:color w:val="000000" w:themeColor="text1"/>
          <w:sz w:val="32"/>
          <w:szCs w:val="32"/>
          <w:highlight w:val="none"/>
          <w14:textFill>
            <w14:solidFill>
              <w14:schemeClr w14:val="tx1"/>
            </w14:solidFill>
          </w14:textFill>
        </w:rPr>
      </w:pPr>
      <w:bookmarkStart w:id="454" w:name="_Toc27865"/>
      <w:r>
        <w:rPr>
          <w:rFonts w:hint="eastAsia"/>
          <w:b/>
          <w:bCs/>
          <w:color w:val="000000" w:themeColor="text1"/>
          <w:sz w:val="32"/>
          <w:szCs w:val="32"/>
          <w:highlight w:val="none"/>
          <w14:textFill>
            <w14:solidFill>
              <w14:schemeClr w14:val="tx1"/>
            </w14:solidFill>
          </w14:textFill>
        </w:rPr>
        <w:br w:type="page"/>
      </w:r>
    </w:p>
    <w:p w14:paraId="576020DF">
      <w:pPr>
        <w:jc w:val="center"/>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附件</w:t>
      </w:r>
      <w:r>
        <w:rPr>
          <w:rFonts w:hint="eastAsia"/>
          <w:b/>
          <w:bCs/>
          <w:color w:val="000000" w:themeColor="text1"/>
          <w:sz w:val="32"/>
          <w:szCs w:val="32"/>
          <w:highlight w:val="none"/>
          <w:lang w:val="en-US" w:eastAsia="zh-CN"/>
          <w14:textFill>
            <w14:solidFill>
              <w14:schemeClr w14:val="tx1"/>
            </w14:solidFill>
          </w14:textFill>
        </w:rPr>
        <w:t>2</w:t>
      </w:r>
      <w:r>
        <w:rPr>
          <w:rFonts w:hint="eastAsia"/>
          <w:b/>
          <w:bCs/>
          <w:color w:val="000000" w:themeColor="text1"/>
          <w:sz w:val="32"/>
          <w:szCs w:val="32"/>
          <w:highlight w:val="none"/>
          <w14:textFill>
            <w14:solidFill>
              <w14:schemeClr w14:val="tx1"/>
            </w14:solidFill>
          </w14:textFill>
        </w:rPr>
        <w:t>：联合协议</w:t>
      </w:r>
      <w:bookmarkEnd w:id="454"/>
      <w:r>
        <w:rPr>
          <w:rFonts w:hint="eastAsia"/>
          <w:b/>
          <w:bCs/>
          <w:color w:val="000000" w:themeColor="text1"/>
          <w:sz w:val="32"/>
          <w:szCs w:val="32"/>
          <w:highlight w:val="none"/>
          <w14:textFill>
            <w14:solidFill>
              <w14:schemeClr w14:val="tx1"/>
            </w14:solidFill>
          </w14:textFill>
        </w:rPr>
        <w:t>（如适用）</w:t>
      </w:r>
    </w:p>
    <w:p w14:paraId="324160B2">
      <w:pPr>
        <w:widowControl/>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（以联合体形式投标的，提供联合协议；本项目不接受联合体投标或者投标人不以联合体形式投标的，则不需要提供）</w:t>
      </w:r>
    </w:p>
    <w:p w14:paraId="1290D359">
      <w:pPr>
        <w:snapToGrid w:val="0"/>
        <w:spacing w:line="360" w:lineRule="auto"/>
        <w:ind w:firstLine="576"/>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（联合体所有成员名称）</w:t>
      </w:r>
      <w:r>
        <w:rPr>
          <w:rFonts w:hint="eastAsia" w:ascii="宋体" w:hAnsi="宋体" w:cs="宋体"/>
          <w:color w:val="000000" w:themeColor="text1"/>
          <w:kern w:val="0"/>
          <w:sz w:val="24"/>
          <w:highlight w:val="none"/>
          <w14:textFill>
            <w14:solidFill>
              <w14:schemeClr w14:val="tx1"/>
            </w14:solidFill>
          </w14:textFill>
        </w:rPr>
        <w:t>自愿</w:t>
      </w:r>
      <w:r>
        <w:rPr>
          <w:rFonts w:hint="eastAsia" w:ascii="宋体" w:hAnsi="宋体" w:cs="宋体"/>
          <w:color w:val="000000" w:themeColor="text1"/>
          <w:kern w:val="0"/>
          <w:sz w:val="24"/>
          <w:highlight w:val="none"/>
          <w:lang w:val="zh-CN"/>
          <w14:textFill>
            <w14:solidFill>
              <w14:schemeClr w14:val="tx1"/>
            </w14:solidFill>
          </w14:textFill>
        </w:rPr>
        <w:t>组成一个联合体，以一个投标人的身份</w:t>
      </w:r>
      <w:r>
        <w:rPr>
          <w:rFonts w:hint="eastAsia" w:ascii="宋体" w:hAnsi="宋体" w:cs="宋体"/>
          <w:color w:val="000000" w:themeColor="text1"/>
          <w:kern w:val="0"/>
          <w:sz w:val="24"/>
          <w:highlight w:val="none"/>
          <w14:textFill>
            <w14:solidFill>
              <w14:schemeClr w14:val="tx1"/>
            </w14:solidFill>
          </w14:textFill>
        </w:rPr>
        <w:t>参加</w:t>
      </w:r>
      <w:r>
        <w:rPr>
          <w:rFonts w:hint="eastAsia" w:ascii="宋体" w:hAnsi="宋体" w:cs="宋体"/>
          <w:color w:val="000000" w:themeColor="text1"/>
          <w:sz w:val="24"/>
          <w:highlight w:val="none"/>
          <w:u w:val="single"/>
          <w:lang w:eastAsia="zh-CN"/>
          <w14:textFill>
            <w14:solidFill>
              <w14:schemeClr w14:val="tx1"/>
            </w14:solidFill>
          </w14:textFill>
        </w:rPr>
        <w:t>宁波市北仑区人民医院应急医疗救治中心核医学系统采购项目</w:t>
      </w:r>
      <w:r>
        <w:rPr>
          <w:rFonts w:hint="eastAsia" w:ascii="宋体" w:hAnsi="宋体" w:cs="宋体"/>
          <w:color w:val="000000" w:themeColor="text1"/>
          <w:sz w:val="21"/>
          <w:szCs w:val="21"/>
          <w:highlight w:val="none"/>
          <w:u w:val="single"/>
          <w:lang w:eastAsia="zh-CN"/>
          <w14:textFill>
            <w14:solidFill>
              <w14:schemeClr w14:val="tx1"/>
            </w14:solidFill>
          </w14:textFill>
        </w:rPr>
        <w:t>（</w:t>
      </w:r>
      <w:r>
        <w:rPr>
          <w:rFonts w:hint="eastAsia" w:ascii="宋体" w:hAnsi="宋体" w:cs="宋体"/>
          <w:color w:val="000000" w:themeColor="text1"/>
          <w:sz w:val="21"/>
          <w:szCs w:val="21"/>
          <w:highlight w:val="none"/>
          <w:u w:val="single"/>
          <w:lang w:val="en-US" w:eastAsia="zh-CN"/>
          <w14:textFill>
            <w14:solidFill>
              <w14:schemeClr w14:val="tx1"/>
            </w14:solidFill>
          </w14:textFill>
        </w:rPr>
        <w:t>项目编号：CBNB-20261132-BL018G</w:t>
      </w:r>
      <w:r>
        <w:rPr>
          <w:rFonts w:hint="eastAsia" w:ascii="宋体" w:hAnsi="宋体" w:cs="宋体"/>
          <w:color w:val="000000" w:themeColor="text1"/>
          <w:sz w:val="21"/>
          <w:szCs w:val="21"/>
          <w:highlight w:val="none"/>
          <w:u w:val="single"/>
          <w:lang w:eastAsia="zh-CN"/>
          <w14:textFill>
            <w14:solidFill>
              <w14:schemeClr w14:val="tx1"/>
            </w14:solidFill>
          </w14:textFill>
        </w:rPr>
        <w:t>）</w:t>
      </w:r>
      <w:r>
        <w:rPr>
          <w:rFonts w:hint="eastAsia" w:ascii="宋体" w:hAnsi="宋体" w:cs="宋体"/>
          <w:color w:val="000000" w:themeColor="text1"/>
          <w:kern w:val="0"/>
          <w:sz w:val="21"/>
          <w:szCs w:val="21"/>
          <w:highlight w:val="none"/>
          <w:lang w:val="zh-CN"/>
          <w14:textFill>
            <w14:solidFill>
              <w14:schemeClr w14:val="tx1"/>
            </w14:solidFill>
          </w14:textFill>
        </w:rPr>
        <w:t xml:space="preserve">投标。 </w:t>
      </w:r>
    </w:p>
    <w:p w14:paraId="014407B8">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一、各方一致决定，</w:t>
      </w:r>
      <w:r>
        <w:rPr>
          <w:rFonts w:hint="eastAsia" w:ascii="宋体" w:hAnsi="宋体" w:cs="宋体"/>
          <w:color w:val="000000" w:themeColor="text1"/>
          <w:kern w:val="0"/>
          <w:sz w:val="24"/>
          <w:highlight w:val="none"/>
          <w:u w:val="single"/>
          <w14:textFill>
            <w14:solidFill>
              <w14:schemeClr w14:val="tx1"/>
            </w14:solidFill>
          </w14:textFill>
        </w:rPr>
        <w:t>（某联合体成员名称）</w:t>
      </w:r>
      <w:r>
        <w:rPr>
          <w:rFonts w:hint="eastAsia" w:ascii="宋体" w:hAnsi="宋体" w:cs="宋体"/>
          <w:color w:val="000000" w:themeColor="text1"/>
          <w:kern w:val="0"/>
          <w:sz w:val="24"/>
          <w:highlight w:val="none"/>
          <w14:textFill>
            <w14:solidFill>
              <w14:schemeClr w14:val="tx1"/>
            </w14:solidFill>
          </w14:textFill>
        </w:rPr>
        <w:t>为联合体</w:t>
      </w:r>
      <w:r>
        <w:rPr>
          <w:rFonts w:hint="eastAsia" w:ascii="宋体" w:hAnsi="宋体" w:cs="宋体"/>
          <w:color w:val="000000" w:themeColor="text1"/>
          <w:kern w:val="0"/>
          <w:sz w:val="24"/>
          <w:highlight w:val="none"/>
          <w:lang w:val="zh-CN"/>
          <w14:textFill>
            <w14:solidFill>
              <w14:schemeClr w14:val="tx1"/>
            </w14:solidFill>
          </w14:textFill>
        </w:rPr>
        <w:t>牵头人</w:t>
      </w:r>
      <w:r>
        <w:rPr>
          <w:rFonts w:hint="eastAsia" w:ascii="宋体" w:hAnsi="宋体" w:cs="宋体"/>
          <w:color w:val="000000" w:themeColor="text1"/>
          <w:sz w:val="24"/>
          <w:highlight w:val="none"/>
          <w14:textFill>
            <w14:solidFill>
              <w14:schemeClr w14:val="tx1"/>
            </w14:solidFill>
          </w14:textFill>
        </w:rPr>
        <w:t>，代表所有联合体成员负责投标和合同实施阶段的主办、协调工作</w:t>
      </w:r>
      <w:r>
        <w:rPr>
          <w:rFonts w:hint="eastAsia" w:ascii="宋体" w:hAnsi="宋体" w:cs="宋体"/>
          <w:color w:val="000000" w:themeColor="text1"/>
          <w:kern w:val="0"/>
          <w:sz w:val="24"/>
          <w:highlight w:val="none"/>
          <w:lang w:val="zh-CN"/>
          <w14:textFill>
            <w14:solidFill>
              <w14:schemeClr w14:val="tx1"/>
            </w14:solidFill>
          </w14:textFill>
        </w:rPr>
        <w:t>。</w:t>
      </w:r>
    </w:p>
    <w:p w14:paraId="79AA3619">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w:t>
      </w:r>
      <w:r>
        <w:rPr>
          <w:rFonts w:hint="eastAsia" w:ascii="宋体" w:hAnsi="宋体" w:cs="宋体"/>
          <w:color w:val="000000" w:themeColor="text1"/>
          <w:sz w:val="24"/>
          <w:highlight w:val="none"/>
          <w14:textFill>
            <w14:solidFill>
              <w14:schemeClr w14:val="tx1"/>
            </w14:solidFill>
          </w14:textFill>
        </w:rPr>
        <w:t>所有联合体成员各方签署授权书，授权书载明的</w:t>
      </w:r>
      <w:r>
        <w:rPr>
          <w:rFonts w:hint="eastAsia" w:ascii="宋体" w:hAnsi="宋体" w:cs="宋体"/>
          <w:color w:val="000000" w:themeColor="text1"/>
          <w:kern w:val="0"/>
          <w:sz w:val="24"/>
          <w:highlight w:val="none"/>
          <w:lang w:val="zh-CN"/>
          <w14:textFill>
            <w14:solidFill>
              <w14:schemeClr w14:val="tx1"/>
            </w14:solidFill>
          </w14:textFill>
        </w:rPr>
        <w:t>授权代表根据招标文件规定及投标内容而对采购人、采购代理机构所作的任何合法承诺，包括书面澄清及</w:t>
      </w:r>
      <w:r>
        <w:rPr>
          <w:rFonts w:hint="eastAsia" w:ascii="宋体" w:hAnsi="宋体" w:cs="宋体"/>
          <w:color w:val="000000" w:themeColor="text1"/>
          <w:kern w:val="0"/>
          <w:sz w:val="24"/>
          <w:highlight w:val="none"/>
          <w:lang w:val="en-US" w:eastAsia="zh-CN"/>
          <w14:textFill>
            <w14:solidFill>
              <w14:schemeClr w14:val="tx1"/>
            </w14:solidFill>
          </w14:textFill>
        </w:rPr>
        <w:t>响应</w:t>
      </w:r>
      <w:r>
        <w:rPr>
          <w:rFonts w:hint="eastAsia" w:ascii="宋体" w:hAnsi="宋体" w:cs="宋体"/>
          <w:color w:val="000000" w:themeColor="text1"/>
          <w:kern w:val="0"/>
          <w:sz w:val="24"/>
          <w:highlight w:val="none"/>
          <w:lang w:val="zh-CN"/>
          <w14:textFill>
            <w14:solidFill>
              <w14:schemeClr w14:val="tx1"/>
            </w14:solidFill>
          </w14:textFill>
        </w:rPr>
        <w:t>等均对联合投标各方产生约束力。</w:t>
      </w:r>
    </w:p>
    <w:p w14:paraId="1BC47AA7">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三、本次联合投标中，分工如下：</w:t>
      </w:r>
    </w:p>
    <w:p w14:paraId="5DEA13B7">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bookmarkStart w:id="455" w:name="_Hlk101134295"/>
      <w:r>
        <w:rPr>
          <w:rFonts w:hint="eastAsia" w:ascii="宋体" w:hAnsi="宋体" w:cs="宋体"/>
          <w:color w:val="000000" w:themeColor="text1"/>
          <w:kern w:val="0"/>
          <w:sz w:val="24"/>
          <w:highlight w:val="none"/>
          <w:u w:val="single"/>
          <w14:textFill>
            <w14:solidFill>
              <w14:schemeClr w14:val="tx1"/>
            </w14:solidFill>
          </w14:textFill>
        </w:rPr>
        <w:t>（联合体成员1）</w:t>
      </w:r>
      <w:r>
        <w:rPr>
          <w:rFonts w:hint="eastAsia" w:ascii="宋体" w:hAnsi="宋体" w:cs="宋体"/>
          <w:color w:val="000000" w:themeColor="text1"/>
          <w:kern w:val="0"/>
          <w:sz w:val="24"/>
          <w:highlight w:val="none"/>
          <w:lang w:val="zh-CN"/>
          <w14:textFill>
            <w14:solidFill>
              <w14:schemeClr w14:val="tx1"/>
            </w14:solidFill>
          </w14:textFill>
        </w:rPr>
        <w:t>承担的工作和义务为：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w:t>
      </w:r>
    </w:p>
    <w:p w14:paraId="710B4EAE">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（联合体成员</w:t>
      </w:r>
      <w:r>
        <w:rPr>
          <w:rFonts w:ascii="宋体" w:hAnsi="宋体" w:cs="宋体"/>
          <w:color w:val="000000" w:themeColor="text1"/>
          <w:kern w:val="0"/>
          <w:sz w:val="24"/>
          <w:highlight w:val="none"/>
          <w:u w:val="single"/>
          <w14:textFill>
            <w14:solidFill>
              <w14:schemeClr w14:val="tx1"/>
            </w14:solidFill>
          </w14:textFill>
        </w:rPr>
        <w:t>2</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承担的工作和义务为：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w:t>
      </w:r>
    </w:p>
    <w:p w14:paraId="5AA37CAC">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bookmarkEnd w:id="455"/>
    <w:p w14:paraId="083DCE55">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四、联合体成员中小企业合同份额。</w:t>
      </w:r>
    </w:p>
    <w:p w14:paraId="6A3923FF">
      <w:pPr>
        <w:snapToGrid w:val="0"/>
        <w:spacing w:line="360" w:lineRule="auto"/>
        <w:ind w:firstLine="576"/>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w:t>
      </w:r>
      <w:r>
        <w:rPr>
          <w:rFonts w:hint="eastAsia" w:ascii="宋体" w:hAnsi="宋体" w:cs="宋体"/>
          <w:color w:val="000000" w:themeColor="text1"/>
          <w:kern w:val="0"/>
          <w:sz w:val="24"/>
          <w:highlight w:val="none"/>
          <w:u w:val="single"/>
          <w14:textFill>
            <w14:solidFill>
              <w14:schemeClr w14:val="tx1"/>
            </w14:solidFill>
          </w14:textFill>
        </w:rPr>
        <w:t>（联合体成员</w:t>
      </w:r>
      <w:r>
        <w:rPr>
          <w:rFonts w:ascii="宋体" w:hAnsi="宋体" w:cs="宋体"/>
          <w:color w:val="000000" w:themeColor="text1"/>
          <w:kern w:val="0"/>
          <w:sz w:val="24"/>
          <w:highlight w:val="none"/>
          <w:u w:val="single"/>
          <w14:textFill>
            <w14:solidFill>
              <w14:schemeClr w14:val="tx1"/>
            </w14:solidFill>
          </w14:textFill>
        </w:rPr>
        <w:t>X,</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提供的全部</w:t>
      </w:r>
      <w:r>
        <w:rPr>
          <w:rFonts w:hint="eastAsia" w:ascii="宋体" w:hAnsi="宋体" w:cs="宋体"/>
          <w:color w:val="000000" w:themeColor="text1"/>
          <w:kern w:val="0"/>
          <w:sz w:val="24"/>
          <w:highlight w:val="none"/>
          <w:lang w:val="en-US" w:eastAsia="zh-CN"/>
          <w14:textFill>
            <w14:solidFill>
              <w14:schemeClr w14:val="tx1"/>
            </w14:solidFill>
          </w14:textFill>
        </w:rPr>
        <w:t>服务</w:t>
      </w:r>
      <w:r>
        <w:rPr>
          <w:rFonts w:hint="eastAsia" w:ascii="宋体" w:hAnsi="宋体" w:cs="宋体"/>
          <w:color w:val="000000" w:themeColor="text1"/>
          <w:kern w:val="0"/>
          <w:sz w:val="24"/>
          <w:highlight w:val="none"/>
          <w14:textFill>
            <w14:solidFill>
              <w14:schemeClr w14:val="tx1"/>
            </w14:solidFill>
          </w14:textFill>
        </w:rPr>
        <w:t>由小微企业</w:t>
      </w:r>
      <w:r>
        <w:rPr>
          <w:rFonts w:hint="eastAsia" w:ascii="宋体" w:hAnsi="宋体" w:cs="宋体"/>
          <w:color w:val="000000" w:themeColor="text1"/>
          <w:kern w:val="0"/>
          <w:sz w:val="24"/>
          <w:highlight w:val="none"/>
          <w:lang w:val="en-US" w:eastAsia="zh-CN"/>
          <w14:textFill>
            <w14:solidFill>
              <w14:schemeClr w14:val="tx1"/>
            </w14:solidFill>
          </w14:textFill>
        </w:rPr>
        <w:t>提供</w:t>
      </w:r>
      <w:r>
        <w:rPr>
          <w:rFonts w:hint="eastAsia" w:ascii="宋体" w:hAnsi="宋体" w:cs="宋体"/>
          <w:color w:val="000000" w:themeColor="text1"/>
          <w:kern w:val="0"/>
          <w:sz w:val="24"/>
          <w:highlight w:val="none"/>
          <w14:textFill>
            <w14:solidFill>
              <w14:schemeClr w14:val="tx1"/>
            </w14:solidFill>
          </w14:textFill>
        </w:rPr>
        <w:t>，其合同份额占到合同总金额</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%以上；</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000000" w:themeColor="text1"/>
          <w:sz w:val="24"/>
          <w:highlight w:val="none"/>
          <w14:textFill>
            <w14:solidFill>
              <w14:schemeClr w14:val="tx1"/>
            </w14:solidFill>
          </w14:textFill>
        </w:rPr>
        <w:t>拟享受以上价格扣除政策的，填写有关内容。</w:t>
      </w:r>
      <w:r>
        <w:rPr>
          <w:rFonts w:hint="eastAsia" w:ascii="宋体" w:hAnsi="宋体" w:cs="宋体"/>
          <w:b/>
          <w:color w:val="000000" w:themeColor="text1"/>
          <w:kern w:val="0"/>
          <w:sz w:val="24"/>
          <w:highlight w:val="none"/>
          <w:lang w:val="zh-CN"/>
          <w14:textFill>
            <w14:solidFill>
              <w14:schemeClr w14:val="tx1"/>
            </w14:solidFill>
          </w14:textFill>
        </w:rPr>
        <w:t>）</w:t>
      </w:r>
    </w:p>
    <w:p w14:paraId="484EC20D">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2、中小企业合同金额达到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%，其中小微企业合同金额达到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000000" w:themeColor="text1"/>
          <w:kern w:val="0"/>
          <w:sz w:val="24"/>
          <w:highlight w:val="none"/>
          <w:lang w:val="zh-CN"/>
          <w14:textFill>
            <w14:solidFill>
              <w14:schemeClr w14:val="tx1"/>
            </w14:solidFill>
          </w14:textFill>
        </w:rPr>
        <w:t>）</w:t>
      </w:r>
    </w:p>
    <w:p w14:paraId="586AAA36">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五、如果中标，</w:t>
      </w:r>
      <w:r>
        <w:rPr>
          <w:rFonts w:hint="eastAsia" w:ascii="宋体" w:hAnsi="宋体" w:cs="宋体"/>
          <w:color w:val="000000" w:themeColor="text1"/>
          <w:sz w:val="24"/>
          <w:highlight w:val="none"/>
          <w14:textFill>
            <w14:solidFill>
              <w14:schemeClr w14:val="tx1"/>
            </w14:solidFill>
          </w14:textFill>
        </w:rPr>
        <w:t>联合体各成员方共同与采购人签订合同，并就采购合同约定的事项对采购人承担连带责任。</w:t>
      </w:r>
    </w:p>
    <w:p w14:paraId="5D3EEAB8">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六、有关本次联合投标的其他事宜：</w:t>
      </w:r>
    </w:p>
    <w:p w14:paraId="34DB3F0F">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1、联合体各方不再单独参加或者与其他供应商另外组成联合体参加同一合同项下的政府采购活动。</w:t>
      </w:r>
    </w:p>
    <w:p w14:paraId="731F2A60">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2、联合体中有同类资质的各方按照联合体分工承担相同工作的，按照资质等级较低的供应商确定资质等级。</w:t>
      </w:r>
    </w:p>
    <w:p w14:paraId="03569841">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3、本协议提交采购人、采购代理机构后，联合体各方不得以任何形式对上述内容进行修改或撤销。</w:t>
      </w:r>
    </w:p>
    <w:p w14:paraId="3F1E0CEE">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w:t>
      </w:r>
      <w:r>
        <w:rPr>
          <w:rFonts w:hint="eastAsia" w:ascii="宋体" w:hAnsi="宋体" w:cs="宋体"/>
          <w:color w:val="000000" w:themeColor="text1"/>
          <w:kern w:val="0"/>
          <w:sz w:val="24"/>
          <w:highlight w:val="none"/>
          <w:lang w:val="en-US" w:eastAsia="zh-CN"/>
          <w14:textFill>
            <w14:solidFill>
              <w14:schemeClr w14:val="tx1"/>
            </w14:solidFill>
          </w14:textFill>
        </w:rPr>
        <w:t>电子签章/公章）</w:t>
      </w:r>
      <w:r>
        <w:rPr>
          <w:rFonts w:hint="eastAsia" w:ascii="宋体" w:hAnsi="宋体" w:cs="宋体"/>
          <w:color w:val="000000" w:themeColor="text1"/>
          <w:kern w:val="0"/>
          <w:sz w:val="24"/>
          <w:highlight w:val="none"/>
          <w:lang w:val="zh-CN"/>
          <w14:textFill>
            <w14:solidFill>
              <w14:schemeClr w14:val="tx1"/>
            </w14:solidFill>
          </w14:textFill>
        </w:rPr>
        <w:t>：</w:t>
      </w:r>
    </w:p>
    <w:p w14:paraId="228E75BB">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w:t>
      </w:r>
      <w:r>
        <w:rPr>
          <w:rFonts w:hint="eastAsia" w:ascii="宋体" w:hAnsi="宋体" w:cs="宋体"/>
          <w:color w:val="000000" w:themeColor="text1"/>
          <w:kern w:val="0"/>
          <w:sz w:val="24"/>
          <w:highlight w:val="none"/>
          <w:lang w:val="en-US" w:eastAsia="zh-CN"/>
          <w14:textFill>
            <w14:solidFill>
              <w14:schemeClr w14:val="tx1"/>
            </w14:solidFill>
          </w14:textFill>
        </w:rPr>
        <w:t>电子签章/公章）</w:t>
      </w:r>
      <w:r>
        <w:rPr>
          <w:rFonts w:hint="eastAsia" w:ascii="宋体" w:hAnsi="宋体" w:cs="宋体"/>
          <w:color w:val="000000" w:themeColor="text1"/>
          <w:kern w:val="0"/>
          <w:sz w:val="24"/>
          <w:highlight w:val="none"/>
          <w:lang w:val="zh-CN"/>
          <w14:textFill>
            <w14:solidFill>
              <w14:schemeClr w14:val="tx1"/>
            </w14:solidFill>
          </w14:textFill>
        </w:rPr>
        <w:t>：</w:t>
      </w:r>
    </w:p>
    <w:p w14:paraId="5206CFDA">
      <w:pPr>
        <w:snapToGrid w:val="0"/>
        <w:spacing w:line="360" w:lineRule="auto"/>
        <w:ind w:right="960"/>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5A3B659F">
      <w:pPr>
        <w:snapToGrid w:val="0"/>
        <w:spacing w:line="360" w:lineRule="auto"/>
        <w:jc w:val="righ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428E375E">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40E9D186">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534405AF">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1EFC398">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EDE48CD">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6B96BCCF">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6A1F961">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FD2910C">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084CF77">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A7278D7">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B1156CA">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997BEF9">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24DE67C8">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F9B6FAB">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38D2288">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00B22F4">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AB50026">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95B5BEB">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954BFB8">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24AAEBB">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D104F80">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48BEA1E2">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650443F2">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6E10A570">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2B853EF0">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0F2A238">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49E5B57F">
      <w:pPr>
        <w:rPr>
          <w:rFonts w:ascii="宋体" w:hAnsi="宋体" w:cs="宋体"/>
          <w:b/>
          <w:color w:val="000000" w:themeColor="text1"/>
          <w:spacing w:val="6"/>
          <w:sz w:val="32"/>
          <w:szCs w:val="32"/>
          <w:highlight w:val="none"/>
          <w14:textFill>
            <w14:solidFill>
              <w14:schemeClr w14:val="tx1"/>
            </w14:solidFill>
          </w14:textFill>
        </w:rPr>
      </w:pPr>
      <w:r>
        <w:rPr>
          <w:rFonts w:ascii="宋体" w:hAnsi="宋体" w:cs="宋体"/>
          <w:b/>
          <w:color w:val="000000" w:themeColor="text1"/>
          <w:spacing w:val="6"/>
          <w:sz w:val="32"/>
          <w:szCs w:val="32"/>
          <w:highlight w:val="none"/>
          <w14:textFill>
            <w14:solidFill>
              <w14:schemeClr w14:val="tx1"/>
            </w14:solidFill>
          </w14:textFill>
        </w:rPr>
        <w:br w:type="page"/>
      </w:r>
    </w:p>
    <w:p w14:paraId="04F5998E">
      <w:pPr>
        <w:jc w:val="center"/>
        <w:rPr>
          <w:b/>
          <w:bCs/>
          <w:color w:val="000000" w:themeColor="text1"/>
          <w:sz w:val="32"/>
          <w:szCs w:val="32"/>
          <w:highlight w:val="none"/>
          <w14:textFill>
            <w14:solidFill>
              <w14:schemeClr w14:val="tx1"/>
            </w14:solidFill>
          </w14:textFill>
        </w:rPr>
      </w:pPr>
      <w:bookmarkStart w:id="456" w:name="_Toc22286"/>
      <w:r>
        <w:rPr>
          <w:rFonts w:hint="eastAsia"/>
          <w:b/>
          <w:bCs/>
          <w:color w:val="000000" w:themeColor="text1"/>
          <w:sz w:val="32"/>
          <w:szCs w:val="32"/>
          <w:highlight w:val="none"/>
          <w14:textFill>
            <w14:solidFill>
              <w14:schemeClr w14:val="tx1"/>
            </w14:solidFill>
          </w14:textFill>
        </w:rPr>
        <w:t>附件</w:t>
      </w:r>
      <w:r>
        <w:rPr>
          <w:rFonts w:hint="eastAsia"/>
          <w:b/>
          <w:bCs/>
          <w:color w:val="000000" w:themeColor="text1"/>
          <w:sz w:val="32"/>
          <w:szCs w:val="32"/>
          <w:highlight w:val="none"/>
          <w:lang w:val="en-US" w:eastAsia="zh-CN"/>
          <w14:textFill>
            <w14:solidFill>
              <w14:schemeClr w14:val="tx1"/>
            </w14:solidFill>
          </w14:textFill>
        </w:rPr>
        <w:t>3</w:t>
      </w:r>
      <w:r>
        <w:rPr>
          <w:rFonts w:hint="eastAsia"/>
          <w:b/>
          <w:bCs/>
          <w:color w:val="000000" w:themeColor="text1"/>
          <w:sz w:val="32"/>
          <w:szCs w:val="32"/>
          <w:highlight w:val="none"/>
          <w14:textFill>
            <w14:solidFill>
              <w14:schemeClr w14:val="tx1"/>
            </w14:solidFill>
          </w14:textFill>
        </w:rPr>
        <w:t>：分包意向协议</w:t>
      </w:r>
      <w:bookmarkEnd w:id="456"/>
      <w:r>
        <w:rPr>
          <w:rFonts w:hint="eastAsia"/>
          <w:b/>
          <w:bCs/>
          <w:color w:val="000000" w:themeColor="text1"/>
          <w:sz w:val="32"/>
          <w:szCs w:val="32"/>
          <w:highlight w:val="none"/>
          <w14:textFill>
            <w14:solidFill>
              <w14:schemeClr w14:val="tx1"/>
            </w14:solidFill>
          </w14:textFill>
        </w:rPr>
        <w:t>（如适用）</w:t>
      </w:r>
    </w:p>
    <w:p w14:paraId="65631FC9">
      <w:pPr>
        <w:widowControl/>
        <w:spacing w:line="360" w:lineRule="auto"/>
        <w:ind w:firstLine="120" w:firstLineChars="50"/>
        <w:jc w:val="left"/>
        <w:rPr>
          <w:rFonts w:ascii="宋体" w:hAnsi="宋体" w:cs="宋体"/>
          <w:b/>
          <w:bCs/>
          <w:color w:val="000000" w:themeColor="text1"/>
          <w:sz w:val="24"/>
          <w:highlight w:val="none"/>
          <w14:textFill>
            <w14:solidFill>
              <w14:schemeClr w14:val="tx1"/>
            </w14:solidFill>
          </w14:textFill>
        </w:rPr>
      </w:pPr>
      <w:bookmarkStart w:id="457" w:name="_Toc3460"/>
      <w:r>
        <w:rPr>
          <w:rFonts w:hint="eastAsia" w:ascii="宋体" w:hAnsi="宋体" w:cs="宋体"/>
          <w:b/>
          <w:bCs/>
          <w:color w:val="000000" w:themeColor="text1"/>
          <w:sz w:val="24"/>
          <w:highlight w:val="none"/>
          <w14:textFill>
            <w14:solidFill>
              <w14:schemeClr w14:val="tx1"/>
            </w14:solidFill>
          </w14:textFill>
        </w:rPr>
        <w:t>（中标后以分包方式履行合同的，提供分包意向协议；采购人不同意分包或者投标人中标后不以分包方式履行合同的，则不需要提供。）</w:t>
      </w:r>
    </w:p>
    <w:p w14:paraId="3CD2C413">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若成为</w:t>
      </w:r>
      <w:r>
        <w:rPr>
          <w:rFonts w:hint="eastAsia" w:ascii="宋体" w:hAnsi="宋体" w:cs="宋体"/>
          <w:color w:val="000000" w:themeColor="text1"/>
          <w:sz w:val="24"/>
          <w:highlight w:val="none"/>
          <w:u w:val="single"/>
          <w:lang w:eastAsia="zh-CN"/>
          <w14:textFill>
            <w14:solidFill>
              <w14:schemeClr w14:val="tx1"/>
            </w14:solidFill>
          </w14:textFill>
        </w:rPr>
        <w:t>宁波市北仑区人民医院应急医疗救治中心核医学系统采购项目（</w:t>
      </w:r>
      <w:r>
        <w:rPr>
          <w:rFonts w:hint="eastAsia" w:ascii="宋体" w:hAnsi="宋体" w:cs="宋体"/>
          <w:color w:val="000000" w:themeColor="text1"/>
          <w:sz w:val="24"/>
          <w:highlight w:val="none"/>
          <w:u w:val="single"/>
          <w:lang w:val="en-US" w:eastAsia="zh-CN"/>
          <w14:textFill>
            <w14:solidFill>
              <w14:schemeClr w14:val="tx1"/>
            </w14:solidFill>
          </w14:textFill>
        </w:rPr>
        <w:t>项目编号：CBNB-20261132-BL018G</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的中标供应商，将依法采取分包方式履行合同。</w:t>
      </w:r>
      <w:r>
        <w:rPr>
          <w:rFonts w:hint="eastAsia" w:ascii="宋体" w:hAnsi="宋体" w:cs="宋体"/>
          <w:color w:val="000000" w:themeColor="text1"/>
          <w:kern w:val="0"/>
          <w:sz w:val="24"/>
          <w:highlight w:val="none"/>
          <w:u w:val="single"/>
          <w14:textFill>
            <w14:solidFill>
              <w14:schemeClr w14:val="tx1"/>
            </w14:solidFill>
          </w14:textFill>
        </w:rPr>
        <w:t>（投标人名称）</w:t>
      </w:r>
      <w:r>
        <w:rPr>
          <w:rFonts w:hint="eastAsia" w:ascii="宋体" w:hAnsi="宋体" w:cs="宋体"/>
          <w:color w:val="000000" w:themeColor="text1"/>
          <w:kern w:val="0"/>
          <w:sz w:val="24"/>
          <w:highlight w:val="none"/>
          <w14:textFill>
            <w14:solidFill>
              <w14:schemeClr w14:val="tx1"/>
            </w14:solidFill>
          </w14:textFill>
        </w:rPr>
        <w:t>与</w:t>
      </w:r>
      <w:r>
        <w:rPr>
          <w:rFonts w:hint="eastAsia" w:ascii="宋体" w:hAnsi="宋体" w:cs="宋体"/>
          <w:color w:val="000000" w:themeColor="text1"/>
          <w:kern w:val="0"/>
          <w:sz w:val="24"/>
          <w:highlight w:val="none"/>
          <w:u w:val="single"/>
          <w14:textFill>
            <w14:solidFill>
              <w14:schemeClr w14:val="tx1"/>
            </w14:solidFill>
          </w14:textFill>
        </w:rPr>
        <w:t>（所有分包供应商名称）</w:t>
      </w:r>
      <w:r>
        <w:rPr>
          <w:rFonts w:hint="eastAsia" w:ascii="宋体" w:hAnsi="宋体" w:cs="宋体"/>
          <w:color w:val="000000" w:themeColor="text1"/>
          <w:kern w:val="0"/>
          <w:sz w:val="24"/>
          <w:highlight w:val="none"/>
          <w14:textFill>
            <w14:solidFill>
              <w14:schemeClr w14:val="tx1"/>
            </w14:solidFill>
          </w14:textFill>
        </w:rPr>
        <w:t>达成分包意向协议</w:t>
      </w: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713BCDAB">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一、分包标的及数量</w:t>
      </w:r>
    </w:p>
    <w:p w14:paraId="4A02F88B">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将</w:t>
      </w:r>
      <w:r>
        <w:rPr>
          <w:rFonts w:hint="eastAsia"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kern w:val="0"/>
          <w:sz w:val="24"/>
          <w:highlight w:val="none"/>
          <w:u w:val="single"/>
          <w14:textFill>
            <w14:solidFill>
              <w14:schemeClr w14:val="tx1"/>
            </w14:solidFill>
          </w14:textFill>
        </w:rPr>
        <w:t xml:space="preserve">  XX工作内容   </w:t>
      </w:r>
      <w:r>
        <w:rPr>
          <w:rFonts w:hint="eastAsia" w:ascii="宋体" w:hAnsi="宋体" w:cs="宋体"/>
          <w:color w:val="000000" w:themeColor="text1"/>
          <w:sz w:val="24"/>
          <w:highlight w:val="none"/>
          <w14:textFill>
            <w14:solidFill>
              <w14:schemeClr w14:val="tx1"/>
            </w14:solidFill>
          </w14:textFill>
        </w:rPr>
        <w:t>分包给</w:t>
      </w:r>
      <w:r>
        <w:rPr>
          <w:rFonts w:hint="eastAsia" w:ascii="宋体" w:hAnsi="宋体" w:cs="宋体"/>
          <w:color w:val="000000" w:themeColor="text1"/>
          <w:kern w:val="0"/>
          <w:sz w:val="24"/>
          <w:highlight w:val="none"/>
          <w:u w:val="single"/>
          <w14:textFill>
            <w14:solidFill>
              <w14:schemeClr w14:val="tx1"/>
            </w14:solidFill>
          </w14:textFill>
        </w:rPr>
        <w:t>（分包供应商1名称）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（分包供应商1名称），</w:t>
      </w:r>
      <w:r>
        <w:rPr>
          <w:rFonts w:hint="eastAsia" w:ascii="宋体" w:hAnsi="宋体" w:cs="宋体"/>
          <w:color w:val="000000" w:themeColor="text1"/>
          <w:kern w:val="0"/>
          <w:sz w:val="24"/>
          <w:highlight w:val="none"/>
          <w:lang w:val="zh-CN"/>
          <w14:textFill>
            <w14:solidFill>
              <w14:schemeClr w14:val="tx1"/>
            </w14:solidFill>
          </w14:textFill>
        </w:rPr>
        <w:t>具备承</w:t>
      </w:r>
      <w:r>
        <w:rPr>
          <w:rFonts w:hint="eastAsia" w:ascii="宋体" w:hAnsi="宋体" w:cs="宋体"/>
          <w:color w:val="000000" w:themeColor="text1"/>
          <w:kern w:val="0"/>
          <w:sz w:val="24"/>
          <w:highlight w:val="none"/>
          <w14:textFill>
            <w14:solidFill>
              <w14:schemeClr w14:val="tx1"/>
            </w14:solidFill>
          </w14:textFill>
        </w:rPr>
        <w:t>担</w:t>
      </w:r>
      <w:r>
        <w:rPr>
          <w:rFonts w:hint="eastAsia" w:ascii="宋体" w:hAnsi="宋体" w:cs="宋体"/>
          <w:color w:val="000000" w:themeColor="text1"/>
          <w:kern w:val="0"/>
          <w:sz w:val="24"/>
          <w:highlight w:val="none"/>
          <w:u w:val="single"/>
          <w:lang w:val="zh-CN"/>
          <w14:textFill>
            <w14:solidFill>
              <w14:schemeClr w14:val="tx1"/>
            </w14:solidFill>
          </w14:textFill>
        </w:rPr>
        <w:t>XX工作内容</w:t>
      </w:r>
      <w:r>
        <w:rPr>
          <w:rFonts w:hint="eastAsia" w:ascii="宋体" w:hAnsi="宋体" w:cs="宋体"/>
          <w:color w:val="000000" w:themeColor="text1"/>
          <w:kern w:val="0"/>
          <w:sz w:val="24"/>
          <w:highlight w:val="none"/>
          <w:lang w:val="zh-CN"/>
          <w14:textFill>
            <w14:solidFill>
              <w14:schemeClr w14:val="tx1"/>
            </w14:solidFill>
          </w14:textFill>
        </w:rPr>
        <w:t>相应资质条件且不得再次分包；</w:t>
      </w:r>
    </w:p>
    <w:p w14:paraId="6F020A41">
      <w:pPr>
        <w:pStyle w:val="4"/>
        <w:ind w:left="664" w:leftChars="316" w:firstLine="229" w:firstLineChars="95"/>
        <w:rPr>
          <w:rFonts w:ascii="宋体" w:hAnsi="宋体" w:eastAsia="宋体" w:cs="宋体"/>
          <w:color w:val="000000" w:themeColor="text1"/>
          <w:kern w:val="0"/>
          <w:sz w:val="24"/>
          <w:szCs w:val="24"/>
          <w:highlight w:val="none"/>
          <w14:textFill>
            <w14:solidFill>
              <w14:schemeClr w14:val="tx1"/>
            </w14:solidFill>
          </w14:textFill>
        </w:rPr>
      </w:pPr>
      <w:bookmarkStart w:id="458" w:name="_Toc17735"/>
      <w:r>
        <w:rPr>
          <w:rFonts w:hint="eastAsia" w:ascii="宋体" w:hAnsi="宋体" w:eastAsia="宋体" w:cs="宋体"/>
          <w:color w:val="000000" w:themeColor="text1"/>
          <w:kern w:val="0"/>
          <w:sz w:val="24"/>
          <w:szCs w:val="24"/>
          <w:highlight w:val="none"/>
          <w14:textFill>
            <w14:solidFill>
              <w14:schemeClr w14:val="tx1"/>
            </w14:solidFill>
          </w14:textFill>
        </w:rPr>
        <w:t>……</w:t>
      </w:r>
      <w:bookmarkEnd w:id="458"/>
    </w:p>
    <w:p w14:paraId="59B3A186">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二、分包供应商中小企业合同份额</w:t>
      </w:r>
    </w:p>
    <w:p w14:paraId="1AFF16E8">
      <w:pPr>
        <w:snapToGrid w:val="0"/>
        <w:spacing w:line="360" w:lineRule="auto"/>
        <w:ind w:firstLine="576"/>
        <w:rPr>
          <w:rFonts w:ascii="宋体" w:hAnsi="宋体" w:cs="宋体"/>
          <w:b/>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w:t>
      </w:r>
      <w:r>
        <w:rPr>
          <w:rFonts w:hint="eastAsia" w:ascii="宋体" w:hAnsi="宋体" w:cs="宋体"/>
          <w:color w:val="000000" w:themeColor="text1"/>
          <w:kern w:val="0"/>
          <w:sz w:val="24"/>
          <w:highlight w:val="none"/>
          <w:u w:val="single"/>
          <w14:textFill>
            <w14:solidFill>
              <w14:schemeClr w14:val="tx1"/>
            </w14:solidFill>
          </w14:textFill>
        </w:rPr>
        <w:t>（分包供应商X</w:t>
      </w:r>
      <w:r>
        <w:rPr>
          <w:rFonts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……）提供的</w:t>
      </w:r>
      <w:r>
        <w:rPr>
          <w:rFonts w:hint="eastAsia" w:ascii="宋体" w:hAnsi="宋体" w:cs="宋体"/>
          <w:color w:val="000000" w:themeColor="text1"/>
          <w:kern w:val="0"/>
          <w:sz w:val="24"/>
          <w:highlight w:val="none"/>
          <w:u w:val="single"/>
          <w:lang w:val="en-US" w:eastAsia="zh-CN"/>
          <w14:textFill>
            <w14:solidFill>
              <w14:schemeClr w14:val="tx1"/>
            </w14:solidFill>
          </w14:textFill>
        </w:rPr>
        <w:t>服务</w:t>
      </w:r>
      <w:r>
        <w:rPr>
          <w:rFonts w:hint="eastAsia" w:ascii="宋体" w:hAnsi="宋体" w:cs="宋体"/>
          <w:color w:val="000000" w:themeColor="text1"/>
          <w:kern w:val="0"/>
          <w:sz w:val="24"/>
          <w:highlight w:val="none"/>
          <w:u w:val="single"/>
          <w14:textFill>
            <w14:solidFill>
              <w14:schemeClr w14:val="tx1"/>
            </w14:solidFill>
          </w14:textFill>
        </w:rPr>
        <w:t>全部由小微企业</w:t>
      </w:r>
      <w:r>
        <w:rPr>
          <w:rFonts w:hint="eastAsia" w:ascii="宋体" w:hAnsi="宋体" w:cs="宋体"/>
          <w:color w:val="000000" w:themeColor="text1"/>
          <w:kern w:val="0"/>
          <w:sz w:val="24"/>
          <w:highlight w:val="none"/>
          <w:u w:val="single"/>
          <w:lang w:val="en-US" w:eastAsia="zh-CN"/>
          <w14:textFill>
            <w14:solidFill>
              <w14:schemeClr w14:val="tx1"/>
            </w14:solidFill>
          </w14:textFill>
        </w:rPr>
        <w:t>提供</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其合同份额占到合同总金额</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%以上</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000000" w:themeColor="text1"/>
          <w:sz w:val="24"/>
          <w:highlight w:val="none"/>
          <w14:textFill>
            <w14:solidFill>
              <w14:schemeClr w14:val="tx1"/>
            </w14:solidFill>
          </w14:textFill>
        </w:rPr>
        <w:t>拟享受以上价格扣除政策的，填写有关内容。</w:t>
      </w:r>
      <w:r>
        <w:rPr>
          <w:rFonts w:hint="eastAsia" w:ascii="宋体" w:hAnsi="宋体" w:cs="宋体"/>
          <w:b/>
          <w:color w:val="000000" w:themeColor="text1"/>
          <w:kern w:val="0"/>
          <w:sz w:val="24"/>
          <w:highlight w:val="none"/>
          <w:lang w:val="zh-CN"/>
          <w14:textFill>
            <w14:solidFill>
              <w14:schemeClr w14:val="tx1"/>
            </w14:solidFill>
          </w14:textFill>
        </w:rPr>
        <w:t>）</w:t>
      </w:r>
    </w:p>
    <w:p w14:paraId="08543F1B">
      <w:pPr>
        <w:spacing w:line="360" w:lineRule="auto"/>
        <w:ind w:firstLine="480" w:firstLineChars="200"/>
        <w:rPr>
          <w:rFonts w:ascii="宋体" w:hAnsi="宋体" w:cs="宋体"/>
          <w:b/>
          <w:bCs/>
          <w:color w:val="000000" w:themeColor="text1"/>
          <w:kern w:val="0"/>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bookmarkStart w:id="459" w:name="_Hlk101133173"/>
      <w:r>
        <w:rPr>
          <w:rFonts w:hint="eastAsia" w:ascii="宋体" w:hAnsi="宋体" w:cs="宋体"/>
          <w:color w:val="000000" w:themeColor="text1"/>
          <w:sz w:val="24"/>
          <w:highlight w:val="none"/>
          <w14:textFill>
            <w14:solidFill>
              <w14:schemeClr w14:val="tx1"/>
            </w14:solidFill>
          </w14:textFill>
        </w:rPr>
        <w:t>中小企业合同金额达到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%，其中小微企业合同金额达到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要求合同分包形式参加的项目或采购包，供应商按招标文件第一部分招标公告申请人的资格要求中规定的</w:t>
      </w:r>
      <w:r>
        <w:rPr>
          <w:rFonts w:hint="eastAsia" w:ascii="宋体" w:hAnsi="宋体" w:cs="宋体"/>
          <w:b/>
          <w:color w:val="000000" w:themeColor="text1"/>
          <w:kern w:val="0"/>
          <w:sz w:val="24"/>
          <w:highlight w:val="none"/>
          <w:lang w:val="zh-CN"/>
          <w14:textFill>
            <w14:solidFill>
              <w14:schemeClr w14:val="tx1"/>
            </w14:solidFill>
          </w14:textFill>
        </w:rPr>
        <w:t>分包意向协议</w:t>
      </w:r>
      <w:r>
        <w:rPr>
          <w:rFonts w:hint="eastAsia" w:ascii="宋体" w:hAnsi="宋体" w:cs="宋体"/>
          <w:b/>
          <w:bCs/>
          <w:color w:val="000000" w:themeColor="text1"/>
          <w:sz w:val="24"/>
          <w:highlight w:val="none"/>
          <w14:textFill>
            <w14:solidFill>
              <w14:schemeClr w14:val="tx1"/>
            </w14:solidFill>
          </w14:textFill>
        </w:rPr>
        <w:t>中中小企业、小微企业合同金额应当达到的比例要求填写。</w:t>
      </w:r>
      <w:r>
        <w:rPr>
          <w:rFonts w:hint="eastAsia" w:ascii="宋体" w:hAnsi="宋体" w:cs="宋体"/>
          <w:b/>
          <w:bCs/>
          <w:color w:val="000000" w:themeColor="text1"/>
          <w:kern w:val="0"/>
          <w:sz w:val="24"/>
          <w:highlight w:val="none"/>
          <w:lang w:val="zh-CN"/>
          <w14:textFill>
            <w14:solidFill>
              <w14:schemeClr w14:val="tx1"/>
            </w14:solidFill>
          </w14:textFill>
        </w:rPr>
        <w:t>）</w:t>
      </w:r>
      <w:bookmarkEnd w:id="459"/>
    </w:p>
    <w:p w14:paraId="522EE74C">
      <w:pPr>
        <w:snapToGrid w:val="0"/>
        <w:spacing w:line="24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三、分包工作履行期限、地点、方式</w:t>
      </w:r>
    </w:p>
    <w:p w14:paraId="49CC596A">
      <w:pPr>
        <w:snapToGrid w:val="0"/>
        <w:spacing w:line="240" w:lineRule="auto"/>
        <w:ind w:firstLine="576"/>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2766DC6B">
      <w:pPr>
        <w:snapToGrid w:val="0"/>
        <w:spacing w:line="24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四、质量</w:t>
      </w:r>
    </w:p>
    <w:p w14:paraId="081B6C54">
      <w:pPr>
        <w:snapToGrid w:val="0"/>
        <w:spacing w:line="24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1BA94838">
      <w:pPr>
        <w:snapToGrid w:val="0"/>
        <w:spacing w:line="24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五、价款或者报酬</w:t>
      </w:r>
    </w:p>
    <w:p w14:paraId="08773A20">
      <w:pPr>
        <w:snapToGrid w:val="0"/>
        <w:spacing w:line="240" w:lineRule="auto"/>
        <w:ind w:left="573" w:leftChars="273"/>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336FC835">
      <w:pPr>
        <w:snapToGrid w:val="0"/>
        <w:spacing w:line="240" w:lineRule="auto"/>
        <w:ind w:left="573" w:leftChars="273"/>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六、违约责任</w:t>
      </w:r>
    </w:p>
    <w:p w14:paraId="15EC2DAE">
      <w:pPr>
        <w:snapToGrid w:val="0"/>
        <w:spacing w:line="24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34123DA6">
      <w:pPr>
        <w:snapToGrid w:val="0"/>
        <w:spacing w:line="24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七、争议解决的办法</w:t>
      </w:r>
    </w:p>
    <w:p w14:paraId="533223A7">
      <w:pPr>
        <w:snapToGrid w:val="0"/>
        <w:spacing w:line="24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084D478C">
      <w:pPr>
        <w:snapToGrid w:val="0"/>
        <w:spacing w:line="360" w:lineRule="auto"/>
        <w:ind w:left="5758" w:leftChars="342" w:hanging="5040" w:hanging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投标人名称(</w:t>
      </w:r>
      <w:r>
        <w:rPr>
          <w:rFonts w:hint="eastAsia" w:ascii="宋体" w:hAnsi="宋体" w:cs="宋体"/>
          <w:color w:val="000000" w:themeColor="text1"/>
          <w:kern w:val="0"/>
          <w:sz w:val="24"/>
          <w:highlight w:val="none"/>
          <w:lang w:val="en-US" w:eastAsia="zh-CN"/>
          <w14:textFill>
            <w14:solidFill>
              <w14:schemeClr w14:val="tx1"/>
            </w14:solidFill>
          </w14:textFill>
        </w:rPr>
        <w:t>电子签章</w:t>
      </w:r>
      <w:r>
        <w:rPr>
          <w:rFonts w:hint="eastAsia" w:ascii="宋体" w:hAnsi="宋体" w:cs="宋体"/>
          <w:color w:val="000000" w:themeColor="text1"/>
          <w:kern w:val="0"/>
          <w:sz w:val="24"/>
          <w:highlight w:val="none"/>
          <w:lang w:val="zh-CN"/>
          <w14:textFill>
            <w14:solidFill>
              <w14:schemeClr w14:val="tx1"/>
            </w14:solidFill>
          </w14:textFill>
        </w:rPr>
        <w:t>)：</w:t>
      </w:r>
    </w:p>
    <w:p w14:paraId="5CA6A26C">
      <w:pPr>
        <w:snapToGrid w:val="0"/>
        <w:spacing w:line="360" w:lineRule="auto"/>
        <w:ind w:left="5746" w:leftChars="2736" w:firstLine="0" w:firstLineChars="0"/>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分包供应商名称(</w:t>
      </w:r>
      <w:r>
        <w:rPr>
          <w:rFonts w:hint="eastAsia" w:ascii="宋体" w:hAnsi="宋体" w:cs="宋体"/>
          <w:color w:val="000000" w:themeColor="text1"/>
          <w:kern w:val="0"/>
          <w:sz w:val="24"/>
          <w:highlight w:val="none"/>
          <w:lang w:val="en-US" w:eastAsia="zh-CN"/>
          <w14:textFill>
            <w14:solidFill>
              <w14:schemeClr w14:val="tx1"/>
            </w14:solidFill>
          </w14:textFill>
        </w:rPr>
        <w:t>电子签章</w:t>
      </w:r>
      <w:r>
        <w:rPr>
          <w:rFonts w:hint="eastAsia" w:ascii="宋体" w:hAnsi="宋体" w:cs="宋体"/>
          <w:color w:val="000000" w:themeColor="text1"/>
          <w:kern w:val="0"/>
          <w:sz w:val="24"/>
          <w:highlight w:val="none"/>
          <w:lang w:val="zh-CN"/>
          <w14:textFill>
            <w14:solidFill>
              <w14:schemeClr w14:val="tx1"/>
            </w14:solidFill>
          </w14:textFill>
        </w:rPr>
        <w:t>)：</w:t>
      </w:r>
    </w:p>
    <w:p w14:paraId="708F2197">
      <w:pPr>
        <w:snapToGrid w:val="0"/>
        <w:spacing w:line="360" w:lineRule="auto"/>
        <w:ind w:firstLine="5760" w:firstLineChars="2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p w14:paraId="5BAFEA59">
      <w:pPr>
        <w:spacing w:line="360" w:lineRule="auto"/>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2D9F30BF">
      <w:pPr>
        <w:spacing w:line="360" w:lineRule="auto"/>
        <w:ind w:right="420"/>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5DDC5442">
      <w:pPr>
        <w:jc w:val="center"/>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附件</w:t>
      </w:r>
      <w:r>
        <w:rPr>
          <w:rFonts w:hint="eastAsia"/>
          <w:b/>
          <w:bCs/>
          <w:color w:val="000000" w:themeColor="text1"/>
          <w:sz w:val="32"/>
          <w:szCs w:val="32"/>
          <w:highlight w:val="none"/>
          <w:lang w:val="en-US" w:eastAsia="zh-CN"/>
          <w14:textFill>
            <w14:solidFill>
              <w14:schemeClr w14:val="tx1"/>
            </w14:solidFill>
          </w14:textFill>
        </w:rPr>
        <w:t>4</w:t>
      </w:r>
      <w:r>
        <w:rPr>
          <w:rFonts w:hint="eastAsia"/>
          <w:b/>
          <w:bCs/>
          <w:color w:val="000000" w:themeColor="text1"/>
          <w:sz w:val="32"/>
          <w:szCs w:val="32"/>
          <w:highlight w:val="none"/>
          <w14:textFill>
            <w14:solidFill>
              <w14:schemeClr w14:val="tx1"/>
            </w14:solidFill>
          </w14:textFill>
        </w:rPr>
        <w:t>：中小企业声明函</w:t>
      </w:r>
      <w:bookmarkEnd w:id="457"/>
    </w:p>
    <w:p w14:paraId="5BB8879C">
      <w:pPr>
        <w:spacing w:line="360" w:lineRule="auto"/>
        <w:jc w:val="center"/>
        <w:rPr>
          <w:rFonts w:ascii="宋体" w:hAnsi="宋体" w:cs="宋体"/>
          <w:color w:val="000000" w:themeColor="text1"/>
          <w:sz w:val="24"/>
          <w:highlight w:val="none"/>
          <w:u w:val="single"/>
          <w14:textFill>
            <w14:solidFill>
              <w14:schemeClr w14:val="tx1"/>
            </w14:solidFill>
          </w14:textFill>
        </w:rPr>
      </w:pPr>
    </w:p>
    <w:p w14:paraId="1C3BEF58">
      <w:pPr>
        <w:jc w:val="center"/>
        <w:rPr>
          <w:rFonts w:ascii="宋体" w:cs="宋体"/>
          <w:b/>
          <w:color w:val="000000" w:themeColor="text1"/>
          <w:kern w:val="0"/>
          <w:sz w:val="32"/>
          <w:szCs w:val="32"/>
          <w:highlight w:val="none"/>
          <w14:textFill>
            <w14:solidFill>
              <w14:schemeClr w14:val="tx1"/>
            </w14:solidFill>
          </w14:textFill>
        </w:rPr>
      </w:pPr>
      <w:r>
        <w:rPr>
          <w:rFonts w:hint="eastAsia" w:ascii="宋体" w:cs="宋体"/>
          <w:b/>
          <w:color w:val="000000" w:themeColor="text1"/>
          <w:kern w:val="0"/>
          <w:sz w:val="32"/>
          <w:szCs w:val="32"/>
          <w:highlight w:val="none"/>
          <w14:textFill>
            <w14:solidFill>
              <w14:schemeClr w14:val="tx1"/>
            </w14:solidFill>
          </w14:textFill>
        </w:rPr>
        <w:t>中小企业声明函（服务）</w:t>
      </w:r>
    </w:p>
    <w:p w14:paraId="27D6E10D">
      <w:pPr>
        <w:jc w:val="center"/>
        <w:rPr>
          <w:rFonts w:ascii="宋体" w:cs="宋体"/>
          <w:b/>
          <w:color w:val="000000" w:themeColor="text1"/>
          <w:kern w:val="0"/>
          <w:sz w:val="28"/>
          <w:szCs w:val="28"/>
          <w:highlight w:val="none"/>
          <w14:textFill>
            <w14:solidFill>
              <w14:schemeClr w14:val="tx1"/>
            </w14:solidFill>
          </w14:textFill>
        </w:rPr>
      </w:pPr>
    </w:p>
    <w:p w14:paraId="3A888E0B">
      <w:pPr>
        <w:snapToGrid w:val="0"/>
        <w:spacing w:line="360" w:lineRule="auto"/>
        <w:ind w:firstLine="720" w:firstLineChars="3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z w:val="24"/>
          <w:highlight w:val="none"/>
          <w:u w:val="single"/>
          <w:lang w:eastAsia="zh-CN"/>
          <w14:textFill>
            <w14:solidFill>
              <w14:schemeClr w14:val="tx1"/>
            </w14:solidFill>
          </w14:textFill>
        </w:rPr>
        <w:t>宁波市北仑区人民医院应急医疗救治中心核医学系统采购项目（</w:t>
      </w:r>
      <w:r>
        <w:rPr>
          <w:rFonts w:hint="eastAsia" w:ascii="宋体" w:hAnsi="宋体" w:cs="宋体"/>
          <w:color w:val="000000" w:themeColor="text1"/>
          <w:sz w:val="24"/>
          <w:highlight w:val="none"/>
          <w:u w:val="single"/>
          <w:lang w:val="en-US" w:eastAsia="zh-CN"/>
          <w14:textFill>
            <w14:solidFill>
              <w14:schemeClr w14:val="tx1"/>
            </w14:solidFill>
          </w14:textFill>
        </w:rPr>
        <w:t>项目编号：CBNB-20261132-BL018G</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14:paraId="7F8C5497">
      <w:pPr>
        <w:snapToGrid w:val="0"/>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u w:val="single"/>
          <w:lang w:eastAsia="zh-CN"/>
          <w14:textFill>
            <w14:solidFill>
              <w14:schemeClr w14:val="tx1"/>
            </w14:solidFill>
          </w14:textFill>
        </w:rPr>
        <w:t>核医学系统</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u w:val="none"/>
          <w14:textFill>
            <w14:solidFill>
              <w14:schemeClr w14:val="tx1"/>
            </w14:solidFill>
          </w14:textFill>
        </w:rPr>
        <w:t>属于</w:t>
      </w:r>
      <w:r>
        <w:rPr>
          <w:rFonts w:hint="eastAsia" w:ascii="宋体" w:hAnsi="宋体" w:cs="宋体"/>
          <w:color w:val="000000" w:themeColor="text1"/>
          <w:sz w:val="24"/>
          <w:highlight w:val="none"/>
          <w:u w:val="single"/>
          <w:lang w:val="en-US" w:eastAsia="zh-CN"/>
          <w14:textFill>
            <w14:solidFill>
              <w14:schemeClr w14:val="tx1"/>
            </w14:solidFill>
          </w14:textFill>
        </w:rPr>
        <w:t>软件和信息技术服务业</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承接企业为</w:t>
      </w:r>
      <w:r>
        <w:rPr>
          <w:rFonts w:hint="eastAsia" w:ascii="宋体" w:hAnsi="宋体" w:cs="宋体"/>
          <w:bCs/>
          <w:color w:val="000000" w:themeColor="text1"/>
          <w:sz w:val="24"/>
          <w:highlight w:val="none"/>
          <w:u w:val="single"/>
          <w14:textFill>
            <w14:solidFill>
              <w14:schemeClr w14:val="tx1"/>
            </w14:solidFill>
          </w14:textFill>
        </w:rPr>
        <w:t xml:space="preserve">（企业名称）            </w:t>
      </w:r>
      <w:r>
        <w:rPr>
          <w:rFonts w:hint="eastAsia" w:ascii="宋体" w:hAnsi="宋体" w:cs="宋体"/>
          <w:bCs/>
          <w:color w:val="000000" w:themeColor="text1"/>
          <w:sz w:val="24"/>
          <w:highlight w:val="none"/>
          <w14:textFill>
            <w14:solidFill>
              <w14:schemeClr w14:val="tx1"/>
            </w14:solidFill>
          </w14:textFill>
        </w:rPr>
        <w:t>，从业人员</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人，营业收入为</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万元，资产总额为</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万元，属于</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u w:val="single"/>
          <w14:textFill>
            <w14:solidFill>
              <w14:schemeClr w14:val="tx1"/>
            </w14:solidFill>
          </w14:textFill>
        </w:rPr>
        <w:t>中型企业</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u w:val="single"/>
          <w14:textFill>
            <w14:solidFill>
              <w14:schemeClr w14:val="tx1"/>
            </w14:solidFill>
          </w14:textFill>
        </w:rPr>
        <w:t>小型企业</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u w:val="single"/>
          <w14:textFill>
            <w14:solidFill>
              <w14:schemeClr w14:val="tx1"/>
            </w14:solidFill>
          </w14:textFill>
        </w:rPr>
        <w:t>微型企业</w:t>
      </w:r>
      <w:r>
        <w:rPr>
          <w:rFonts w:hint="eastAsia" w:ascii="宋体" w:hAnsi="宋体" w:cs="宋体"/>
          <w:bCs/>
          <w:color w:val="000000" w:themeColor="text1"/>
          <w:sz w:val="24"/>
          <w:highlight w:val="none"/>
          <w14:textFill>
            <w14:solidFill>
              <w14:schemeClr w14:val="tx1"/>
            </w14:solidFill>
          </w14:textFill>
        </w:rPr>
        <w:t>）；</w:t>
      </w:r>
    </w:p>
    <w:p w14:paraId="25E4573C">
      <w:pPr>
        <w:snapToGrid w:val="0"/>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41343177">
      <w:pPr>
        <w:snapToGrid w:val="0"/>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本企业对上述声明内容的真实性负责。如有虚假，将依法承担相应责任。</w:t>
      </w:r>
    </w:p>
    <w:p w14:paraId="5FAB2A48">
      <w:pPr>
        <w:snapToGrid w:val="0"/>
        <w:spacing w:line="360" w:lineRule="auto"/>
        <w:ind w:firstLine="720" w:firstLineChars="3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w:t>
      </w:r>
    </w:p>
    <w:p w14:paraId="6E41F548">
      <w:pPr>
        <w:snapToGrid w:val="0"/>
        <w:spacing w:line="360" w:lineRule="auto"/>
        <w:ind w:firstLine="3600" w:firstLineChars="15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企业名称（盖章）：</w:t>
      </w:r>
    </w:p>
    <w:p w14:paraId="22B73E41">
      <w:pPr>
        <w:snapToGrid w:val="0"/>
        <w:spacing w:line="360" w:lineRule="auto"/>
        <w:ind w:firstLine="720" w:firstLineChars="3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日期：</w:t>
      </w:r>
    </w:p>
    <w:p w14:paraId="44AECA12">
      <w:pPr>
        <w:spacing w:line="500" w:lineRule="exact"/>
        <w:rPr>
          <w:rFonts w:ascii="仿宋" w:hAnsi="仿宋" w:eastAsia="仿宋"/>
          <w:color w:val="000000" w:themeColor="text1"/>
          <w:sz w:val="32"/>
          <w:szCs w:val="32"/>
          <w:highlight w:val="none"/>
          <w:u w:val="single"/>
          <w14:textFill>
            <w14:solidFill>
              <w14:schemeClr w14:val="tx1"/>
            </w14:solidFill>
          </w14:textFill>
        </w:rPr>
      </w:pPr>
    </w:p>
    <w:p w14:paraId="7F044114">
      <w:pPr>
        <w:spacing w:line="500" w:lineRule="exact"/>
        <w:rPr>
          <w:rFonts w:ascii="仿宋" w:hAnsi="仿宋" w:eastAsia="仿宋"/>
          <w:color w:val="000000" w:themeColor="text1"/>
          <w:sz w:val="32"/>
          <w:szCs w:val="32"/>
          <w:highlight w:val="none"/>
          <w:u w:val="single"/>
          <w14:textFill>
            <w14:solidFill>
              <w14:schemeClr w14:val="tx1"/>
            </w14:solidFill>
          </w14:textFill>
        </w:rPr>
      </w:pPr>
    </w:p>
    <w:p w14:paraId="2A6625B6">
      <w:pPr>
        <w:snapToGrid w:val="0"/>
        <w:spacing w:line="360" w:lineRule="auto"/>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1.从业人员、营业收入、资产总额填报上一年度数据，无上一年度数据的新成立企业可不填报。</w:t>
      </w:r>
    </w:p>
    <w:p w14:paraId="5E13C6F2">
      <w:pPr>
        <w:snapToGrid w:val="0"/>
        <w:spacing w:line="360" w:lineRule="auto"/>
        <w:rPr>
          <w:rFonts w:hint="eastAsia" w:ascii="宋体" w:hAnsi="宋体" w:eastAsia="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2.</w:t>
      </w:r>
      <w:r>
        <w:rPr>
          <w:rFonts w:hint="eastAsia" w:ascii="宋体" w:hAnsi="宋体" w:cs="宋体"/>
          <w:b/>
          <w:bCs w:val="0"/>
          <w:color w:val="000000" w:themeColor="text1"/>
          <w:szCs w:val="21"/>
          <w:highlight w:val="none"/>
          <w:lang w:val="en-US" w:eastAsia="zh-CN"/>
          <w14:textFill>
            <w14:solidFill>
              <w14:schemeClr w14:val="tx1"/>
            </w14:solidFill>
          </w14:textFill>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b/>
          <w:bCs w:val="0"/>
          <w:color w:val="000000" w:themeColor="text1"/>
          <w:szCs w:val="21"/>
          <w:highlight w:val="none"/>
          <w:lang w:val="en-US"/>
          <w14:textFill>
            <w14:solidFill>
              <w14:schemeClr w14:val="tx1"/>
            </w14:solidFill>
          </w14:textFill>
        </w:rPr>
        <w:t xml:space="preserve"> </w:t>
      </w:r>
    </w:p>
    <w:p w14:paraId="20522F67">
      <w:pPr>
        <w:snapToGrid w:val="0"/>
        <w:spacing w:line="360" w:lineRule="auto"/>
        <w:rPr>
          <w:rFonts w:hint="eastAsia" w:ascii="宋体" w:hAnsi="宋体" w:cs="宋体"/>
          <w:bCs/>
          <w:color w:val="000000" w:themeColor="text1"/>
          <w:szCs w:val="21"/>
          <w:highlight w:val="none"/>
          <w14:textFill>
            <w14:solidFill>
              <w14:schemeClr w14:val="tx1"/>
            </w14:solidFill>
          </w14:textFill>
        </w:rPr>
      </w:pPr>
    </w:p>
    <w:p w14:paraId="34ABA953">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风险提示：</w:t>
      </w:r>
      <w:r>
        <w:rPr>
          <w:rFonts w:hint="eastAsia" w:ascii="宋体" w:hAnsi="宋体" w:cs="宋体"/>
          <w:bCs/>
          <w:color w:val="000000" w:themeColor="text1"/>
          <w:szCs w:val="21"/>
          <w:highlight w:val="none"/>
          <w14:textFill>
            <w14:solidFill>
              <w14:schemeClr w14:val="tx1"/>
            </w14:solidFill>
          </w14:textFill>
        </w:rPr>
        <w:br w:type="textWrapping"/>
      </w:r>
      <w:r>
        <w:rPr>
          <w:rFonts w:hint="eastAsia" w:ascii="宋体" w:hAnsi="宋体" w:cs="宋体"/>
          <w:bCs/>
          <w:color w:val="000000" w:themeColor="text1"/>
          <w:szCs w:val="21"/>
          <w:highlight w:val="none"/>
          <w14:textFill>
            <w14:solidFill>
              <w14:schemeClr w14:val="tx1"/>
            </w14:solidFill>
          </w14:textFill>
        </w:rPr>
        <w:t>1.投标人应当对其出具的《中小企业声明函》真实性负责，投标人出具的《中小企业声明函》内容不实的，属于提供虚假材料谋取中标。在实际操作中，投标人希望获得《办法》规定政策支持的，应从制造商处获得充分、准确的信息。对相关制造商信息了解不充分，或者不能确定相关信息真实、准确的，不建议出具《中小企业声明函》。</w:t>
      </w:r>
    </w:p>
    <w:p w14:paraId="1A5FA357">
      <w:pPr>
        <w:spacing w:line="360" w:lineRule="auto"/>
        <w:jc w:val="center"/>
        <w:rPr>
          <w:rFonts w:ascii="宋体" w:hAnsi="宋体" w:cs="宋体"/>
          <w:b/>
          <w:color w:val="000000" w:themeColor="text1"/>
          <w:sz w:val="32"/>
          <w:szCs w:val="32"/>
          <w:highlight w:val="none"/>
          <w14:textFill>
            <w14:solidFill>
              <w14:schemeClr w14:val="tx1"/>
            </w14:solidFill>
          </w14:textFill>
        </w:rPr>
      </w:pPr>
    </w:p>
    <w:bookmarkEnd w:id="460"/>
    <w:sectPr>
      <w:headerReference r:id="rId14" w:type="first"/>
      <w:footerReference r:id="rId17" w:type="first"/>
      <w:headerReference r:id="rId13" w:type="default"/>
      <w:footerReference r:id="rId15" w:type="default"/>
      <w:footerReference r:id="rId16" w:type="even"/>
      <w:pgSz w:w="11905" w:h="16838"/>
      <w:pgMar w:top="1474" w:right="1417" w:bottom="1247" w:left="1417" w:header="851" w:footer="850"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0000000000000000000"/>
    <w:charset w:val="00"/>
    <w:family w:val="auto"/>
    <w:pitch w:val="default"/>
    <w:sig w:usb0="A00002EF" w:usb1="4000204B" w:usb2="00000000" w:usb3="00000000" w:csb0="2000019F"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MS Gothic"/>
    <w:panose1 w:val="02020609040205080304"/>
    <w:charset w:val="80"/>
    <w:family w:val="roman"/>
    <w:pitch w:val="default"/>
    <w:sig w:usb0="00000000" w:usb1="00000000" w:usb2="00000010" w:usb3="00000000" w:csb0="0002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D31EC">
    <w:pPr>
      <w:pStyle w:val="3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37DA9">
                          <w:pPr>
                            <w:pStyle w:val="3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7D37DA9">
                    <w:pPr>
                      <w:pStyle w:val="3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2201C">
    <w:pPr>
      <w:pStyle w:val="3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49EFD">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6849EFD">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D4AE7">
    <w:pP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25163">
                          <w:pPr>
                            <w:pStyle w:val="3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5B25163">
                    <w:pPr>
                      <w:pStyle w:val="3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9233F">
    <w:pP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1E497">
                          <w:pPr>
                            <w:pStyle w:val="3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A21E497">
                    <w:pPr>
                      <w:pStyle w:val="3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BACB">
    <w:pP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4F6A6">
                          <w:pPr>
                            <w:pStyle w:val="3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0E4F6A6">
                    <w:pPr>
                      <w:pStyle w:val="3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8BA2">
    <w:pPr>
      <w:pStyle w:val="39"/>
      <w:rPr>
        <w:rFonts w:ascii="仿宋_GB2312" w:eastAsia="仿宋_GB2312"/>
        <w:szCs w:val="24"/>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122C6">
                          <w:pPr>
                            <w:pStyle w:val="3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BB122C6">
                    <w:pPr>
                      <w:pStyle w:val="3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34895">
    <w:pPr>
      <w:pStyle w:val="39"/>
      <w:framePr w:wrap="around" w:vAnchor="text" w:hAnchor="margin" w:xAlign="right" w:y="1"/>
      <w:rPr>
        <w:rStyle w:val="74"/>
      </w:rPr>
    </w:pPr>
    <w:r>
      <w:fldChar w:fldCharType="begin"/>
    </w:r>
    <w:r>
      <w:rPr>
        <w:rStyle w:val="74"/>
      </w:rPr>
      <w:instrText xml:space="preserve">PAGE  </w:instrText>
    </w:r>
    <w:r>
      <w:fldChar w:fldCharType="end"/>
    </w:r>
  </w:p>
  <w:p w14:paraId="0C2156B6">
    <w:pPr>
      <w:pStyle w:val="3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52EE1">
    <w:pPr>
      <w:pStyle w:val="39"/>
      <w:rPr>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FFC14">
                          <w:pPr>
                            <w:pStyle w:val="3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60FFC14">
                    <w:pPr>
                      <w:pStyle w:val="3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5BF5F">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72A73">
    <w:pPr>
      <w:pStyle w:val="41"/>
      <w:pBdr>
        <w:bottom w:val="none" w:color="auto" w:sz="0" w:space="1"/>
      </w:pBdr>
    </w:pPr>
    <w:r>
      <w:rPr>
        <w:rFonts w:hint="eastAsia"/>
      </w:rPr>
      <w:tab/>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63CA3">
    <w:pPr>
      <w:pStyle w:val="41"/>
      <w:pBdr>
        <w:bottom w:val="none" w:color="auto" w:sz="0" w:space="1"/>
      </w:pBdr>
      <w:rPr>
        <w:rFonts w:ascii="仿宋_GB2312" w:eastAsia="仿宋_GB2312"/>
        <w:b/>
        <w:i/>
        <w:u w:val="single"/>
      </w:rPr>
    </w:pPr>
    <w:r>
      <w:t></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17B1E">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A974E">
    <w:pPr>
      <w:pStyle w:val="41"/>
      <w:pBdr>
        <w:bottom w:val="none" w:color="auto" w:sz="0" w:space="1"/>
      </w:pBdr>
      <w:jc w:val="both"/>
    </w:pP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E27A6">
    <w:pPr>
      <w:pStyle w:val="41"/>
      <w:pBdr>
        <w:bottom w:val="none" w:color="auto" w:sz="0" w:space="1"/>
      </w:pBdr>
      <w:jc w:val="right"/>
      <w:rPr>
        <w:rFonts w:ascii="仿宋_GB2312" w:eastAsia="仿宋_GB2312"/>
        <w:b/>
        <w:i/>
        <w:iCs/>
        <w:u w:val="single"/>
      </w:rPr>
    </w:pPr>
    <w: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190F6">
    <w:pPr>
      <w:pStyle w:val="41"/>
      <w:pBdr>
        <w:bottom w:val="none" w:color="auto" w:sz="0" w:space="1"/>
      </w:pBdr>
    </w:pPr>
    <w:r>
      <w:t></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DCBF0"/>
    <w:multiLevelType w:val="singleLevel"/>
    <w:tmpl w:val="802DCBF0"/>
    <w:lvl w:ilvl="0" w:tentative="0">
      <w:start w:val="1"/>
      <w:numFmt w:val="decimal"/>
      <w:lvlText w:val="(%1)"/>
      <w:lvlJc w:val="left"/>
      <w:pPr>
        <w:ind w:left="425" w:hanging="425"/>
      </w:pPr>
      <w:rPr>
        <w:rFonts w:hint="default"/>
      </w:rPr>
    </w:lvl>
  </w:abstractNum>
  <w:abstractNum w:abstractNumId="1">
    <w:nsid w:val="8ADEA3B4"/>
    <w:multiLevelType w:val="singleLevel"/>
    <w:tmpl w:val="8ADEA3B4"/>
    <w:lvl w:ilvl="0" w:tentative="0">
      <w:start w:val="1"/>
      <w:numFmt w:val="decimal"/>
      <w:lvlText w:val="%1."/>
      <w:lvlJc w:val="left"/>
      <w:pPr>
        <w:ind w:left="425" w:hanging="425"/>
      </w:pPr>
      <w:rPr>
        <w:rFonts w:hint="default"/>
        <w:b/>
        <w:bCs/>
      </w:rPr>
    </w:lvl>
  </w:abstractNum>
  <w:abstractNum w:abstractNumId="2">
    <w:nsid w:val="8D725E59"/>
    <w:multiLevelType w:val="singleLevel"/>
    <w:tmpl w:val="8D725E59"/>
    <w:lvl w:ilvl="0" w:tentative="0">
      <w:start w:val="1"/>
      <w:numFmt w:val="decimal"/>
      <w:lvlText w:val="%1."/>
      <w:lvlJc w:val="left"/>
      <w:pPr>
        <w:ind w:left="425" w:hanging="425"/>
      </w:pPr>
      <w:rPr>
        <w:rFonts w:hint="default"/>
      </w:rPr>
    </w:lvl>
  </w:abstractNum>
  <w:abstractNum w:abstractNumId="3">
    <w:nsid w:val="8EBB1D5F"/>
    <w:multiLevelType w:val="singleLevel"/>
    <w:tmpl w:val="8EBB1D5F"/>
    <w:lvl w:ilvl="0" w:tentative="0">
      <w:start w:val="1"/>
      <w:numFmt w:val="decimal"/>
      <w:lvlText w:val="%1."/>
      <w:lvlJc w:val="left"/>
      <w:pPr>
        <w:ind w:left="425" w:hanging="425"/>
      </w:pPr>
      <w:rPr>
        <w:rFonts w:hint="default"/>
      </w:rPr>
    </w:lvl>
  </w:abstractNum>
  <w:abstractNum w:abstractNumId="4">
    <w:nsid w:val="8FFBD068"/>
    <w:multiLevelType w:val="singleLevel"/>
    <w:tmpl w:val="8FFBD068"/>
    <w:lvl w:ilvl="0" w:tentative="0">
      <w:start w:val="1"/>
      <w:numFmt w:val="decimal"/>
      <w:lvlText w:val="%1."/>
      <w:lvlJc w:val="left"/>
      <w:pPr>
        <w:ind w:left="425" w:hanging="425"/>
      </w:pPr>
      <w:rPr>
        <w:rFonts w:hint="default"/>
      </w:rPr>
    </w:lvl>
  </w:abstractNum>
  <w:abstractNum w:abstractNumId="5">
    <w:nsid w:val="95F42CD6"/>
    <w:multiLevelType w:val="multilevel"/>
    <w:tmpl w:val="95F42CD6"/>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9726C7F9"/>
    <w:multiLevelType w:val="singleLevel"/>
    <w:tmpl w:val="9726C7F9"/>
    <w:lvl w:ilvl="0" w:tentative="0">
      <w:start w:val="5"/>
      <w:numFmt w:val="chineseCounting"/>
      <w:suff w:val="space"/>
      <w:lvlText w:val="第%1部分"/>
      <w:lvlJc w:val="left"/>
      <w:rPr>
        <w:rFonts w:hint="eastAsia"/>
      </w:rPr>
    </w:lvl>
  </w:abstractNum>
  <w:abstractNum w:abstractNumId="7">
    <w:nsid w:val="9B3A8B03"/>
    <w:multiLevelType w:val="singleLevel"/>
    <w:tmpl w:val="9B3A8B03"/>
    <w:lvl w:ilvl="0" w:tentative="0">
      <w:start w:val="1"/>
      <w:numFmt w:val="decimal"/>
      <w:lvlText w:val="(%1)"/>
      <w:lvlJc w:val="left"/>
      <w:pPr>
        <w:ind w:left="425" w:hanging="425"/>
      </w:pPr>
      <w:rPr>
        <w:rFonts w:hint="default"/>
      </w:rPr>
    </w:lvl>
  </w:abstractNum>
  <w:abstractNum w:abstractNumId="8">
    <w:nsid w:val="AA104A9E"/>
    <w:multiLevelType w:val="singleLevel"/>
    <w:tmpl w:val="AA104A9E"/>
    <w:lvl w:ilvl="0" w:tentative="0">
      <w:start w:val="2"/>
      <w:numFmt w:val="chineseCounting"/>
      <w:suff w:val="nothing"/>
      <w:lvlText w:val="%1、"/>
      <w:lvlJc w:val="left"/>
      <w:rPr>
        <w:rFonts w:hint="eastAsia"/>
      </w:rPr>
    </w:lvl>
  </w:abstractNum>
  <w:abstractNum w:abstractNumId="9">
    <w:nsid w:val="BA623F57"/>
    <w:multiLevelType w:val="singleLevel"/>
    <w:tmpl w:val="BA623F57"/>
    <w:lvl w:ilvl="0" w:tentative="0">
      <w:start w:val="3"/>
      <w:numFmt w:val="chineseCounting"/>
      <w:suff w:val="nothing"/>
      <w:lvlText w:val="%1、"/>
      <w:lvlJc w:val="left"/>
      <w:rPr>
        <w:rFonts w:hint="eastAsia"/>
      </w:rPr>
    </w:lvl>
  </w:abstractNum>
  <w:abstractNum w:abstractNumId="10">
    <w:nsid w:val="CD08A0E5"/>
    <w:multiLevelType w:val="singleLevel"/>
    <w:tmpl w:val="CD08A0E5"/>
    <w:lvl w:ilvl="0" w:tentative="0">
      <w:start w:val="1"/>
      <w:numFmt w:val="decimal"/>
      <w:lvlText w:val="(%1)"/>
      <w:lvlJc w:val="left"/>
      <w:pPr>
        <w:ind w:left="425" w:hanging="425"/>
      </w:pPr>
      <w:rPr>
        <w:rFonts w:hint="default"/>
        <w:b w:val="0"/>
        <w:bCs w:val="0"/>
      </w:rPr>
    </w:lvl>
  </w:abstractNum>
  <w:abstractNum w:abstractNumId="11">
    <w:nsid w:val="DA9F932A"/>
    <w:multiLevelType w:val="singleLevel"/>
    <w:tmpl w:val="DA9F932A"/>
    <w:lvl w:ilvl="0" w:tentative="0">
      <w:start w:val="1"/>
      <w:numFmt w:val="decimal"/>
      <w:lvlText w:val="%1."/>
      <w:lvlJc w:val="left"/>
      <w:pPr>
        <w:ind w:left="425" w:hanging="425"/>
      </w:pPr>
      <w:rPr>
        <w:rFonts w:hint="default"/>
      </w:rPr>
    </w:lvl>
  </w:abstractNum>
  <w:abstractNum w:abstractNumId="12">
    <w:nsid w:val="E03D40C6"/>
    <w:multiLevelType w:val="singleLevel"/>
    <w:tmpl w:val="E03D40C6"/>
    <w:lvl w:ilvl="0" w:tentative="0">
      <w:start w:val="1"/>
      <w:numFmt w:val="decimal"/>
      <w:lvlText w:val="(%1)"/>
      <w:lvlJc w:val="left"/>
      <w:pPr>
        <w:ind w:left="425" w:hanging="425"/>
      </w:pPr>
      <w:rPr>
        <w:rFonts w:hint="default"/>
      </w:rPr>
    </w:lvl>
  </w:abstractNum>
  <w:abstractNum w:abstractNumId="13">
    <w:nsid w:val="E596B22D"/>
    <w:multiLevelType w:val="singleLevel"/>
    <w:tmpl w:val="E596B22D"/>
    <w:lvl w:ilvl="0" w:tentative="0">
      <w:start w:val="6"/>
      <w:numFmt w:val="chineseCounting"/>
      <w:suff w:val="nothing"/>
      <w:lvlText w:val="%1、"/>
      <w:lvlJc w:val="left"/>
      <w:rPr>
        <w:rFonts w:hint="eastAsia"/>
      </w:rPr>
    </w:lvl>
  </w:abstractNum>
  <w:abstractNum w:abstractNumId="14">
    <w:nsid w:val="E87A841A"/>
    <w:multiLevelType w:val="singleLevel"/>
    <w:tmpl w:val="E87A841A"/>
    <w:lvl w:ilvl="0" w:tentative="0">
      <w:start w:val="1"/>
      <w:numFmt w:val="decimal"/>
      <w:lvlText w:val="(%1)"/>
      <w:lvlJc w:val="left"/>
      <w:pPr>
        <w:ind w:left="425" w:hanging="425"/>
      </w:pPr>
      <w:rPr>
        <w:rFonts w:hint="default"/>
        <w:b w:val="0"/>
        <w:bCs w:val="0"/>
      </w:rPr>
    </w:lvl>
  </w:abstractNum>
  <w:abstractNum w:abstractNumId="15">
    <w:nsid w:val="E97DAF9F"/>
    <w:multiLevelType w:val="singleLevel"/>
    <w:tmpl w:val="E97DAF9F"/>
    <w:lvl w:ilvl="0" w:tentative="0">
      <w:start w:val="3"/>
      <w:numFmt w:val="chineseCounting"/>
      <w:suff w:val="nothing"/>
      <w:lvlText w:val="（%1）"/>
      <w:lvlJc w:val="left"/>
      <w:rPr>
        <w:rFonts w:hint="eastAsia"/>
      </w:rPr>
    </w:lvl>
  </w:abstractNum>
  <w:abstractNum w:abstractNumId="16">
    <w:nsid w:val="F5E80F08"/>
    <w:multiLevelType w:val="singleLevel"/>
    <w:tmpl w:val="F5E80F08"/>
    <w:lvl w:ilvl="0" w:tentative="0">
      <w:start w:val="23"/>
      <w:numFmt w:val="decimal"/>
      <w:suff w:val="space"/>
      <w:lvlText w:val="%1."/>
      <w:lvlJc w:val="left"/>
    </w:lvl>
  </w:abstractNum>
  <w:abstractNum w:abstractNumId="17">
    <w:nsid w:val="0212323E"/>
    <w:multiLevelType w:val="singleLevel"/>
    <w:tmpl w:val="0212323E"/>
    <w:lvl w:ilvl="0" w:tentative="0">
      <w:start w:val="1"/>
      <w:numFmt w:val="decimal"/>
      <w:lvlText w:val="%1."/>
      <w:lvlJc w:val="left"/>
      <w:pPr>
        <w:ind w:left="425" w:hanging="425"/>
      </w:pPr>
      <w:rPr>
        <w:rFonts w:hint="default"/>
      </w:rPr>
    </w:lvl>
  </w:abstractNum>
  <w:abstractNum w:abstractNumId="18">
    <w:nsid w:val="04965973"/>
    <w:multiLevelType w:val="singleLevel"/>
    <w:tmpl w:val="04965973"/>
    <w:lvl w:ilvl="0" w:tentative="0">
      <w:start w:val="1"/>
      <w:numFmt w:val="decimal"/>
      <w:lvlText w:val="%1."/>
      <w:lvlJc w:val="left"/>
      <w:pPr>
        <w:ind w:left="425" w:hanging="425"/>
      </w:pPr>
      <w:rPr>
        <w:rFonts w:hint="default"/>
      </w:rPr>
    </w:lvl>
  </w:abstractNum>
  <w:abstractNum w:abstractNumId="19">
    <w:nsid w:val="0526A16D"/>
    <w:multiLevelType w:val="singleLevel"/>
    <w:tmpl w:val="0526A16D"/>
    <w:lvl w:ilvl="0" w:tentative="0">
      <w:start w:val="1"/>
      <w:numFmt w:val="decimal"/>
      <w:lvlText w:val="%1."/>
      <w:lvlJc w:val="left"/>
      <w:pPr>
        <w:ind w:left="425" w:hanging="425"/>
      </w:pPr>
      <w:rPr>
        <w:rFonts w:hint="default"/>
      </w:rPr>
    </w:lvl>
  </w:abstractNum>
  <w:abstractNum w:abstractNumId="20">
    <w:nsid w:val="07482468"/>
    <w:multiLevelType w:val="singleLevel"/>
    <w:tmpl w:val="07482468"/>
    <w:lvl w:ilvl="0" w:tentative="0">
      <w:start w:val="1"/>
      <w:numFmt w:val="decimal"/>
      <w:lvlText w:val="%1."/>
      <w:lvlJc w:val="left"/>
      <w:pPr>
        <w:ind w:left="425" w:hanging="425"/>
      </w:pPr>
      <w:rPr>
        <w:rFonts w:hint="default"/>
      </w:rPr>
    </w:lvl>
  </w:abstractNum>
  <w:abstractNum w:abstractNumId="21">
    <w:nsid w:val="09AA3548"/>
    <w:multiLevelType w:val="singleLevel"/>
    <w:tmpl w:val="09AA3548"/>
    <w:lvl w:ilvl="0" w:tentative="0">
      <w:start w:val="1"/>
      <w:numFmt w:val="decimal"/>
      <w:lvlText w:val="%1."/>
      <w:lvlJc w:val="left"/>
      <w:pPr>
        <w:ind w:left="425" w:hanging="425"/>
      </w:pPr>
      <w:rPr>
        <w:rFonts w:hint="default"/>
      </w:rPr>
    </w:lvl>
  </w:abstractNum>
  <w:abstractNum w:abstractNumId="22">
    <w:nsid w:val="0D43D065"/>
    <w:multiLevelType w:val="singleLevel"/>
    <w:tmpl w:val="0D43D065"/>
    <w:lvl w:ilvl="0" w:tentative="0">
      <w:start w:val="1"/>
      <w:numFmt w:val="chineseCounting"/>
      <w:suff w:val="nothing"/>
      <w:lvlText w:val="%1、"/>
      <w:lvlJc w:val="left"/>
      <w:pPr>
        <w:ind w:left="3360"/>
      </w:pPr>
      <w:rPr>
        <w:rFonts w:hint="eastAsia"/>
      </w:rPr>
    </w:lvl>
  </w:abstractNum>
  <w:abstractNum w:abstractNumId="23">
    <w:nsid w:val="157927F4"/>
    <w:multiLevelType w:val="singleLevel"/>
    <w:tmpl w:val="157927F4"/>
    <w:lvl w:ilvl="0" w:tentative="0">
      <w:start w:val="7"/>
      <w:numFmt w:val="chineseCounting"/>
      <w:suff w:val="nothing"/>
      <w:lvlText w:val="%1、"/>
      <w:lvlJc w:val="left"/>
      <w:rPr>
        <w:rFonts w:hint="eastAsia"/>
      </w:rPr>
    </w:lvl>
  </w:abstractNum>
  <w:abstractNum w:abstractNumId="24">
    <w:nsid w:val="16747D06"/>
    <w:multiLevelType w:val="singleLevel"/>
    <w:tmpl w:val="16747D06"/>
    <w:lvl w:ilvl="0" w:tentative="0">
      <w:start w:val="1"/>
      <w:numFmt w:val="decimal"/>
      <w:lvlText w:val="%1."/>
      <w:lvlJc w:val="left"/>
      <w:pPr>
        <w:ind w:left="425" w:hanging="425"/>
      </w:pPr>
      <w:rPr>
        <w:rFonts w:hint="default"/>
      </w:rPr>
    </w:lvl>
  </w:abstractNum>
  <w:abstractNum w:abstractNumId="25">
    <w:nsid w:val="2DA8FE3C"/>
    <w:multiLevelType w:val="singleLevel"/>
    <w:tmpl w:val="2DA8FE3C"/>
    <w:lvl w:ilvl="0" w:tentative="0">
      <w:start w:val="1"/>
      <w:numFmt w:val="decimal"/>
      <w:lvlText w:val="%1."/>
      <w:lvlJc w:val="left"/>
      <w:pPr>
        <w:ind w:left="425" w:hanging="425"/>
      </w:pPr>
      <w:rPr>
        <w:rFonts w:hint="default"/>
      </w:rPr>
    </w:lvl>
  </w:abstractNum>
  <w:abstractNum w:abstractNumId="26">
    <w:nsid w:val="33B535B8"/>
    <w:multiLevelType w:val="singleLevel"/>
    <w:tmpl w:val="33B535B8"/>
    <w:lvl w:ilvl="0" w:tentative="0">
      <w:start w:val="1"/>
      <w:numFmt w:val="decimal"/>
      <w:lvlText w:val="%1."/>
      <w:lvlJc w:val="left"/>
      <w:pPr>
        <w:ind w:left="425" w:hanging="425"/>
      </w:pPr>
      <w:rPr>
        <w:rFonts w:hint="default"/>
      </w:rPr>
    </w:lvl>
  </w:abstractNum>
  <w:abstractNum w:abstractNumId="27">
    <w:nsid w:val="39305887"/>
    <w:multiLevelType w:val="singleLevel"/>
    <w:tmpl w:val="39305887"/>
    <w:lvl w:ilvl="0" w:tentative="0">
      <w:start w:val="1"/>
      <w:numFmt w:val="decimal"/>
      <w:lvlText w:val="%1."/>
      <w:lvlJc w:val="left"/>
      <w:pPr>
        <w:ind w:left="425" w:hanging="425"/>
      </w:pPr>
      <w:rPr>
        <w:rFonts w:hint="default"/>
      </w:rPr>
    </w:lvl>
  </w:abstractNum>
  <w:abstractNum w:abstractNumId="28">
    <w:nsid w:val="3B500D3E"/>
    <w:multiLevelType w:val="singleLevel"/>
    <w:tmpl w:val="3B500D3E"/>
    <w:lvl w:ilvl="0" w:tentative="0">
      <w:start w:val="1"/>
      <w:numFmt w:val="decimal"/>
      <w:suff w:val="nothing"/>
      <w:lvlText w:val="%1、"/>
      <w:lvlJc w:val="left"/>
    </w:lvl>
  </w:abstractNum>
  <w:abstractNum w:abstractNumId="29">
    <w:nsid w:val="3F544571"/>
    <w:multiLevelType w:val="singleLevel"/>
    <w:tmpl w:val="3F544571"/>
    <w:lvl w:ilvl="0" w:tentative="0">
      <w:start w:val="1"/>
      <w:numFmt w:val="decimal"/>
      <w:lvlText w:val="%1."/>
      <w:lvlJc w:val="left"/>
      <w:pPr>
        <w:ind w:left="425" w:hanging="425"/>
      </w:pPr>
      <w:rPr>
        <w:rFonts w:hint="default"/>
      </w:rPr>
    </w:lvl>
  </w:abstractNum>
  <w:abstractNum w:abstractNumId="30">
    <w:nsid w:val="501521BE"/>
    <w:multiLevelType w:val="singleLevel"/>
    <w:tmpl w:val="501521BE"/>
    <w:lvl w:ilvl="0" w:tentative="0">
      <w:start w:val="1"/>
      <w:numFmt w:val="decimal"/>
      <w:lvlText w:val="(%1)"/>
      <w:lvlJc w:val="left"/>
      <w:pPr>
        <w:ind w:left="425" w:hanging="425"/>
      </w:pPr>
      <w:rPr>
        <w:rFonts w:hint="default"/>
      </w:rPr>
    </w:lvl>
  </w:abstractNum>
  <w:abstractNum w:abstractNumId="31">
    <w:nsid w:val="5A07ACDD"/>
    <w:multiLevelType w:val="singleLevel"/>
    <w:tmpl w:val="5A07ACDD"/>
    <w:lvl w:ilvl="0" w:tentative="0">
      <w:start w:val="1"/>
      <w:numFmt w:val="decimal"/>
      <w:lvlText w:val="%1."/>
      <w:lvlJc w:val="left"/>
      <w:pPr>
        <w:ind w:left="425" w:hanging="425"/>
      </w:pPr>
      <w:rPr>
        <w:rFonts w:hint="default"/>
      </w:rPr>
    </w:lvl>
  </w:abstractNum>
  <w:abstractNum w:abstractNumId="32">
    <w:nsid w:val="5F0B451A"/>
    <w:multiLevelType w:val="singleLevel"/>
    <w:tmpl w:val="5F0B451A"/>
    <w:lvl w:ilvl="0" w:tentative="0">
      <w:start w:val="1"/>
      <w:numFmt w:val="decimal"/>
      <w:lvlText w:val="%1."/>
      <w:lvlJc w:val="left"/>
      <w:pPr>
        <w:ind w:left="425" w:hanging="425"/>
      </w:pPr>
      <w:rPr>
        <w:rFonts w:hint="default"/>
      </w:rPr>
    </w:lvl>
  </w:abstractNum>
  <w:abstractNum w:abstractNumId="33">
    <w:nsid w:val="5F96AF98"/>
    <w:multiLevelType w:val="singleLevel"/>
    <w:tmpl w:val="5F96AF98"/>
    <w:lvl w:ilvl="0" w:tentative="0">
      <w:start w:val="1"/>
      <w:numFmt w:val="decimal"/>
      <w:lvlText w:val="%1."/>
      <w:lvlJc w:val="left"/>
      <w:pPr>
        <w:ind w:left="425" w:hanging="425"/>
      </w:pPr>
      <w:rPr>
        <w:rFonts w:hint="default"/>
      </w:rPr>
    </w:lvl>
  </w:abstractNum>
  <w:abstractNum w:abstractNumId="34">
    <w:nsid w:val="68B83339"/>
    <w:multiLevelType w:val="multilevel"/>
    <w:tmpl w:val="68B8333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5">
    <w:nsid w:val="70A11952"/>
    <w:multiLevelType w:val="singleLevel"/>
    <w:tmpl w:val="70A11952"/>
    <w:lvl w:ilvl="0" w:tentative="0">
      <w:start w:val="1"/>
      <w:numFmt w:val="decimal"/>
      <w:lvlText w:val="%1."/>
      <w:lvlJc w:val="left"/>
      <w:pPr>
        <w:ind w:left="425" w:hanging="425"/>
      </w:pPr>
      <w:rPr>
        <w:rFonts w:hint="default"/>
      </w:rPr>
    </w:lvl>
  </w:abstractNum>
  <w:abstractNum w:abstractNumId="36">
    <w:nsid w:val="76CDABB7"/>
    <w:multiLevelType w:val="singleLevel"/>
    <w:tmpl w:val="76CDABB7"/>
    <w:lvl w:ilvl="0" w:tentative="0">
      <w:start w:val="1"/>
      <w:numFmt w:val="decimal"/>
      <w:lvlText w:val="%1."/>
      <w:lvlJc w:val="left"/>
      <w:pPr>
        <w:ind w:left="425" w:hanging="425"/>
      </w:pPr>
      <w:rPr>
        <w:rFonts w:hint="default"/>
        <w:b w:val="0"/>
        <w:bCs w:val="0"/>
      </w:rPr>
    </w:lvl>
  </w:abstractNum>
  <w:abstractNum w:abstractNumId="37">
    <w:nsid w:val="7B2931DF"/>
    <w:multiLevelType w:val="singleLevel"/>
    <w:tmpl w:val="7B2931DF"/>
    <w:lvl w:ilvl="0" w:tentative="0">
      <w:start w:val="1"/>
      <w:numFmt w:val="decimal"/>
      <w:lvlText w:val="(%1)"/>
      <w:lvlJc w:val="left"/>
      <w:pPr>
        <w:ind w:left="425" w:hanging="425"/>
      </w:pPr>
      <w:rPr>
        <w:rFonts w:hint="default"/>
      </w:rPr>
    </w:lvl>
  </w:abstractNum>
  <w:num w:numId="1">
    <w:abstractNumId w:val="16"/>
  </w:num>
  <w:num w:numId="2">
    <w:abstractNumId w:val="15"/>
  </w:num>
  <w:num w:numId="3">
    <w:abstractNumId w:val="34"/>
  </w:num>
  <w:num w:numId="4">
    <w:abstractNumId w:val="5"/>
  </w:num>
  <w:num w:numId="5">
    <w:abstractNumId w:val="6"/>
  </w:num>
  <w:num w:numId="6">
    <w:abstractNumId w:val="11"/>
  </w:num>
  <w:num w:numId="7">
    <w:abstractNumId w:val="32"/>
  </w:num>
  <w:num w:numId="8">
    <w:abstractNumId w:val="8"/>
  </w:num>
  <w:num w:numId="9">
    <w:abstractNumId w:val="9"/>
  </w:num>
  <w:num w:numId="10">
    <w:abstractNumId w:val="1"/>
  </w:num>
  <w:num w:numId="11">
    <w:abstractNumId w:val="21"/>
  </w:num>
  <w:num w:numId="12">
    <w:abstractNumId w:val="4"/>
  </w:num>
  <w:num w:numId="13">
    <w:abstractNumId w:val="23"/>
  </w:num>
  <w:num w:numId="14">
    <w:abstractNumId w:val="27"/>
  </w:num>
  <w:num w:numId="15">
    <w:abstractNumId w:val="36"/>
  </w:num>
  <w:num w:numId="16">
    <w:abstractNumId w:val="35"/>
  </w:num>
  <w:num w:numId="17">
    <w:abstractNumId w:val="33"/>
  </w:num>
  <w:num w:numId="18">
    <w:abstractNumId w:val="30"/>
  </w:num>
  <w:num w:numId="19">
    <w:abstractNumId w:val="10"/>
  </w:num>
  <w:num w:numId="20">
    <w:abstractNumId w:val="14"/>
  </w:num>
  <w:num w:numId="21">
    <w:abstractNumId w:val="17"/>
  </w:num>
  <w:num w:numId="22">
    <w:abstractNumId w:val="12"/>
  </w:num>
  <w:num w:numId="23">
    <w:abstractNumId w:val="31"/>
  </w:num>
  <w:num w:numId="24">
    <w:abstractNumId w:val="0"/>
  </w:num>
  <w:num w:numId="25">
    <w:abstractNumId w:val="20"/>
  </w:num>
  <w:num w:numId="26">
    <w:abstractNumId w:val="37"/>
  </w:num>
  <w:num w:numId="27">
    <w:abstractNumId w:val="7"/>
  </w:num>
  <w:num w:numId="28">
    <w:abstractNumId w:val="26"/>
  </w:num>
  <w:num w:numId="29">
    <w:abstractNumId w:val="29"/>
  </w:num>
  <w:num w:numId="30">
    <w:abstractNumId w:val="24"/>
  </w:num>
  <w:num w:numId="31">
    <w:abstractNumId w:val="2"/>
  </w:num>
  <w:num w:numId="32">
    <w:abstractNumId w:val="18"/>
  </w:num>
  <w:num w:numId="33">
    <w:abstractNumId w:val="25"/>
  </w:num>
  <w:num w:numId="34">
    <w:abstractNumId w:val="19"/>
  </w:num>
  <w:num w:numId="35">
    <w:abstractNumId w:val="3"/>
  </w:num>
  <w:num w:numId="36">
    <w:abstractNumId w:val="13"/>
  </w:num>
  <w:num w:numId="37">
    <w:abstractNumId w:val="2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MDU5NGYxMTI0OGI2YjA3MGJkNWJmYzJmNzNiODEifQ=="/>
    <w:docVar w:name="KSO_WPS_MARK_KEY" w:val="e7379ba6-b342-4f64-9d1c-01821ca1ca73"/>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1996"/>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D67"/>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7A"/>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41B"/>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20C5"/>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228"/>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27F09"/>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5275"/>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0609"/>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192"/>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3F3B"/>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0F58"/>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B7BB6"/>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44CF"/>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B58"/>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1F65"/>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15"/>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9BB"/>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2E96"/>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1EC2"/>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5D2C"/>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19B"/>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BC2"/>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0D6B73"/>
    <w:rsid w:val="011F6449"/>
    <w:rsid w:val="01236AFB"/>
    <w:rsid w:val="015E0632"/>
    <w:rsid w:val="01984804"/>
    <w:rsid w:val="019F7441"/>
    <w:rsid w:val="01B37585"/>
    <w:rsid w:val="01C725F7"/>
    <w:rsid w:val="01D55165"/>
    <w:rsid w:val="01DD2EED"/>
    <w:rsid w:val="01DF6BF8"/>
    <w:rsid w:val="01EA162D"/>
    <w:rsid w:val="01EC2C57"/>
    <w:rsid w:val="020A533B"/>
    <w:rsid w:val="022F3B60"/>
    <w:rsid w:val="023D7C26"/>
    <w:rsid w:val="0250663C"/>
    <w:rsid w:val="025F0711"/>
    <w:rsid w:val="026B2E25"/>
    <w:rsid w:val="02824D4D"/>
    <w:rsid w:val="028E3199"/>
    <w:rsid w:val="02B17AA1"/>
    <w:rsid w:val="02DC4B10"/>
    <w:rsid w:val="02DD76CE"/>
    <w:rsid w:val="02F2136E"/>
    <w:rsid w:val="02F36323"/>
    <w:rsid w:val="02F5619C"/>
    <w:rsid w:val="0326446A"/>
    <w:rsid w:val="032D5555"/>
    <w:rsid w:val="035046C2"/>
    <w:rsid w:val="036634D2"/>
    <w:rsid w:val="03772E0C"/>
    <w:rsid w:val="03807DCC"/>
    <w:rsid w:val="039A756D"/>
    <w:rsid w:val="03BF6CEB"/>
    <w:rsid w:val="03C12BF4"/>
    <w:rsid w:val="03CB2A7D"/>
    <w:rsid w:val="03DD35E4"/>
    <w:rsid w:val="03F659CC"/>
    <w:rsid w:val="04076900"/>
    <w:rsid w:val="041A5A3B"/>
    <w:rsid w:val="042311BA"/>
    <w:rsid w:val="042B157A"/>
    <w:rsid w:val="045E39DC"/>
    <w:rsid w:val="04646B75"/>
    <w:rsid w:val="048F763B"/>
    <w:rsid w:val="049A7F93"/>
    <w:rsid w:val="049F330E"/>
    <w:rsid w:val="04AA775C"/>
    <w:rsid w:val="04AF1889"/>
    <w:rsid w:val="04F66F48"/>
    <w:rsid w:val="05230CD1"/>
    <w:rsid w:val="05251E14"/>
    <w:rsid w:val="05415DC1"/>
    <w:rsid w:val="054E447B"/>
    <w:rsid w:val="05684DD5"/>
    <w:rsid w:val="05842FE2"/>
    <w:rsid w:val="059B1FB3"/>
    <w:rsid w:val="05A16594"/>
    <w:rsid w:val="05A7762D"/>
    <w:rsid w:val="05A81268"/>
    <w:rsid w:val="05D4686F"/>
    <w:rsid w:val="060321AA"/>
    <w:rsid w:val="060E2E9D"/>
    <w:rsid w:val="060E5941"/>
    <w:rsid w:val="06110FAF"/>
    <w:rsid w:val="062956B3"/>
    <w:rsid w:val="06493CA7"/>
    <w:rsid w:val="065A6178"/>
    <w:rsid w:val="066F1CF3"/>
    <w:rsid w:val="067835DA"/>
    <w:rsid w:val="06930BB8"/>
    <w:rsid w:val="06BD60A6"/>
    <w:rsid w:val="06C831BB"/>
    <w:rsid w:val="070A6C9E"/>
    <w:rsid w:val="07103C1A"/>
    <w:rsid w:val="071858B2"/>
    <w:rsid w:val="07245D42"/>
    <w:rsid w:val="07264C62"/>
    <w:rsid w:val="07361D96"/>
    <w:rsid w:val="073E1554"/>
    <w:rsid w:val="07524BBB"/>
    <w:rsid w:val="0779354C"/>
    <w:rsid w:val="07927789"/>
    <w:rsid w:val="07CB2669"/>
    <w:rsid w:val="07E37F3A"/>
    <w:rsid w:val="08061376"/>
    <w:rsid w:val="0822060B"/>
    <w:rsid w:val="08237763"/>
    <w:rsid w:val="08452D77"/>
    <w:rsid w:val="086401F8"/>
    <w:rsid w:val="08751CAA"/>
    <w:rsid w:val="087E4C40"/>
    <w:rsid w:val="08A1141E"/>
    <w:rsid w:val="08A871D0"/>
    <w:rsid w:val="08C77EDE"/>
    <w:rsid w:val="08D179A2"/>
    <w:rsid w:val="08D66AD6"/>
    <w:rsid w:val="08DA33A3"/>
    <w:rsid w:val="08E80F13"/>
    <w:rsid w:val="09335624"/>
    <w:rsid w:val="0944690F"/>
    <w:rsid w:val="09535675"/>
    <w:rsid w:val="095F057D"/>
    <w:rsid w:val="09642282"/>
    <w:rsid w:val="09733572"/>
    <w:rsid w:val="0974583A"/>
    <w:rsid w:val="09772C16"/>
    <w:rsid w:val="098353B5"/>
    <w:rsid w:val="099866AB"/>
    <w:rsid w:val="09A92330"/>
    <w:rsid w:val="09B06B87"/>
    <w:rsid w:val="09C13146"/>
    <w:rsid w:val="09E04166"/>
    <w:rsid w:val="0A1C0718"/>
    <w:rsid w:val="0A3D5E32"/>
    <w:rsid w:val="0A3E7710"/>
    <w:rsid w:val="0A5A2926"/>
    <w:rsid w:val="0A5B7E63"/>
    <w:rsid w:val="0A631A57"/>
    <w:rsid w:val="0AA374A5"/>
    <w:rsid w:val="0AAB7649"/>
    <w:rsid w:val="0AB35169"/>
    <w:rsid w:val="0ABC5606"/>
    <w:rsid w:val="0B1E1CDD"/>
    <w:rsid w:val="0B30404E"/>
    <w:rsid w:val="0B4C6C14"/>
    <w:rsid w:val="0B547599"/>
    <w:rsid w:val="0B555B89"/>
    <w:rsid w:val="0B575693"/>
    <w:rsid w:val="0B631A88"/>
    <w:rsid w:val="0B683D45"/>
    <w:rsid w:val="0B7F3F11"/>
    <w:rsid w:val="0B884417"/>
    <w:rsid w:val="0B9D2952"/>
    <w:rsid w:val="0BA4375D"/>
    <w:rsid w:val="0BEE69CD"/>
    <w:rsid w:val="0BF6188C"/>
    <w:rsid w:val="0BF73C91"/>
    <w:rsid w:val="0BF8699B"/>
    <w:rsid w:val="0C170175"/>
    <w:rsid w:val="0C1C1816"/>
    <w:rsid w:val="0C1E1FC0"/>
    <w:rsid w:val="0C4164BA"/>
    <w:rsid w:val="0C571A41"/>
    <w:rsid w:val="0C5B233E"/>
    <w:rsid w:val="0C5C1171"/>
    <w:rsid w:val="0C5E1CBC"/>
    <w:rsid w:val="0C615B50"/>
    <w:rsid w:val="0C6630E7"/>
    <w:rsid w:val="0C7C1F80"/>
    <w:rsid w:val="0C841CBD"/>
    <w:rsid w:val="0C8445DA"/>
    <w:rsid w:val="0C87121B"/>
    <w:rsid w:val="0CA520B2"/>
    <w:rsid w:val="0CAE1D7A"/>
    <w:rsid w:val="0CC007F7"/>
    <w:rsid w:val="0CC617AC"/>
    <w:rsid w:val="0CD01471"/>
    <w:rsid w:val="0CD90FF1"/>
    <w:rsid w:val="0CDD028F"/>
    <w:rsid w:val="0CE618DF"/>
    <w:rsid w:val="0CF41708"/>
    <w:rsid w:val="0CFE707A"/>
    <w:rsid w:val="0D063BDA"/>
    <w:rsid w:val="0D08375F"/>
    <w:rsid w:val="0D0A5704"/>
    <w:rsid w:val="0D184CFB"/>
    <w:rsid w:val="0D205087"/>
    <w:rsid w:val="0D4A7419"/>
    <w:rsid w:val="0D4B03DD"/>
    <w:rsid w:val="0D50643D"/>
    <w:rsid w:val="0D73545D"/>
    <w:rsid w:val="0D827401"/>
    <w:rsid w:val="0D84094E"/>
    <w:rsid w:val="0D8A00E9"/>
    <w:rsid w:val="0D8D589E"/>
    <w:rsid w:val="0DA01C73"/>
    <w:rsid w:val="0DA111EB"/>
    <w:rsid w:val="0DD63300"/>
    <w:rsid w:val="0DE21F87"/>
    <w:rsid w:val="0DE47FA6"/>
    <w:rsid w:val="0DF50604"/>
    <w:rsid w:val="0DF702FE"/>
    <w:rsid w:val="0E060E51"/>
    <w:rsid w:val="0E5604B2"/>
    <w:rsid w:val="0E6D5D79"/>
    <w:rsid w:val="0E8166E5"/>
    <w:rsid w:val="0E907C1D"/>
    <w:rsid w:val="0E9D0089"/>
    <w:rsid w:val="0EB803EE"/>
    <w:rsid w:val="0EC948FB"/>
    <w:rsid w:val="0EF93F0B"/>
    <w:rsid w:val="0EF94D4B"/>
    <w:rsid w:val="0F1B794E"/>
    <w:rsid w:val="0F4958DC"/>
    <w:rsid w:val="0F515DF7"/>
    <w:rsid w:val="0F596BA8"/>
    <w:rsid w:val="0F6248D2"/>
    <w:rsid w:val="0F693536"/>
    <w:rsid w:val="0F7B0511"/>
    <w:rsid w:val="0F7B76D9"/>
    <w:rsid w:val="0F816ACD"/>
    <w:rsid w:val="0F833462"/>
    <w:rsid w:val="0F9832DB"/>
    <w:rsid w:val="0FBF3FD2"/>
    <w:rsid w:val="0FBF7FF3"/>
    <w:rsid w:val="0FC908B0"/>
    <w:rsid w:val="0FCE5613"/>
    <w:rsid w:val="0FDE284E"/>
    <w:rsid w:val="101E2C79"/>
    <w:rsid w:val="105F1059"/>
    <w:rsid w:val="10601B53"/>
    <w:rsid w:val="10646583"/>
    <w:rsid w:val="107D4B15"/>
    <w:rsid w:val="108A3C80"/>
    <w:rsid w:val="10C26171"/>
    <w:rsid w:val="10D064BB"/>
    <w:rsid w:val="10F33360"/>
    <w:rsid w:val="10FC16EA"/>
    <w:rsid w:val="110F1D40"/>
    <w:rsid w:val="11266F33"/>
    <w:rsid w:val="11507751"/>
    <w:rsid w:val="1162599E"/>
    <w:rsid w:val="118963A1"/>
    <w:rsid w:val="118F1DEA"/>
    <w:rsid w:val="119419EC"/>
    <w:rsid w:val="11AF44AC"/>
    <w:rsid w:val="11BC24C2"/>
    <w:rsid w:val="11BC3956"/>
    <w:rsid w:val="11C6522A"/>
    <w:rsid w:val="11D010D8"/>
    <w:rsid w:val="11E104CC"/>
    <w:rsid w:val="11E20309"/>
    <w:rsid w:val="11EC1D1D"/>
    <w:rsid w:val="12040CA9"/>
    <w:rsid w:val="12255233"/>
    <w:rsid w:val="12530213"/>
    <w:rsid w:val="1265440D"/>
    <w:rsid w:val="1266597B"/>
    <w:rsid w:val="127723A9"/>
    <w:rsid w:val="12862074"/>
    <w:rsid w:val="12883966"/>
    <w:rsid w:val="129E45B4"/>
    <w:rsid w:val="12CC2D3E"/>
    <w:rsid w:val="12D81596"/>
    <w:rsid w:val="12E61BD1"/>
    <w:rsid w:val="1301270F"/>
    <w:rsid w:val="13072A44"/>
    <w:rsid w:val="13291EB0"/>
    <w:rsid w:val="1332653D"/>
    <w:rsid w:val="133E70C5"/>
    <w:rsid w:val="134834E2"/>
    <w:rsid w:val="135F4BE2"/>
    <w:rsid w:val="137B2A7B"/>
    <w:rsid w:val="139B1A0A"/>
    <w:rsid w:val="139D25C7"/>
    <w:rsid w:val="13A20753"/>
    <w:rsid w:val="13BF3CE4"/>
    <w:rsid w:val="141008D8"/>
    <w:rsid w:val="14125FE6"/>
    <w:rsid w:val="144C51FB"/>
    <w:rsid w:val="146D271E"/>
    <w:rsid w:val="14982588"/>
    <w:rsid w:val="149A5AD9"/>
    <w:rsid w:val="14A7619D"/>
    <w:rsid w:val="14A82665"/>
    <w:rsid w:val="150536C3"/>
    <w:rsid w:val="150613FD"/>
    <w:rsid w:val="1509664E"/>
    <w:rsid w:val="150C1963"/>
    <w:rsid w:val="151447A0"/>
    <w:rsid w:val="15175270"/>
    <w:rsid w:val="15434404"/>
    <w:rsid w:val="154A6454"/>
    <w:rsid w:val="15720D94"/>
    <w:rsid w:val="157421B5"/>
    <w:rsid w:val="15762120"/>
    <w:rsid w:val="16367E70"/>
    <w:rsid w:val="16A8729C"/>
    <w:rsid w:val="16B33777"/>
    <w:rsid w:val="16BC70A7"/>
    <w:rsid w:val="16C6339E"/>
    <w:rsid w:val="16CB3F3E"/>
    <w:rsid w:val="1714795E"/>
    <w:rsid w:val="172F2D79"/>
    <w:rsid w:val="17557BEF"/>
    <w:rsid w:val="178A5777"/>
    <w:rsid w:val="1790796C"/>
    <w:rsid w:val="17C942A7"/>
    <w:rsid w:val="17D1049D"/>
    <w:rsid w:val="17D349C1"/>
    <w:rsid w:val="18244F26"/>
    <w:rsid w:val="182D03D8"/>
    <w:rsid w:val="1830729E"/>
    <w:rsid w:val="1870062C"/>
    <w:rsid w:val="18817102"/>
    <w:rsid w:val="18830A15"/>
    <w:rsid w:val="18852B28"/>
    <w:rsid w:val="188B5321"/>
    <w:rsid w:val="1898330E"/>
    <w:rsid w:val="189C32CA"/>
    <w:rsid w:val="18AE2F08"/>
    <w:rsid w:val="194435C4"/>
    <w:rsid w:val="197B2D25"/>
    <w:rsid w:val="19932372"/>
    <w:rsid w:val="19A20DD5"/>
    <w:rsid w:val="19AB243C"/>
    <w:rsid w:val="19AE03F1"/>
    <w:rsid w:val="1A071A03"/>
    <w:rsid w:val="1A1F16AE"/>
    <w:rsid w:val="1A3B5C77"/>
    <w:rsid w:val="1A6C3968"/>
    <w:rsid w:val="1A804F9D"/>
    <w:rsid w:val="1A8F4728"/>
    <w:rsid w:val="1A984BAD"/>
    <w:rsid w:val="1AB8220E"/>
    <w:rsid w:val="1AE4166C"/>
    <w:rsid w:val="1AF06CFB"/>
    <w:rsid w:val="1AF10637"/>
    <w:rsid w:val="1AF11B8D"/>
    <w:rsid w:val="1B11359C"/>
    <w:rsid w:val="1B2776FF"/>
    <w:rsid w:val="1B2A271F"/>
    <w:rsid w:val="1B363E1A"/>
    <w:rsid w:val="1B530544"/>
    <w:rsid w:val="1B713184"/>
    <w:rsid w:val="1B7E7DEA"/>
    <w:rsid w:val="1B86304B"/>
    <w:rsid w:val="1BA209CF"/>
    <w:rsid w:val="1BB4777D"/>
    <w:rsid w:val="1BD75AB8"/>
    <w:rsid w:val="1BFA76C4"/>
    <w:rsid w:val="1C0459C2"/>
    <w:rsid w:val="1C1737F0"/>
    <w:rsid w:val="1C1B3B4A"/>
    <w:rsid w:val="1C88086E"/>
    <w:rsid w:val="1CBD4819"/>
    <w:rsid w:val="1CC022B7"/>
    <w:rsid w:val="1CC57C7F"/>
    <w:rsid w:val="1CE7157E"/>
    <w:rsid w:val="1D0D0C8C"/>
    <w:rsid w:val="1D266CE1"/>
    <w:rsid w:val="1D3963AF"/>
    <w:rsid w:val="1D3A1AFC"/>
    <w:rsid w:val="1D3D55C7"/>
    <w:rsid w:val="1D4A31E4"/>
    <w:rsid w:val="1D4A664D"/>
    <w:rsid w:val="1D6A673C"/>
    <w:rsid w:val="1D6D3EEF"/>
    <w:rsid w:val="1D792624"/>
    <w:rsid w:val="1D8B0538"/>
    <w:rsid w:val="1D9247AE"/>
    <w:rsid w:val="1DA61329"/>
    <w:rsid w:val="1DB567EC"/>
    <w:rsid w:val="1DCC1345"/>
    <w:rsid w:val="1DEE6419"/>
    <w:rsid w:val="1DF51A98"/>
    <w:rsid w:val="1E051CD9"/>
    <w:rsid w:val="1E3D060F"/>
    <w:rsid w:val="1E3F7D2E"/>
    <w:rsid w:val="1E4134E4"/>
    <w:rsid w:val="1E5062B3"/>
    <w:rsid w:val="1E523514"/>
    <w:rsid w:val="1E6C2AF8"/>
    <w:rsid w:val="1E714A66"/>
    <w:rsid w:val="1E802593"/>
    <w:rsid w:val="1E8B6156"/>
    <w:rsid w:val="1EA176BE"/>
    <w:rsid w:val="1EA703CC"/>
    <w:rsid w:val="1EAD11F7"/>
    <w:rsid w:val="1EB7330C"/>
    <w:rsid w:val="1EDC2C27"/>
    <w:rsid w:val="1F0A0FF3"/>
    <w:rsid w:val="1F5771FF"/>
    <w:rsid w:val="1F744118"/>
    <w:rsid w:val="1FA41A90"/>
    <w:rsid w:val="1FB87851"/>
    <w:rsid w:val="1FBE2977"/>
    <w:rsid w:val="1FD52574"/>
    <w:rsid w:val="1FE63BE8"/>
    <w:rsid w:val="1FE868A9"/>
    <w:rsid w:val="20034907"/>
    <w:rsid w:val="200603BB"/>
    <w:rsid w:val="20173E4B"/>
    <w:rsid w:val="20320828"/>
    <w:rsid w:val="204E48BC"/>
    <w:rsid w:val="20505DFA"/>
    <w:rsid w:val="208921B3"/>
    <w:rsid w:val="20973DEB"/>
    <w:rsid w:val="20A63D96"/>
    <w:rsid w:val="20AB0F20"/>
    <w:rsid w:val="20B26522"/>
    <w:rsid w:val="20B43D2D"/>
    <w:rsid w:val="20B44310"/>
    <w:rsid w:val="20CD55CC"/>
    <w:rsid w:val="20F47A6D"/>
    <w:rsid w:val="211116EB"/>
    <w:rsid w:val="21554B52"/>
    <w:rsid w:val="216133FC"/>
    <w:rsid w:val="217C42C4"/>
    <w:rsid w:val="21D56769"/>
    <w:rsid w:val="21E52EF3"/>
    <w:rsid w:val="21FB5D7B"/>
    <w:rsid w:val="22015E94"/>
    <w:rsid w:val="220B1C3D"/>
    <w:rsid w:val="2217240B"/>
    <w:rsid w:val="22196E8D"/>
    <w:rsid w:val="221D1D20"/>
    <w:rsid w:val="221E6CF9"/>
    <w:rsid w:val="2229724F"/>
    <w:rsid w:val="22334A87"/>
    <w:rsid w:val="225B2CCF"/>
    <w:rsid w:val="22A2702D"/>
    <w:rsid w:val="22BE6801"/>
    <w:rsid w:val="22CD0415"/>
    <w:rsid w:val="22E95145"/>
    <w:rsid w:val="22FF657D"/>
    <w:rsid w:val="2302564C"/>
    <w:rsid w:val="230B2CB7"/>
    <w:rsid w:val="23111551"/>
    <w:rsid w:val="233500BF"/>
    <w:rsid w:val="23377FF7"/>
    <w:rsid w:val="2368378F"/>
    <w:rsid w:val="236B425F"/>
    <w:rsid w:val="23836192"/>
    <w:rsid w:val="23901F29"/>
    <w:rsid w:val="239C0061"/>
    <w:rsid w:val="23B908A4"/>
    <w:rsid w:val="23CA4F53"/>
    <w:rsid w:val="23E95BEF"/>
    <w:rsid w:val="23E96F21"/>
    <w:rsid w:val="23FD0064"/>
    <w:rsid w:val="24082954"/>
    <w:rsid w:val="24243ABF"/>
    <w:rsid w:val="245375B0"/>
    <w:rsid w:val="24613E12"/>
    <w:rsid w:val="2461424B"/>
    <w:rsid w:val="24642C0A"/>
    <w:rsid w:val="24970DA1"/>
    <w:rsid w:val="24B22173"/>
    <w:rsid w:val="24B95AD9"/>
    <w:rsid w:val="24BE24DA"/>
    <w:rsid w:val="24CF5825"/>
    <w:rsid w:val="24D663E6"/>
    <w:rsid w:val="24D77F2B"/>
    <w:rsid w:val="251057BD"/>
    <w:rsid w:val="25526515"/>
    <w:rsid w:val="256E67DE"/>
    <w:rsid w:val="2585779A"/>
    <w:rsid w:val="258B00E2"/>
    <w:rsid w:val="25A416A2"/>
    <w:rsid w:val="25A917A6"/>
    <w:rsid w:val="25B6013B"/>
    <w:rsid w:val="25BE27CC"/>
    <w:rsid w:val="25E06FCB"/>
    <w:rsid w:val="25F74A5C"/>
    <w:rsid w:val="26075651"/>
    <w:rsid w:val="2628662C"/>
    <w:rsid w:val="262D45DE"/>
    <w:rsid w:val="267621AB"/>
    <w:rsid w:val="267C3185"/>
    <w:rsid w:val="26871DC8"/>
    <w:rsid w:val="26987AFC"/>
    <w:rsid w:val="26A53EF9"/>
    <w:rsid w:val="26A94201"/>
    <w:rsid w:val="26AC274F"/>
    <w:rsid w:val="26AE40F6"/>
    <w:rsid w:val="26AE6CBB"/>
    <w:rsid w:val="26C54491"/>
    <w:rsid w:val="27044A29"/>
    <w:rsid w:val="271550A2"/>
    <w:rsid w:val="271C7216"/>
    <w:rsid w:val="271D34C8"/>
    <w:rsid w:val="272E3D16"/>
    <w:rsid w:val="27372229"/>
    <w:rsid w:val="273F7692"/>
    <w:rsid w:val="276142BF"/>
    <w:rsid w:val="27783712"/>
    <w:rsid w:val="278E7D82"/>
    <w:rsid w:val="27907362"/>
    <w:rsid w:val="27AB268C"/>
    <w:rsid w:val="27C543F8"/>
    <w:rsid w:val="27D31084"/>
    <w:rsid w:val="27DD2969"/>
    <w:rsid w:val="27EE6F42"/>
    <w:rsid w:val="27F00191"/>
    <w:rsid w:val="27FB3137"/>
    <w:rsid w:val="280451E0"/>
    <w:rsid w:val="28233942"/>
    <w:rsid w:val="28320C0D"/>
    <w:rsid w:val="28333E1D"/>
    <w:rsid w:val="28454BD6"/>
    <w:rsid w:val="28455253"/>
    <w:rsid w:val="28551971"/>
    <w:rsid w:val="285B1C53"/>
    <w:rsid w:val="286D7392"/>
    <w:rsid w:val="289F7086"/>
    <w:rsid w:val="28C32028"/>
    <w:rsid w:val="28CC490F"/>
    <w:rsid w:val="28DC2474"/>
    <w:rsid w:val="28DE40AA"/>
    <w:rsid w:val="28E90F62"/>
    <w:rsid w:val="292439B7"/>
    <w:rsid w:val="29345E77"/>
    <w:rsid w:val="294C65AD"/>
    <w:rsid w:val="295945F7"/>
    <w:rsid w:val="29806583"/>
    <w:rsid w:val="298B3C4C"/>
    <w:rsid w:val="29B42C36"/>
    <w:rsid w:val="29EA524C"/>
    <w:rsid w:val="29F26D24"/>
    <w:rsid w:val="2A15033F"/>
    <w:rsid w:val="2A1662C1"/>
    <w:rsid w:val="2A1C7367"/>
    <w:rsid w:val="2A2815FA"/>
    <w:rsid w:val="2A2A0122"/>
    <w:rsid w:val="2A48258A"/>
    <w:rsid w:val="2A6D6092"/>
    <w:rsid w:val="2A7D76B4"/>
    <w:rsid w:val="2AC01A0D"/>
    <w:rsid w:val="2B023EDE"/>
    <w:rsid w:val="2B09293F"/>
    <w:rsid w:val="2B1D7A62"/>
    <w:rsid w:val="2B20195C"/>
    <w:rsid w:val="2B437463"/>
    <w:rsid w:val="2B7807EE"/>
    <w:rsid w:val="2B94697F"/>
    <w:rsid w:val="2B9B3DE8"/>
    <w:rsid w:val="2BA50BF7"/>
    <w:rsid w:val="2BBF00EC"/>
    <w:rsid w:val="2BC37CFD"/>
    <w:rsid w:val="2BD5237F"/>
    <w:rsid w:val="2BDE5160"/>
    <w:rsid w:val="2BE536CE"/>
    <w:rsid w:val="2BE5638C"/>
    <w:rsid w:val="2BE758D9"/>
    <w:rsid w:val="2BF346BB"/>
    <w:rsid w:val="2BFE6CED"/>
    <w:rsid w:val="2C017B11"/>
    <w:rsid w:val="2C041743"/>
    <w:rsid w:val="2C09049E"/>
    <w:rsid w:val="2C0A653C"/>
    <w:rsid w:val="2C0F23A5"/>
    <w:rsid w:val="2C191F85"/>
    <w:rsid w:val="2C3F6EC9"/>
    <w:rsid w:val="2C5B3CA9"/>
    <w:rsid w:val="2CAC6A50"/>
    <w:rsid w:val="2CE82D6F"/>
    <w:rsid w:val="2CF1073B"/>
    <w:rsid w:val="2D052664"/>
    <w:rsid w:val="2D0B1745"/>
    <w:rsid w:val="2D343236"/>
    <w:rsid w:val="2D413EF0"/>
    <w:rsid w:val="2D575011"/>
    <w:rsid w:val="2D5A6691"/>
    <w:rsid w:val="2D5B014B"/>
    <w:rsid w:val="2D6D38A5"/>
    <w:rsid w:val="2DBD4B32"/>
    <w:rsid w:val="2DD15014"/>
    <w:rsid w:val="2DD747E8"/>
    <w:rsid w:val="2DEE1C87"/>
    <w:rsid w:val="2DF72DE4"/>
    <w:rsid w:val="2DFE597F"/>
    <w:rsid w:val="2E0220AF"/>
    <w:rsid w:val="2E1A39AF"/>
    <w:rsid w:val="2E3330F9"/>
    <w:rsid w:val="2E4B082A"/>
    <w:rsid w:val="2E5D4E86"/>
    <w:rsid w:val="2E5D790B"/>
    <w:rsid w:val="2E6932C2"/>
    <w:rsid w:val="2E9A3C18"/>
    <w:rsid w:val="2EBB0FEE"/>
    <w:rsid w:val="2EC63002"/>
    <w:rsid w:val="2ED945BB"/>
    <w:rsid w:val="2F0A6B38"/>
    <w:rsid w:val="2F157A16"/>
    <w:rsid w:val="2F633E2C"/>
    <w:rsid w:val="2F6B646E"/>
    <w:rsid w:val="2F7366F2"/>
    <w:rsid w:val="2F946CCB"/>
    <w:rsid w:val="2F9E23BE"/>
    <w:rsid w:val="2FB11F5C"/>
    <w:rsid w:val="2FD25781"/>
    <w:rsid w:val="2FDC745C"/>
    <w:rsid w:val="2FFD7934"/>
    <w:rsid w:val="301275D0"/>
    <w:rsid w:val="3019631B"/>
    <w:rsid w:val="303843F5"/>
    <w:rsid w:val="303C2BA8"/>
    <w:rsid w:val="304F0FEB"/>
    <w:rsid w:val="305B6ED8"/>
    <w:rsid w:val="30666833"/>
    <w:rsid w:val="30733ACD"/>
    <w:rsid w:val="30847806"/>
    <w:rsid w:val="308C3862"/>
    <w:rsid w:val="30927CA0"/>
    <w:rsid w:val="309379D8"/>
    <w:rsid w:val="30A270F7"/>
    <w:rsid w:val="30AB012D"/>
    <w:rsid w:val="30DC0597"/>
    <w:rsid w:val="30DF1478"/>
    <w:rsid w:val="30EC586F"/>
    <w:rsid w:val="31045716"/>
    <w:rsid w:val="31484D84"/>
    <w:rsid w:val="31540198"/>
    <w:rsid w:val="317315BA"/>
    <w:rsid w:val="3183186B"/>
    <w:rsid w:val="319C6071"/>
    <w:rsid w:val="31AC537E"/>
    <w:rsid w:val="31D75713"/>
    <w:rsid w:val="31E3679B"/>
    <w:rsid w:val="31E732FD"/>
    <w:rsid w:val="32517576"/>
    <w:rsid w:val="328D7756"/>
    <w:rsid w:val="32B23C2D"/>
    <w:rsid w:val="32BE5C2C"/>
    <w:rsid w:val="32CD7542"/>
    <w:rsid w:val="32EB1476"/>
    <w:rsid w:val="32F14D54"/>
    <w:rsid w:val="32FB6478"/>
    <w:rsid w:val="33263B3F"/>
    <w:rsid w:val="336963EB"/>
    <w:rsid w:val="33810A0F"/>
    <w:rsid w:val="33816EEB"/>
    <w:rsid w:val="338423DD"/>
    <w:rsid w:val="338E2A02"/>
    <w:rsid w:val="33925AD0"/>
    <w:rsid w:val="33EB55CD"/>
    <w:rsid w:val="33EC4C02"/>
    <w:rsid w:val="340D2360"/>
    <w:rsid w:val="3410665D"/>
    <w:rsid w:val="34211214"/>
    <w:rsid w:val="342E63AB"/>
    <w:rsid w:val="34340B78"/>
    <w:rsid w:val="345A62D7"/>
    <w:rsid w:val="34950E68"/>
    <w:rsid w:val="34986E94"/>
    <w:rsid w:val="349D0BF0"/>
    <w:rsid w:val="34AF62C9"/>
    <w:rsid w:val="34CB4388"/>
    <w:rsid w:val="34F565DC"/>
    <w:rsid w:val="34FA6E12"/>
    <w:rsid w:val="3528662F"/>
    <w:rsid w:val="3548033E"/>
    <w:rsid w:val="354D7158"/>
    <w:rsid w:val="35595DBB"/>
    <w:rsid w:val="358D5588"/>
    <w:rsid w:val="35B357AD"/>
    <w:rsid w:val="35E45E4B"/>
    <w:rsid w:val="35F94ECD"/>
    <w:rsid w:val="35FD0BE5"/>
    <w:rsid w:val="35FF6287"/>
    <w:rsid w:val="36070CBD"/>
    <w:rsid w:val="36304469"/>
    <w:rsid w:val="363A3B40"/>
    <w:rsid w:val="365302AE"/>
    <w:rsid w:val="36607A0A"/>
    <w:rsid w:val="366E227C"/>
    <w:rsid w:val="366F2E0D"/>
    <w:rsid w:val="367B6A5C"/>
    <w:rsid w:val="36A56352"/>
    <w:rsid w:val="36A74ADA"/>
    <w:rsid w:val="36AD60D5"/>
    <w:rsid w:val="36B224F9"/>
    <w:rsid w:val="36BB1D6C"/>
    <w:rsid w:val="36C11399"/>
    <w:rsid w:val="36DD1ABC"/>
    <w:rsid w:val="36EC0CC9"/>
    <w:rsid w:val="372D476F"/>
    <w:rsid w:val="372E04CB"/>
    <w:rsid w:val="373F410B"/>
    <w:rsid w:val="37425456"/>
    <w:rsid w:val="37632CC9"/>
    <w:rsid w:val="37AA7D4E"/>
    <w:rsid w:val="37E7582E"/>
    <w:rsid w:val="37EC250A"/>
    <w:rsid w:val="37EE7094"/>
    <w:rsid w:val="38296C89"/>
    <w:rsid w:val="383002EB"/>
    <w:rsid w:val="38586797"/>
    <w:rsid w:val="385D15DF"/>
    <w:rsid w:val="386D1D8B"/>
    <w:rsid w:val="38762617"/>
    <w:rsid w:val="388B46F7"/>
    <w:rsid w:val="38BC0149"/>
    <w:rsid w:val="38D46327"/>
    <w:rsid w:val="38D87D1C"/>
    <w:rsid w:val="39351138"/>
    <w:rsid w:val="39636459"/>
    <w:rsid w:val="396B7F6C"/>
    <w:rsid w:val="39B142B9"/>
    <w:rsid w:val="39B2402C"/>
    <w:rsid w:val="39B417A9"/>
    <w:rsid w:val="39C608ED"/>
    <w:rsid w:val="39CD7683"/>
    <w:rsid w:val="39E47A3D"/>
    <w:rsid w:val="39FC5695"/>
    <w:rsid w:val="39FD1201"/>
    <w:rsid w:val="3A006D8E"/>
    <w:rsid w:val="3A085499"/>
    <w:rsid w:val="3A3651E5"/>
    <w:rsid w:val="3A744481"/>
    <w:rsid w:val="3A7E7A4E"/>
    <w:rsid w:val="3A8C7BEF"/>
    <w:rsid w:val="3A906246"/>
    <w:rsid w:val="3AD75A2E"/>
    <w:rsid w:val="3B0935E6"/>
    <w:rsid w:val="3B103F10"/>
    <w:rsid w:val="3B1918E3"/>
    <w:rsid w:val="3B2349B7"/>
    <w:rsid w:val="3B616CFF"/>
    <w:rsid w:val="3B6259F6"/>
    <w:rsid w:val="3B832E41"/>
    <w:rsid w:val="3B94788E"/>
    <w:rsid w:val="3B976654"/>
    <w:rsid w:val="3BA43EEC"/>
    <w:rsid w:val="3BB83F2C"/>
    <w:rsid w:val="3BC01EFC"/>
    <w:rsid w:val="3BCA786A"/>
    <w:rsid w:val="3BD178DB"/>
    <w:rsid w:val="3BD31E2F"/>
    <w:rsid w:val="3BE42827"/>
    <w:rsid w:val="3BF15831"/>
    <w:rsid w:val="3BF15873"/>
    <w:rsid w:val="3BFF79DD"/>
    <w:rsid w:val="3C105946"/>
    <w:rsid w:val="3C2C537B"/>
    <w:rsid w:val="3C471448"/>
    <w:rsid w:val="3C49026A"/>
    <w:rsid w:val="3C5F759A"/>
    <w:rsid w:val="3C6C525A"/>
    <w:rsid w:val="3C724E1E"/>
    <w:rsid w:val="3C727F5D"/>
    <w:rsid w:val="3C8E413E"/>
    <w:rsid w:val="3CA75181"/>
    <w:rsid w:val="3CCE23CB"/>
    <w:rsid w:val="3CD17D17"/>
    <w:rsid w:val="3CE40C04"/>
    <w:rsid w:val="3CF57EC0"/>
    <w:rsid w:val="3D095D87"/>
    <w:rsid w:val="3D3C7F39"/>
    <w:rsid w:val="3D440F09"/>
    <w:rsid w:val="3D4504A0"/>
    <w:rsid w:val="3D584147"/>
    <w:rsid w:val="3D8734BB"/>
    <w:rsid w:val="3D9A11D4"/>
    <w:rsid w:val="3DA16D89"/>
    <w:rsid w:val="3DA364BE"/>
    <w:rsid w:val="3DCB5B49"/>
    <w:rsid w:val="3DE041CB"/>
    <w:rsid w:val="3E0D48F6"/>
    <w:rsid w:val="3E1868B4"/>
    <w:rsid w:val="3E377251"/>
    <w:rsid w:val="3E42664B"/>
    <w:rsid w:val="3E5A7334"/>
    <w:rsid w:val="3E750A7A"/>
    <w:rsid w:val="3E7B5D6B"/>
    <w:rsid w:val="3E843E66"/>
    <w:rsid w:val="3E8F51FE"/>
    <w:rsid w:val="3E926F87"/>
    <w:rsid w:val="3E9A59DE"/>
    <w:rsid w:val="3EAF4836"/>
    <w:rsid w:val="3EC33DFA"/>
    <w:rsid w:val="3EEC611C"/>
    <w:rsid w:val="3EEF0E2E"/>
    <w:rsid w:val="3EF56568"/>
    <w:rsid w:val="3F060E16"/>
    <w:rsid w:val="3F174BDD"/>
    <w:rsid w:val="3F1D1096"/>
    <w:rsid w:val="3F2F0234"/>
    <w:rsid w:val="3F4759C4"/>
    <w:rsid w:val="3F557A91"/>
    <w:rsid w:val="3F6363FE"/>
    <w:rsid w:val="3F6414DE"/>
    <w:rsid w:val="3F670307"/>
    <w:rsid w:val="3F756B8F"/>
    <w:rsid w:val="3F95482B"/>
    <w:rsid w:val="3F9945FF"/>
    <w:rsid w:val="3FC715CE"/>
    <w:rsid w:val="3FD132FB"/>
    <w:rsid w:val="3FD24232"/>
    <w:rsid w:val="3FE16B9F"/>
    <w:rsid w:val="40045C0D"/>
    <w:rsid w:val="400D7869"/>
    <w:rsid w:val="4019356B"/>
    <w:rsid w:val="404C24B4"/>
    <w:rsid w:val="40592157"/>
    <w:rsid w:val="406E1CAE"/>
    <w:rsid w:val="409775EA"/>
    <w:rsid w:val="409A4101"/>
    <w:rsid w:val="40A0133A"/>
    <w:rsid w:val="40C24465"/>
    <w:rsid w:val="40C31A53"/>
    <w:rsid w:val="40F1625F"/>
    <w:rsid w:val="40FF545D"/>
    <w:rsid w:val="410067C8"/>
    <w:rsid w:val="410718EA"/>
    <w:rsid w:val="411C7BAE"/>
    <w:rsid w:val="41302EBB"/>
    <w:rsid w:val="418459FB"/>
    <w:rsid w:val="418F0D2A"/>
    <w:rsid w:val="419A1B3F"/>
    <w:rsid w:val="41A118EB"/>
    <w:rsid w:val="41C04EEB"/>
    <w:rsid w:val="41C25D13"/>
    <w:rsid w:val="41C5321A"/>
    <w:rsid w:val="41D01505"/>
    <w:rsid w:val="420109C6"/>
    <w:rsid w:val="42021CC8"/>
    <w:rsid w:val="42041240"/>
    <w:rsid w:val="42250FE1"/>
    <w:rsid w:val="422E79CE"/>
    <w:rsid w:val="42474939"/>
    <w:rsid w:val="424C3C57"/>
    <w:rsid w:val="42613FF3"/>
    <w:rsid w:val="42660D96"/>
    <w:rsid w:val="427C7EC8"/>
    <w:rsid w:val="42825A3B"/>
    <w:rsid w:val="428667D2"/>
    <w:rsid w:val="42CD1CE0"/>
    <w:rsid w:val="42E1381E"/>
    <w:rsid w:val="42ED6459"/>
    <w:rsid w:val="42FD3149"/>
    <w:rsid w:val="42FE58DD"/>
    <w:rsid w:val="43174B3D"/>
    <w:rsid w:val="431A627B"/>
    <w:rsid w:val="434B790E"/>
    <w:rsid w:val="43507058"/>
    <w:rsid w:val="4360274F"/>
    <w:rsid w:val="438533CB"/>
    <w:rsid w:val="43977AB6"/>
    <w:rsid w:val="43A3342B"/>
    <w:rsid w:val="43C77C27"/>
    <w:rsid w:val="43DE09EE"/>
    <w:rsid w:val="44002FAD"/>
    <w:rsid w:val="443231BD"/>
    <w:rsid w:val="443D2D9B"/>
    <w:rsid w:val="44522D5A"/>
    <w:rsid w:val="449101DD"/>
    <w:rsid w:val="449663BD"/>
    <w:rsid w:val="44D636C6"/>
    <w:rsid w:val="44DE1391"/>
    <w:rsid w:val="451B225C"/>
    <w:rsid w:val="452410C9"/>
    <w:rsid w:val="45317DFB"/>
    <w:rsid w:val="456D3CE4"/>
    <w:rsid w:val="4579042C"/>
    <w:rsid w:val="457F0571"/>
    <w:rsid w:val="45851176"/>
    <w:rsid w:val="458F382B"/>
    <w:rsid w:val="45B24413"/>
    <w:rsid w:val="45C63B94"/>
    <w:rsid w:val="460E7DA5"/>
    <w:rsid w:val="462C3A25"/>
    <w:rsid w:val="46422483"/>
    <w:rsid w:val="465054AF"/>
    <w:rsid w:val="4659254A"/>
    <w:rsid w:val="465B0637"/>
    <w:rsid w:val="465E3F0D"/>
    <w:rsid w:val="466A16E6"/>
    <w:rsid w:val="467F145A"/>
    <w:rsid w:val="46802308"/>
    <w:rsid w:val="46893F2B"/>
    <w:rsid w:val="46AE6F33"/>
    <w:rsid w:val="46C4686E"/>
    <w:rsid w:val="46F838C8"/>
    <w:rsid w:val="47517D3A"/>
    <w:rsid w:val="477B778F"/>
    <w:rsid w:val="477C7B9D"/>
    <w:rsid w:val="478203EC"/>
    <w:rsid w:val="479A7419"/>
    <w:rsid w:val="47AD3020"/>
    <w:rsid w:val="47B025FA"/>
    <w:rsid w:val="47C90B25"/>
    <w:rsid w:val="47F83F98"/>
    <w:rsid w:val="4809698F"/>
    <w:rsid w:val="480C231E"/>
    <w:rsid w:val="4811697D"/>
    <w:rsid w:val="48383CC7"/>
    <w:rsid w:val="486D4A20"/>
    <w:rsid w:val="4871646A"/>
    <w:rsid w:val="487A3E25"/>
    <w:rsid w:val="488B5503"/>
    <w:rsid w:val="48937E21"/>
    <w:rsid w:val="489A0361"/>
    <w:rsid w:val="48B94FF3"/>
    <w:rsid w:val="48D21567"/>
    <w:rsid w:val="48D47FCD"/>
    <w:rsid w:val="48E12201"/>
    <w:rsid w:val="48E37AAB"/>
    <w:rsid w:val="48FD4B4C"/>
    <w:rsid w:val="490A68E0"/>
    <w:rsid w:val="491055FE"/>
    <w:rsid w:val="49210164"/>
    <w:rsid w:val="49242907"/>
    <w:rsid w:val="495F5B3E"/>
    <w:rsid w:val="4966204E"/>
    <w:rsid w:val="496F77D7"/>
    <w:rsid w:val="497654FD"/>
    <w:rsid w:val="49990A3E"/>
    <w:rsid w:val="49B00A5E"/>
    <w:rsid w:val="49B64211"/>
    <w:rsid w:val="49C34AA3"/>
    <w:rsid w:val="49F6167F"/>
    <w:rsid w:val="4A064FA0"/>
    <w:rsid w:val="4A16615C"/>
    <w:rsid w:val="4A2E473D"/>
    <w:rsid w:val="4A3B5CB3"/>
    <w:rsid w:val="4A421E6C"/>
    <w:rsid w:val="4A4424D7"/>
    <w:rsid w:val="4A6D67B0"/>
    <w:rsid w:val="4A6D6E2B"/>
    <w:rsid w:val="4A87617A"/>
    <w:rsid w:val="4A8810AE"/>
    <w:rsid w:val="4A922767"/>
    <w:rsid w:val="4AB758DB"/>
    <w:rsid w:val="4AB82D0F"/>
    <w:rsid w:val="4AC0562C"/>
    <w:rsid w:val="4AEB7664"/>
    <w:rsid w:val="4AF41157"/>
    <w:rsid w:val="4AFD7C19"/>
    <w:rsid w:val="4B0567D1"/>
    <w:rsid w:val="4B0A1C6E"/>
    <w:rsid w:val="4B1405DC"/>
    <w:rsid w:val="4B236AAE"/>
    <w:rsid w:val="4B343D27"/>
    <w:rsid w:val="4B4F5D43"/>
    <w:rsid w:val="4B707271"/>
    <w:rsid w:val="4B9739F7"/>
    <w:rsid w:val="4BBB014E"/>
    <w:rsid w:val="4BCD427D"/>
    <w:rsid w:val="4BE85FBF"/>
    <w:rsid w:val="4BEE2503"/>
    <w:rsid w:val="4C121C6C"/>
    <w:rsid w:val="4C245A30"/>
    <w:rsid w:val="4C5A5CCD"/>
    <w:rsid w:val="4C5C2EBE"/>
    <w:rsid w:val="4C607846"/>
    <w:rsid w:val="4C753C6F"/>
    <w:rsid w:val="4CB6685F"/>
    <w:rsid w:val="4CC367FE"/>
    <w:rsid w:val="4CC456E9"/>
    <w:rsid w:val="4CE0596C"/>
    <w:rsid w:val="4CE75EFE"/>
    <w:rsid w:val="4D077F3C"/>
    <w:rsid w:val="4D123355"/>
    <w:rsid w:val="4D2A3B31"/>
    <w:rsid w:val="4D2C25FB"/>
    <w:rsid w:val="4D312C52"/>
    <w:rsid w:val="4D721765"/>
    <w:rsid w:val="4D7956F9"/>
    <w:rsid w:val="4D8114AA"/>
    <w:rsid w:val="4D905305"/>
    <w:rsid w:val="4D964A72"/>
    <w:rsid w:val="4D9C1254"/>
    <w:rsid w:val="4DD437AE"/>
    <w:rsid w:val="4DFF48C8"/>
    <w:rsid w:val="4E280B54"/>
    <w:rsid w:val="4E350309"/>
    <w:rsid w:val="4E3E2CA6"/>
    <w:rsid w:val="4E793892"/>
    <w:rsid w:val="4E800872"/>
    <w:rsid w:val="4E8A451F"/>
    <w:rsid w:val="4EA72391"/>
    <w:rsid w:val="4EAB3480"/>
    <w:rsid w:val="4EC569ED"/>
    <w:rsid w:val="4ED50EA1"/>
    <w:rsid w:val="4EEC050C"/>
    <w:rsid w:val="4EED0B45"/>
    <w:rsid w:val="4F104EC3"/>
    <w:rsid w:val="4F254237"/>
    <w:rsid w:val="4F47354A"/>
    <w:rsid w:val="4F6C4AC7"/>
    <w:rsid w:val="4F87118C"/>
    <w:rsid w:val="4F911C54"/>
    <w:rsid w:val="4FAA2A0F"/>
    <w:rsid w:val="4FB25807"/>
    <w:rsid w:val="4FB6552F"/>
    <w:rsid w:val="4FC844FF"/>
    <w:rsid w:val="4FE625E0"/>
    <w:rsid w:val="4FF83E26"/>
    <w:rsid w:val="4FF9121F"/>
    <w:rsid w:val="5021480F"/>
    <w:rsid w:val="5079410E"/>
    <w:rsid w:val="50962ECB"/>
    <w:rsid w:val="509B2C02"/>
    <w:rsid w:val="50A42E38"/>
    <w:rsid w:val="50A4577F"/>
    <w:rsid w:val="50B73D1F"/>
    <w:rsid w:val="50BD5BC9"/>
    <w:rsid w:val="50C11EEE"/>
    <w:rsid w:val="50E97CFC"/>
    <w:rsid w:val="50F736A5"/>
    <w:rsid w:val="50FA4028"/>
    <w:rsid w:val="510D65B7"/>
    <w:rsid w:val="510E0CFA"/>
    <w:rsid w:val="511157AB"/>
    <w:rsid w:val="51173130"/>
    <w:rsid w:val="5142540C"/>
    <w:rsid w:val="5172503A"/>
    <w:rsid w:val="51811DBB"/>
    <w:rsid w:val="518832C8"/>
    <w:rsid w:val="519D3C50"/>
    <w:rsid w:val="51A0432A"/>
    <w:rsid w:val="51A86090"/>
    <w:rsid w:val="51B7396D"/>
    <w:rsid w:val="51FF1C91"/>
    <w:rsid w:val="522E4CC3"/>
    <w:rsid w:val="5244713B"/>
    <w:rsid w:val="52615633"/>
    <w:rsid w:val="526A39E9"/>
    <w:rsid w:val="526F4DE4"/>
    <w:rsid w:val="52751CB0"/>
    <w:rsid w:val="527E5CE1"/>
    <w:rsid w:val="527F76EB"/>
    <w:rsid w:val="52925A3C"/>
    <w:rsid w:val="52977FD4"/>
    <w:rsid w:val="52A25790"/>
    <w:rsid w:val="52A96B6F"/>
    <w:rsid w:val="52B24F04"/>
    <w:rsid w:val="52B45975"/>
    <w:rsid w:val="52C253CE"/>
    <w:rsid w:val="52D81E54"/>
    <w:rsid w:val="52D94AA4"/>
    <w:rsid w:val="52DA5108"/>
    <w:rsid w:val="52EA3A62"/>
    <w:rsid w:val="52EC2AA9"/>
    <w:rsid w:val="52F50BB8"/>
    <w:rsid w:val="53097272"/>
    <w:rsid w:val="531427E9"/>
    <w:rsid w:val="53507BCF"/>
    <w:rsid w:val="53544462"/>
    <w:rsid w:val="53865B77"/>
    <w:rsid w:val="53910532"/>
    <w:rsid w:val="5397158E"/>
    <w:rsid w:val="539A44B0"/>
    <w:rsid w:val="53C5485D"/>
    <w:rsid w:val="54013861"/>
    <w:rsid w:val="541F7E14"/>
    <w:rsid w:val="54487265"/>
    <w:rsid w:val="544D6070"/>
    <w:rsid w:val="54605E1E"/>
    <w:rsid w:val="548B440F"/>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5FB6E97"/>
    <w:rsid w:val="5644008B"/>
    <w:rsid w:val="5649430D"/>
    <w:rsid w:val="56575AA0"/>
    <w:rsid w:val="566B6D1E"/>
    <w:rsid w:val="569A12AC"/>
    <w:rsid w:val="56CA261A"/>
    <w:rsid w:val="57032A2C"/>
    <w:rsid w:val="570F5219"/>
    <w:rsid w:val="57452401"/>
    <w:rsid w:val="575D12B5"/>
    <w:rsid w:val="57610A87"/>
    <w:rsid w:val="577B1140"/>
    <w:rsid w:val="577B7F21"/>
    <w:rsid w:val="577E3A1C"/>
    <w:rsid w:val="577F181B"/>
    <w:rsid w:val="578942F7"/>
    <w:rsid w:val="57921984"/>
    <w:rsid w:val="579737F0"/>
    <w:rsid w:val="57A66C3F"/>
    <w:rsid w:val="57AB7B30"/>
    <w:rsid w:val="57AF5251"/>
    <w:rsid w:val="57B26373"/>
    <w:rsid w:val="57B63F04"/>
    <w:rsid w:val="57CD20C2"/>
    <w:rsid w:val="57D675AB"/>
    <w:rsid w:val="57D73717"/>
    <w:rsid w:val="57D95FDD"/>
    <w:rsid w:val="58906462"/>
    <w:rsid w:val="58917D2F"/>
    <w:rsid w:val="5894085C"/>
    <w:rsid w:val="58AE4F0C"/>
    <w:rsid w:val="58B85899"/>
    <w:rsid w:val="58C05D90"/>
    <w:rsid w:val="58D1496F"/>
    <w:rsid w:val="58E363A9"/>
    <w:rsid w:val="59066352"/>
    <w:rsid w:val="59166304"/>
    <w:rsid w:val="595263FD"/>
    <w:rsid w:val="595E1678"/>
    <w:rsid w:val="596D5BD4"/>
    <w:rsid w:val="597B1AE1"/>
    <w:rsid w:val="597E3DD8"/>
    <w:rsid w:val="598337CC"/>
    <w:rsid w:val="59917398"/>
    <w:rsid w:val="59D6612D"/>
    <w:rsid w:val="59E33A83"/>
    <w:rsid w:val="59F80043"/>
    <w:rsid w:val="5A09252F"/>
    <w:rsid w:val="5A0B2778"/>
    <w:rsid w:val="5A2A5DE1"/>
    <w:rsid w:val="5A2A7C7B"/>
    <w:rsid w:val="5A3E2560"/>
    <w:rsid w:val="5A4411FB"/>
    <w:rsid w:val="5A4A4B31"/>
    <w:rsid w:val="5A5379E1"/>
    <w:rsid w:val="5A5D3B6E"/>
    <w:rsid w:val="5A637A76"/>
    <w:rsid w:val="5A6D33BA"/>
    <w:rsid w:val="5A792B1F"/>
    <w:rsid w:val="5A874767"/>
    <w:rsid w:val="5AA85BE2"/>
    <w:rsid w:val="5AAD6F28"/>
    <w:rsid w:val="5AD63A24"/>
    <w:rsid w:val="5AFF1A90"/>
    <w:rsid w:val="5B2E1A1D"/>
    <w:rsid w:val="5B4A1CB5"/>
    <w:rsid w:val="5B843A1C"/>
    <w:rsid w:val="5B873E3F"/>
    <w:rsid w:val="5BDF44D5"/>
    <w:rsid w:val="5C02690E"/>
    <w:rsid w:val="5C196DA7"/>
    <w:rsid w:val="5C2A048C"/>
    <w:rsid w:val="5C435E21"/>
    <w:rsid w:val="5C472BC4"/>
    <w:rsid w:val="5C80234E"/>
    <w:rsid w:val="5C8A680C"/>
    <w:rsid w:val="5C8E6AB3"/>
    <w:rsid w:val="5C9A11AC"/>
    <w:rsid w:val="5CA035DF"/>
    <w:rsid w:val="5CA14138"/>
    <w:rsid w:val="5D0C4701"/>
    <w:rsid w:val="5D0F0395"/>
    <w:rsid w:val="5D1527FA"/>
    <w:rsid w:val="5D221076"/>
    <w:rsid w:val="5D2E62B6"/>
    <w:rsid w:val="5D397964"/>
    <w:rsid w:val="5D597720"/>
    <w:rsid w:val="5D5A391C"/>
    <w:rsid w:val="5D5F10C0"/>
    <w:rsid w:val="5D891B7B"/>
    <w:rsid w:val="5D920C30"/>
    <w:rsid w:val="5D98106B"/>
    <w:rsid w:val="5DA57B3B"/>
    <w:rsid w:val="5DAD38EE"/>
    <w:rsid w:val="5DB16269"/>
    <w:rsid w:val="5DB85AE5"/>
    <w:rsid w:val="5E006862"/>
    <w:rsid w:val="5E0207B9"/>
    <w:rsid w:val="5E1834A1"/>
    <w:rsid w:val="5E261785"/>
    <w:rsid w:val="5E4A7017"/>
    <w:rsid w:val="5E4B7C64"/>
    <w:rsid w:val="5E552BBA"/>
    <w:rsid w:val="5E565770"/>
    <w:rsid w:val="5E611C10"/>
    <w:rsid w:val="5E7A0F3F"/>
    <w:rsid w:val="5E884785"/>
    <w:rsid w:val="5EC11E59"/>
    <w:rsid w:val="5EFC7377"/>
    <w:rsid w:val="5F06174D"/>
    <w:rsid w:val="5F174152"/>
    <w:rsid w:val="5F287061"/>
    <w:rsid w:val="5F3A3602"/>
    <w:rsid w:val="5F45733B"/>
    <w:rsid w:val="5F6277C6"/>
    <w:rsid w:val="5F6D0B1D"/>
    <w:rsid w:val="5F8D0B82"/>
    <w:rsid w:val="5FCC5339"/>
    <w:rsid w:val="5FE34A5B"/>
    <w:rsid w:val="5FFE1E36"/>
    <w:rsid w:val="60232584"/>
    <w:rsid w:val="60335C18"/>
    <w:rsid w:val="607330CE"/>
    <w:rsid w:val="60825176"/>
    <w:rsid w:val="608D6D84"/>
    <w:rsid w:val="608F65EA"/>
    <w:rsid w:val="609F2AC4"/>
    <w:rsid w:val="60A64EAA"/>
    <w:rsid w:val="60FA2EE8"/>
    <w:rsid w:val="61054A27"/>
    <w:rsid w:val="610A52BC"/>
    <w:rsid w:val="61150FCA"/>
    <w:rsid w:val="611D2366"/>
    <w:rsid w:val="612A23C1"/>
    <w:rsid w:val="612B5BC3"/>
    <w:rsid w:val="61421856"/>
    <w:rsid w:val="615227C4"/>
    <w:rsid w:val="61573A1C"/>
    <w:rsid w:val="615B5B9D"/>
    <w:rsid w:val="61646DB2"/>
    <w:rsid w:val="61654E3F"/>
    <w:rsid w:val="6182292A"/>
    <w:rsid w:val="61926C4E"/>
    <w:rsid w:val="619F7F92"/>
    <w:rsid w:val="61D415F5"/>
    <w:rsid w:val="61E81EE3"/>
    <w:rsid w:val="61F94C26"/>
    <w:rsid w:val="62000E56"/>
    <w:rsid w:val="6203649B"/>
    <w:rsid w:val="621B5160"/>
    <w:rsid w:val="622163B3"/>
    <w:rsid w:val="624F3E49"/>
    <w:rsid w:val="62632286"/>
    <w:rsid w:val="627E4805"/>
    <w:rsid w:val="62885958"/>
    <w:rsid w:val="62906C9E"/>
    <w:rsid w:val="62BD3AAC"/>
    <w:rsid w:val="62CA6831"/>
    <w:rsid w:val="62D42564"/>
    <w:rsid w:val="62D47A8F"/>
    <w:rsid w:val="62E53885"/>
    <w:rsid w:val="62F40B65"/>
    <w:rsid w:val="62FC2CFE"/>
    <w:rsid w:val="63024505"/>
    <w:rsid w:val="63076678"/>
    <w:rsid w:val="630E6E75"/>
    <w:rsid w:val="631808D5"/>
    <w:rsid w:val="635600A5"/>
    <w:rsid w:val="635B1DB5"/>
    <w:rsid w:val="63711FED"/>
    <w:rsid w:val="63765901"/>
    <w:rsid w:val="63880DDC"/>
    <w:rsid w:val="638D750D"/>
    <w:rsid w:val="63AC6CC0"/>
    <w:rsid w:val="63AD0A3D"/>
    <w:rsid w:val="63BE484B"/>
    <w:rsid w:val="63DE512B"/>
    <w:rsid w:val="64055776"/>
    <w:rsid w:val="640A1EDC"/>
    <w:rsid w:val="640F6E0B"/>
    <w:rsid w:val="641B4F98"/>
    <w:rsid w:val="64240056"/>
    <w:rsid w:val="643E143A"/>
    <w:rsid w:val="64491666"/>
    <w:rsid w:val="6458256F"/>
    <w:rsid w:val="645A50CC"/>
    <w:rsid w:val="64853F32"/>
    <w:rsid w:val="648B6EEF"/>
    <w:rsid w:val="64C158BF"/>
    <w:rsid w:val="64CD1605"/>
    <w:rsid w:val="64CE2EAA"/>
    <w:rsid w:val="64FB7E3A"/>
    <w:rsid w:val="6519316D"/>
    <w:rsid w:val="653C3090"/>
    <w:rsid w:val="65854376"/>
    <w:rsid w:val="658767BE"/>
    <w:rsid w:val="65892531"/>
    <w:rsid w:val="659C47D8"/>
    <w:rsid w:val="65A40F87"/>
    <w:rsid w:val="65A5070E"/>
    <w:rsid w:val="65BE3902"/>
    <w:rsid w:val="65C23955"/>
    <w:rsid w:val="65C54610"/>
    <w:rsid w:val="65C672A9"/>
    <w:rsid w:val="65CC1539"/>
    <w:rsid w:val="66195831"/>
    <w:rsid w:val="662E75B1"/>
    <w:rsid w:val="66342C2E"/>
    <w:rsid w:val="663E784C"/>
    <w:rsid w:val="664452C4"/>
    <w:rsid w:val="664E2877"/>
    <w:rsid w:val="6660164E"/>
    <w:rsid w:val="667524A1"/>
    <w:rsid w:val="668B6A45"/>
    <w:rsid w:val="669B1168"/>
    <w:rsid w:val="66A15D14"/>
    <w:rsid w:val="66B23906"/>
    <w:rsid w:val="66E86699"/>
    <w:rsid w:val="671372D5"/>
    <w:rsid w:val="672F3F24"/>
    <w:rsid w:val="673E055F"/>
    <w:rsid w:val="67551CE3"/>
    <w:rsid w:val="67777CD5"/>
    <w:rsid w:val="67A22552"/>
    <w:rsid w:val="67B02053"/>
    <w:rsid w:val="67B22DCC"/>
    <w:rsid w:val="67BE71AA"/>
    <w:rsid w:val="67C00981"/>
    <w:rsid w:val="67D90273"/>
    <w:rsid w:val="67DB698C"/>
    <w:rsid w:val="67DE5875"/>
    <w:rsid w:val="67E55852"/>
    <w:rsid w:val="67EB1AB4"/>
    <w:rsid w:val="67FA1285"/>
    <w:rsid w:val="68551F4F"/>
    <w:rsid w:val="687C10C9"/>
    <w:rsid w:val="68840C16"/>
    <w:rsid w:val="68876EFB"/>
    <w:rsid w:val="68884654"/>
    <w:rsid w:val="689F444F"/>
    <w:rsid w:val="68B96DBB"/>
    <w:rsid w:val="68CA2805"/>
    <w:rsid w:val="68E00250"/>
    <w:rsid w:val="68E937A3"/>
    <w:rsid w:val="693E15D3"/>
    <w:rsid w:val="69623E63"/>
    <w:rsid w:val="69627681"/>
    <w:rsid w:val="6977531D"/>
    <w:rsid w:val="69825305"/>
    <w:rsid w:val="69C15E0F"/>
    <w:rsid w:val="69CC01C5"/>
    <w:rsid w:val="69CC2BFF"/>
    <w:rsid w:val="69E06B4E"/>
    <w:rsid w:val="69FD55B8"/>
    <w:rsid w:val="6A0B1C62"/>
    <w:rsid w:val="6A2406C8"/>
    <w:rsid w:val="6A500068"/>
    <w:rsid w:val="6A5505B6"/>
    <w:rsid w:val="6A69091A"/>
    <w:rsid w:val="6A8D40E1"/>
    <w:rsid w:val="6A907028"/>
    <w:rsid w:val="6ADC2325"/>
    <w:rsid w:val="6ADE0BD1"/>
    <w:rsid w:val="6AE96859"/>
    <w:rsid w:val="6B147746"/>
    <w:rsid w:val="6B24787C"/>
    <w:rsid w:val="6B573233"/>
    <w:rsid w:val="6B5B6274"/>
    <w:rsid w:val="6B5E582C"/>
    <w:rsid w:val="6B71025C"/>
    <w:rsid w:val="6B935D53"/>
    <w:rsid w:val="6BC946AA"/>
    <w:rsid w:val="6BDA7CFF"/>
    <w:rsid w:val="6C196F71"/>
    <w:rsid w:val="6C226FCB"/>
    <w:rsid w:val="6C23202A"/>
    <w:rsid w:val="6C2602CA"/>
    <w:rsid w:val="6C31226F"/>
    <w:rsid w:val="6C552F0B"/>
    <w:rsid w:val="6C56268E"/>
    <w:rsid w:val="6C5D2F7C"/>
    <w:rsid w:val="6C604C93"/>
    <w:rsid w:val="6C7A3290"/>
    <w:rsid w:val="6C8C67B7"/>
    <w:rsid w:val="6C9142B9"/>
    <w:rsid w:val="6C967015"/>
    <w:rsid w:val="6C9D744C"/>
    <w:rsid w:val="6CE6727D"/>
    <w:rsid w:val="6CEC129F"/>
    <w:rsid w:val="6D167928"/>
    <w:rsid w:val="6D26299B"/>
    <w:rsid w:val="6D287196"/>
    <w:rsid w:val="6D3F3199"/>
    <w:rsid w:val="6D4772EC"/>
    <w:rsid w:val="6D5D6613"/>
    <w:rsid w:val="6D7B7659"/>
    <w:rsid w:val="6D8620A6"/>
    <w:rsid w:val="6D9078AF"/>
    <w:rsid w:val="6DAA3FEF"/>
    <w:rsid w:val="6DC0172B"/>
    <w:rsid w:val="6DCB690C"/>
    <w:rsid w:val="6DD41A5B"/>
    <w:rsid w:val="6DF43C2E"/>
    <w:rsid w:val="6DF51CA3"/>
    <w:rsid w:val="6E0732C3"/>
    <w:rsid w:val="6E5A255E"/>
    <w:rsid w:val="6E7A7F0B"/>
    <w:rsid w:val="6E8335BD"/>
    <w:rsid w:val="6E8E12EF"/>
    <w:rsid w:val="6E972936"/>
    <w:rsid w:val="6EBE33EB"/>
    <w:rsid w:val="6EC66EAA"/>
    <w:rsid w:val="6EC72862"/>
    <w:rsid w:val="6ED446C5"/>
    <w:rsid w:val="6F1E43C5"/>
    <w:rsid w:val="6F2A7D94"/>
    <w:rsid w:val="6F8331F1"/>
    <w:rsid w:val="6FAE1A09"/>
    <w:rsid w:val="6FB344DE"/>
    <w:rsid w:val="6FD75BF8"/>
    <w:rsid w:val="70697BE0"/>
    <w:rsid w:val="707723D0"/>
    <w:rsid w:val="70A628A5"/>
    <w:rsid w:val="70DC2853"/>
    <w:rsid w:val="70F5661B"/>
    <w:rsid w:val="71360107"/>
    <w:rsid w:val="713B688E"/>
    <w:rsid w:val="71715E92"/>
    <w:rsid w:val="717F6C52"/>
    <w:rsid w:val="71C0067F"/>
    <w:rsid w:val="71D43752"/>
    <w:rsid w:val="71E52F59"/>
    <w:rsid w:val="71F1796A"/>
    <w:rsid w:val="72154626"/>
    <w:rsid w:val="72163347"/>
    <w:rsid w:val="72262B5D"/>
    <w:rsid w:val="72283FF7"/>
    <w:rsid w:val="722E287E"/>
    <w:rsid w:val="722E7212"/>
    <w:rsid w:val="722E73AC"/>
    <w:rsid w:val="723A0474"/>
    <w:rsid w:val="725923E4"/>
    <w:rsid w:val="728006BC"/>
    <w:rsid w:val="72864BF7"/>
    <w:rsid w:val="729023FC"/>
    <w:rsid w:val="72C505D3"/>
    <w:rsid w:val="72DA5137"/>
    <w:rsid w:val="732B25B2"/>
    <w:rsid w:val="733A0C17"/>
    <w:rsid w:val="736554B6"/>
    <w:rsid w:val="73C0646E"/>
    <w:rsid w:val="74015934"/>
    <w:rsid w:val="740B0DF7"/>
    <w:rsid w:val="742222F5"/>
    <w:rsid w:val="74476126"/>
    <w:rsid w:val="74706664"/>
    <w:rsid w:val="747F3682"/>
    <w:rsid w:val="74876886"/>
    <w:rsid w:val="749C4185"/>
    <w:rsid w:val="74CC3316"/>
    <w:rsid w:val="75067759"/>
    <w:rsid w:val="752E6DCD"/>
    <w:rsid w:val="7551380D"/>
    <w:rsid w:val="75600BE5"/>
    <w:rsid w:val="7564475C"/>
    <w:rsid w:val="75662603"/>
    <w:rsid w:val="7583797F"/>
    <w:rsid w:val="75D20F1D"/>
    <w:rsid w:val="75DA2C18"/>
    <w:rsid w:val="75E51219"/>
    <w:rsid w:val="75F54412"/>
    <w:rsid w:val="76071C6A"/>
    <w:rsid w:val="76124CD1"/>
    <w:rsid w:val="761D08E0"/>
    <w:rsid w:val="764A18F1"/>
    <w:rsid w:val="765D347C"/>
    <w:rsid w:val="76826699"/>
    <w:rsid w:val="76A170A8"/>
    <w:rsid w:val="76A41635"/>
    <w:rsid w:val="76C73713"/>
    <w:rsid w:val="76C87133"/>
    <w:rsid w:val="76CD08D5"/>
    <w:rsid w:val="76D3618F"/>
    <w:rsid w:val="76DB4B92"/>
    <w:rsid w:val="77052AA4"/>
    <w:rsid w:val="77136511"/>
    <w:rsid w:val="77340A39"/>
    <w:rsid w:val="77351FD0"/>
    <w:rsid w:val="773B4B1C"/>
    <w:rsid w:val="77472422"/>
    <w:rsid w:val="7772528F"/>
    <w:rsid w:val="777F31F2"/>
    <w:rsid w:val="77810DF6"/>
    <w:rsid w:val="77A51B4E"/>
    <w:rsid w:val="77B37656"/>
    <w:rsid w:val="77B50C16"/>
    <w:rsid w:val="77D1700D"/>
    <w:rsid w:val="77E369E1"/>
    <w:rsid w:val="77EC04CC"/>
    <w:rsid w:val="7835437D"/>
    <w:rsid w:val="783C132D"/>
    <w:rsid w:val="78765133"/>
    <w:rsid w:val="78775729"/>
    <w:rsid w:val="78787924"/>
    <w:rsid w:val="787E6B6B"/>
    <w:rsid w:val="788832AD"/>
    <w:rsid w:val="78A42DB0"/>
    <w:rsid w:val="78A656AB"/>
    <w:rsid w:val="78A924DA"/>
    <w:rsid w:val="78B2245C"/>
    <w:rsid w:val="78E172CC"/>
    <w:rsid w:val="78E21F60"/>
    <w:rsid w:val="78EA1D1F"/>
    <w:rsid w:val="78FA09E4"/>
    <w:rsid w:val="7904172F"/>
    <w:rsid w:val="79075A38"/>
    <w:rsid w:val="790F7E27"/>
    <w:rsid w:val="792417BB"/>
    <w:rsid w:val="792A231A"/>
    <w:rsid w:val="79316829"/>
    <w:rsid w:val="796B2926"/>
    <w:rsid w:val="797E66A9"/>
    <w:rsid w:val="798518A4"/>
    <w:rsid w:val="79A97383"/>
    <w:rsid w:val="79B563A8"/>
    <w:rsid w:val="79E0418E"/>
    <w:rsid w:val="79E27E8B"/>
    <w:rsid w:val="79F850CE"/>
    <w:rsid w:val="79FD443C"/>
    <w:rsid w:val="7A1D1975"/>
    <w:rsid w:val="7A282137"/>
    <w:rsid w:val="7A3E5150"/>
    <w:rsid w:val="7A4670D6"/>
    <w:rsid w:val="7A4F4A5A"/>
    <w:rsid w:val="7A534B63"/>
    <w:rsid w:val="7A5C2227"/>
    <w:rsid w:val="7A615382"/>
    <w:rsid w:val="7A67303B"/>
    <w:rsid w:val="7A6D680C"/>
    <w:rsid w:val="7AA51A51"/>
    <w:rsid w:val="7AAB1D04"/>
    <w:rsid w:val="7AB80583"/>
    <w:rsid w:val="7ABA4368"/>
    <w:rsid w:val="7AD05746"/>
    <w:rsid w:val="7B257FFD"/>
    <w:rsid w:val="7B29035B"/>
    <w:rsid w:val="7B343476"/>
    <w:rsid w:val="7B5571D5"/>
    <w:rsid w:val="7B5A2978"/>
    <w:rsid w:val="7B5A7E4C"/>
    <w:rsid w:val="7B667AF9"/>
    <w:rsid w:val="7B7268E6"/>
    <w:rsid w:val="7B7468F8"/>
    <w:rsid w:val="7BDB45A7"/>
    <w:rsid w:val="7BEE0103"/>
    <w:rsid w:val="7C0A0FE4"/>
    <w:rsid w:val="7C0C65A0"/>
    <w:rsid w:val="7C254906"/>
    <w:rsid w:val="7C576CB1"/>
    <w:rsid w:val="7C590818"/>
    <w:rsid w:val="7C651E12"/>
    <w:rsid w:val="7C7C10F6"/>
    <w:rsid w:val="7C853BEA"/>
    <w:rsid w:val="7C881368"/>
    <w:rsid w:val="7CE27788"/>
    <w:rsid w:val="7CE6183D"/>
    <w:rsid w:val="7D0C32F1"/>
    <w:rsid w:val="7D0F408D"/>
    <w:rsid w:val="7D2F0C1E"/>
    <w:rsid w:val="7D491C6C"/>
    <w:rsid w:val="7D520560"/>
    <w:rsid w:val="7D5429C0"/>
    <w:rsid w:val="7D6E6D43"/>
    <w:rsid w:val="7D9365DF"/>
    <w:rsid w:val="7DA168CE"/>
    <w:rsid w:val="7DB57A34"/>
    <w:rsid w:val="7DC6485A"/>
    <w:rsid w:val="7DC7444F"/>
    <w:rsid w:val="7DE44A64"/>
    <w:rsid w:val="7DE60973"/>
    <w:rsid w:val="7DEC75C0"/>
    <w:rsid w:val="7DEF0916"/>
    <w:rsid w:val="7E1D3512"/>
    <w:rsid w:val="7E1E5218"/>
    <w:rsid w:val="7E3463D7"/>
    <w:rsid w:val="7E885371"/>
    <w:rsid w:val="7E8D3856"/>
    <w:rsid w:val="7E8E6727"/>
    <w:rsid w:val="7E9A4E1F"/>
    <w:rsid w:val="7EA7723A"/>
    <w:rsid w:val="7EB361E0"/>
    <w:rsid w:val="7EB81432"/>
    <w:rsid w:val="7EBE44FA"/>
    <w:rsid w:val="7EC12984"/>
    <w:rsid w:val="7EE53E9B"/>
    <w:rsid w:val="7EF065CA"/>
    <w:rsid w:val="7EF56FBB"/>
    <w:rsid w:val="7F0768EB"/>
    <w:rsid w:val="7F143BEC"/>
    <w:rsid w:val="7F715AF2"/>
    <w:rsid w:val="7F886E69"/>
    <w:rsid w:val="7FA42800"/>
    <w:rsid w:val="7FF961D8"/>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5"/>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9"/>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5"/>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9"/>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9"/>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60"/>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4"/>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32"/>
    <w:qFormat/>
    <w:uiPriority w:val="0"/>
    <w:pPr>
      <w:autoSpaceDE w:val="0"/>
      <w:autoSpaceDN w:val="0"/>
      <w:spacing w:line="360" w:lineRule="auto"/>
    </w:pPr>
    <w:rPr>
      <w:rFonts w:ascii="宋体" w:hAnsi="Arial" w:cs="Arial"/>
      <w:snapToGrid w:val="0"/>
      <w:sz w:val="24"/>
      <w:szCs w:val="21"/>
      <w:lang w:val="zh-CN"/>
    </w:rPr>
  </w:style>
  <w:style w:type="paragraph" w:styleId="6">
    <w:name w:val="Normal Indent"/>
    <w:basedOn w:val="1"/>
    <w:link w:val="195"/>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3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4"/>
    <w:qFormat/>
    <w:uiPriority w:val="0"/>
    <w:pPr>
      <w:shd w:val="clear" w:color="auto" w:fill="000080"/>
    </w:pPr>
  </w:style>
  <w:style w:type="paragraph" w:styleId="20">
    <w:name w:val="annotation text"/>
    <w:basedOn w:val="1"/>
    <w:link w:val="346"/>
    <w:qFormat/>
    <w:uiPriority w:val="99"/>
    <w:pPr>
      <w:jc w:val="left"/>
    </w:pPr>
  </w:style>
  <w:style w:type="paragraph" w:styleId="21">
    <w:name w:val="Salutation"/>
    <w:basedOn w:val="1"/>
    <w:next w:val="1"/>
    <w:link w:val="300"/>
    <w:qFormat/>
    <w:uiPriority w:val="0"/>
    <w:rPr>
      <w:rFonts w:ascii="仿宋_GB2312" w:eastAsia="仿宋_GB2312"/>
      <w:sz w:val="28"/>
      <w:szCs w:val="20"/>
    </w:rPr>
  </w:style>
  <w:style w:type="paragraph" w:styleId="22">
    <w:name w:val="Body Text 3"/>
    <w:basedOn w:val="1"/>
    <w:link w:val="332"/>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Indent"/>
    <w:basedOn w:val="1"/>
    <w:link w:val="267"/>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21"/>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1"/>
    <w:link w:val="127"/>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3"/>
    <w:qFormat/>
    <w:uiPriority w:val="0"/>
    <w:pPr>
      <w:ind w:left="100" w:leftChars="2500"/>
    </w:pPr>
    <w:rPr>
      <w:rFonts w:ascii="宋体"/>
      <w:sz w:val="24"/>
      <w:szCs w:val="21"/>
      <w:lang w:val="zh-CN"/>
    </w:rPr>
  </w:style>
  <w:style w:type="paragraph" w:styleId="36">
    <w:name w:val="Body Text Indent 2"/>
    <w:basedOn w:val="1"/>
    <w:link w:val="310"/>
    <w:qFormat/>
    <w:uiPriority w:val="0"/>
    <w:pPr>
      <w:spacing w:line="360" w:lineRule="auto"/>
      <w:ind w:firstLine="601"/>
      <w:textAlignment w:val="baseline"/>
    </w:pPr>
    <w:rPr>
      <w:rFonts w:ascii="宋体"/>
      <w:kern w:val="0"/>
      <w:sz w:val="28"/>
      <w:szCs w:val="20"/>
    </w:rPr>
  </w:style>
  <w:style w:type="paragraph" w:styleId="37">
    <w:name w:val="endnote text"/>
    <w:basedOn w:val="1"/>
    <w:link w:val="931"/>
    <w:qFormat/>
    <w:uiPriority w:val="0"/>
    <w:rPr>
      <w:lang w:val="zh-CN"/>
    </w:rPr>
  </w:style>
  <w:style w:type="paragraph" w:styleId="38">
    <w:name w:val="Balloon Text"/>
    <w:basedOn w:val="1"/>
    <w:link w:val="190"/>
    <w:qFormat/>
    <w:uiPriority w:val="0"/>
    <w:rPr>
      <w:sz w:val="18"/>
      <w:szCs w:val="18"/>
    </w:rPr>
  </w:style>
  <w:style w:type="paragraph" w:styleId="39">
    <w:name w:val="footer"/>
    <w:basedOn w:val="1"/>
    <w:link w:val="385"/>
    <w:qFormat/>
    <w:uiPriority w:val="99"/>
    <w:pPr>
      <w:tabs>
        <w:tab w:val="center" w:pos="4153"/>
        <w:tab w:val="right" w:pos="8306"/>
      </w:tabs>
      <w:snapToGrid w:val="0"/>
      <w:jc w:val="left"/>
    </w:pPr>
    <w:rPr>
      <w:sz w:val="18"/>
      <w:szCs w:val="18"/>
    </w:rPr>
  </w:style>
  <w:style w:type="paragraph" w:styleId="40">
    <w:name w:val="envelope return"/>
    <w:basedOn w:val="1"/>
    <w:qFormat/>
    <w:uiPriority w:val="0"/>
    <w:pPr>
      <w:snapToGrid w:val="0"/>
    </w:pPr>
    <w:rPr>
      <w:rFonts w:ascii="Arial" w:hAnsi="Arial"/>
    </w:rPr>
  </w:style>
  <w:style w:type="paragraph" w:styleId="41">
    <w:name w:val="header"/>
    <w:basedOn w:val="1"/>
    <w:next w:val="42"/>
    <w:link w:val="394"/>
    <w:qFormat/>
    <w:uiPriority w:val="99"/>
    <w:pPr>
      <w:pBdr>
        <w:bottom w:val="single" w:color="auto" w:sz="6" w:space="1"/>
      </w:pBdr>
      <w:tabs>
        <w:tab w:val="center" w:pos="4153"/>
        <w:tab w:val="right" w:pos="8306"/>
      </w:tabs>
      <w:snapToGrid w:val="0"/>
      <w:jc w:val="center"/>
    </w:pPr>
    <w:rPr>
      <w:sz w:val="18"/>
      <w:szCs w:val="18"/>
    </w:rPr>
  </w:style>
  <w:style w:type="paragraph" w:customStyle="1" w:styleId="4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styleId="43">
    <w:name w:val="Signature"/>
    <w:basedOn w:val="1"/>
    <w:link w:val="347"/>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5"/>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6"/>
    <w:link w:val="312"/>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7"/>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4"/>
    <w:qFormat/>
    <w:uiPriority w:val="0"/>
    <w:pPr>
      <w:spacing w:after="120" w:line="480" w:lineRule="auto"/>
    </w:pPr>
  </w:style>
  <w:style w:type="paragraph" w:styleId="58">
    <w:name w:val="HTML Preformatted"/>
    <w:basedOn w:val="1"/>
    <w:link w:val="3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8"/>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0"/>
    <w:next w:val="20"/>
    <w:link w:val="98"/>
    <w:qFormat/>
    <w:uiPriority w:val="0"/>
    <w:rPr>
      <w:b/>
      <w:bCs/>
    </w:rPr>
  </w:style>
  <w:style w:type="paragraph" w:styleId="62">
    <w:name w:val="Body Text First Indent"/>
    <w:basedOn w:val="2"/>
    <w:next w:val="1"/>
    <w:link w:val="323"/>
    <w:qFormat/>
    <w:uiPriority w:val="0"/>
    <w:pPr>
      <w:ind w:firstLine="420"/>
    </w:pPr>
    <w:rPr>
      <w:rFonts w:hAnsi="Calibri" w:cs="Times New Roman"/>
      <w:snapToGrid/>
      <w:szCs w:val="20"/>
    </w:rPr>
  </w:style>
  <w:style w:type="paragraph" w:styleId="63">
    <w:name w:val="Body Text First Indent 2"/>
    <w:basedOn w:val="24"/>
    <w:link w:val="123"/>
    <w:qFormat/>
    <w:uiPriority w:val="0"/>
    <w:pPr>
      <w:adjustRightInd/>
      <w:spacing w:after="120" w:line="240" w:lineRule="auto"/>
      <w:ind w:left="420" w:leftChars="200" w:firstLine="210"/>
    </w:pPr>
    <w:rPr>
      <w:sz w:val="21"/>
    </w:rPr>
  </w:style>
  <w:style w:type="table" w:styleId="65">
    <w:name w:val="Table Grid"/>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paragraph" w:customStyle="1" w:styleId="81">
    <w:name w:val="自动更正"/>
    <w:unhideWhenUsed/>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2">
    <w:name w:val="_Style 3"/>
    <w:basedOn w:val="1"/>
    <w:qFormat/>
    <w:uiPriority w:val="0"/>
    <w:pPr>
      <w:adjustRightInd/>
      <w:ind w:firstLine="420" w:firstLineChars="200"/>
    </w:pPr>
    <w:rPr>
      <w:rFonts w:eastAsia="仿宋_GB2312"/>
      <w:sz w:val="28"/>
    </w:rPr>
  </w:style>
  <w:style w:type="paragraph" w:customStyle="1" w:styleId="83">
    <w:name w:val="表格文字"/>
    <w:basedOn w:val="1"/>
    <w:next w:val="2"/>
    <w:qFormat/>
    <w:uiPriority w:val="0"/>
    <w:pPr>
      <w:adjustRightInd/>
      <w:ind w:firstLine="200" w:firstLineChars="200"/>
    </w:pPr>
    <w:rPr>
      <w:rFonts w:ascii="Arial" w:hAnsi="Arial"/>
      <w:spacing w:val="-5"/>
      <w:kern w:val="0"/>
      <w:sz w:val="24"/>
      <w:szCs w:val="20"/>
    </w:rPr>
  </w:style>
  <w:style w:type="character" w:customStyle="1" w:styleId="84">
    <w:name w:val="表格非标题文字 Char"/>
    <w:link w:val="85"/>
    <w:qFormat/>
    <w:uiPriority w:val="0"/>
    <w:rPr>
      <w:rFonts w:ascii="Futura Bk" w:hAnsi="Futura Bk"/>
      <w:kern w:val="2"/>
      <w:sz w:val="18"/>
      <w:szCs w:val="21"/>
      <w:lang w:val="en-US" w:eastAsia="zh-CN" w:bidi="ar-SA"/>
    </w:rPr>
  </w:style>
  <w:style w:type="paragraph" w:customStyle="1" w:styleId="85">
    <w:name w:val="表格非标题文字"/>
    <w:link w:val="84"/>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6">
    <w:name w:val="*正文 Char"/>
    <w:link w:val="87"/>
    <w:qFormat/>
    <w:locked/>
    <w:uiPriority w:val="0"/>
    <w:rPr>
      <w:rFonts w:ascii="宋体" w:hAnsi="宋体"/>
      <w:sz w:val="24"/>
    </w:rPr>
  </w:style>
  <w:style w:type="paragraph" w:customStyle="1" w:styleId="87">
    <w:name w:val="*正文"/>
    <w:basedOn w:val="1"/>
    <w:link w:val="86"/>
    <w:qFormat/>
    <w:uiPriority w:val="0"/>
    <w:pPr>
      <w:snapToGrid w:val="0"/>
      <w:spacing w:line="360" w:lineRule="auto"/>
      <w:ind w:firstLine="482"/>
      <w:jc w:val="left"/>
    </w:pPr>
    <w:rPr>
      <w:rFonts w:ascii="宋体" w:hAnsi="宋体"/>
      <w:kern w:val="0"/>
      <w:sz w:val="24"/>
      <w:szCs w:val="20"/>
    </w:rPr>
  </w:style>
  <w:style w:type="character" w:customStyle="1" w:styleId="88">
    <w:name w:val="Char Char71"/>
    <w:semiHidden/>
    <w:qFormat/>
    <w:uiPriority w:val="0"/>
    <w:rPr>
      <w:rFonts w:eastAsia="宋体"/>
      <w:kern w:val="2"/>
      <w:sz w:val="21"/>
      <w:szCs w:val="24"/>
      <w:lang w:val="en-US" w:eastAsia="zh-CN" w:bidi="ar-SA"/>
    </w:rPr>
  </w:style>
  <w:style w:type="character" w:customStyle="1" w:styleId="89">
    <w:name w:val="Char Char6"/>
    <w:qFormat/>
    <w:uiPriority w:val="0"/>
    <w:rPr>
      <w:rFonts w:eastAsia="宋体"/>
      <w:kern w:val="2"/>
      <w:sz w:val="21"/>
      <w:szCs w:val="24"/>
      <w:lang w:val="en-US" w:eastAsia="zh-CN" w:bidi="ar-SA"/>
    </w:rPr>
  </w:style>
  <w:style w:type="character" w:customStyle="1" w:styleId="90">
    <w:name w:val="正文缩进 Char"/>
    <w:qFormat/>
    <w:uiPriority w:val="0"/>
    <w:rPr>
      <w:rFonts w:eastAsia="宋体"/>
      <w:kern w:val="2"/>
      <w:sz w:val="21"/>
      <w:lang w:val="en-US" w:eastAsia="zh-CN"/>
    </w:rPr>
  </w:style>
  <w:style w:type="character" w:customStyle="1" w:styleId="91">
    <w:name w:val="正文首行缩进 Char1"/>
    <w:qFormat/>
    <w:uiPriority w:val="0"/>
    <w:rPr>
      <w:rFonts w:ascii="宋体" w:hAnsi="Times New Roman" w:eastAsia="宋体" w:cs="Times New Roman"/>
      <w:snapToGrid w:val="0"/>
      <w:kern w:val="2"/>
      <w:sz w:val="24"/>
      <w:szCs w:val="21"/>
      <w:lang w:val="zh-CN"/>
    </w:rPr>
  </w:style>
  <w:style w:type="character" w:customStyle="1" w:styleId="92">
    <w:name w:val="Char Char28"/>
    <w:qFormat/>
    <w:uiPriority w:val="6"/>
    <w:rPr>
      <w:rFonts w:ascii="仿宋_GB2312" w:hAnsi="仿宋_GB2312" w:eastAsia="仿宋_GB2312"/>
      <w:kern w:val="1"/>
      <w:sz w:val="28"/>
    </w:rPr>
  </w:style>
  <w:style w:type="character" w:customStyle="1" w:styleId="9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4">
    <w:name w:val="Heading 1 Char"/>
    <w:qFormat/>
    <w:uiPriority w:val="6"/>
    <w:rPr>
      <w:rFonts w:ascii="Times New Roman" w:hAnsi="Times New Roman" w:eastAsia="黑体" w:cs="Times New Roman"/>
      <w:b/>
      <w:kern w:val="0"/>
      <w:sz w:val="24"/>
      <w:szCs w:val="24"/>
    </w:rPr>
  </w:style>
  <w:style w:type="character" w:customStyle="1" w:styleId="95">
    <w:name w:val="U_正文 Char"/>
    <w:link w:val="96"/>
    <w:qFormat/>
    <w:uiPriority w:val="0"/>
    <w:rPr>
      <w:sz w:val="24"/>
      <w:szCs w:val="24"/>
    </w:rPr>
  </w:style>
  <w:style w:type="paragraph" w:customStyle="1" w:styleId="96">
    <w:name w:val="U_正文"/>
    <w:basedOn w:val="1"/>
    <w:link w:val="95"/>
    <w:qFormat/>
    <w:uiPriority w:val="0"/>
    <w:pPr>
      <w:adjustRightInd/>
      <w:spacing w:beforeLines="20" w:afterLines="20" w:line="300" w:lineRule="auto"/>
      <w:ind w:firstLine="200" w:firstLineChars="200"/>
    </w:pPr>
    <w:rPr>
      <w:kern w:val="0"/>
      <w:sz w:val="24"/>
    </w:rPr>
  </w:style>
  <w:style w:type="character" w:customStyle="1" w:styleId="97">
    <w:name w:val="HTML 地址 Char1"/>
    <w:qFormat/>
    <w:uiPriority w:val="0"/>
    <w:rPr>
      <w:rFonts w:ascii="Times New Roman" w:hAnsi="Times New Roman" w:eastAsia="宋体" w:cs="Times New Roman"/>
      <w:i/>
      <w:iCs/>
      <w:szCs w:val="24"/>
    </w:rPr>
  </w:style>
  <w:style w:type="character" w:customStyle="1" w:styleId="98">
    <w:name w:val="批注主题 Char1"/>
    <w:link w:val="61"/>
    <w:qFormat/>
    <w:uiPriority w:val="0"/>
    <w:rPr>
      <w:b/>
      <w:bCs/>
      <w:kern w:val="2"/>
      <w:sz w:val="21"/>
      <w:szCs w:val="24"/>
    </w:rPr>
  </w:style>
  <w:style w:type="character" w:customStyle="1" w:styleId="99">
    <w:name w:val="Char Char51"/>
    <w:qFormat/>
    <w:uiPriority w:val="0"/>
    <w:rPr>
      <w:rFonts w:ascii="宋体" w:hAnsi="Courier New" w:eastAsia="宋体"/>
      <w:kern w:val="2"/>
      <w:sz w:val="21"/>
      <w:lang w:val="en-US" w:eastAsia="zh-CN"/>
    </w:rPr>
  </w:style>
  <w:style w:type="character" w:customStyle="1" w:styleId="100">
    <w:name w:val="表正文 Char"/>
    <w:qFormat/>
    <w:uiPriority w:val="0"/>
    <w:rPr>
      <w:rFonts w:ascii="宋体" w:eastAsia="宋体"/>
      <w:snapToGrid w:val="0"/>
      <w:color w:val="000000"/>
      <w:kern w:val="28"/>
      <w:sz w:val="28"/>
      <w:lang w:val="en-US" w:eastAsia="zh-CN" w:bidi="ar-SA"/>
    </w:rPr>
  </w:style>
  <w:style w:type="character" w:customStyle="1" w:styleId="101">
    <w:name w:val="Char Char34"/>
    <w:qFormat/>
    <w:uiPriority w:val="6"/>
    <w:rPr>
      <w:b/>
      <w:kern w:val="1"/>
      <w:sz w:val="28"/>
      <w:szCs w:val="28"/>
    </w:rPr>
  </w:style>
  <w:style w:type="character" w:customStyle="1" w:styleId="102">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3">
    <w:name w:val="哈哈正文 Char"/>
    <w:link w:val="104"/>
    <w:qFormat/>
    <w:uiPriority w:val="0"/>
    <w:rPr>
      <w:rFonts w:ascii="宋体" w:hAnsi="宋体" w:eastAsia="宋体"/>
      <w:kern w:val="2"/>
      <w:sz w:val="24"/>
      <w:lang w:bidi="ar-SA"/>
    </w:rPr>
  </w:style>
  <w:style w:type="paragraph" w:customStyle="1" w:styleId="104">
    <w:name w:val="哈哈正文"/>
    <w:basedOn w:val="1"/>
    <w:link w:val="103"/>
    <w:qFormat/>
    <w:uiPriority w:val="0"/>
    <w:pPr>
      <w:adjustRightInd/>
      <w:spacing w:line="360" w:lineRule="auto"/>
      <w:ind w:firstLine="200" w:firstLineChars="200"/>
    </w:pPr>
    <w:rPr>
      <w:rFonts w:ascii="宋体" w:hAnsi="宋体"/>
      <w:sz w:val="24"/>
      <w:szCs w:val="20"/>
    </w:rPr>
  </w:style>
  <w:style w:type="character" w:customStyle="1" w:styleId="105">
    <w:name w:val="未处理的提及1"/>
    <w:qFormat/>
    <w:uiPriority w:val="0"/>
    <w:rPr>
      <w:color w:val="808080"/>
      <w:shd w:val="clear" w:color="auto" w:fill="E6E6E6"/>
    </w:rPr>
  </w:style>
  <w:style w:type="character" w:customStyle="1" w:styleId="106">
    <w:name w:val="txt"/>
    <w:qFormat/>
    <w:uiPriority w:val="0"/>
    <w:rPr>
      <w:rFonts w:ascii="仿宋_GB2312" w:eastAsia="微软雅黑"/>
      <w:b/>
      <w:kern w:val="2"/>
      <w:sz w:val="32"/>
      <w:szCs w:val="32"/>
      <w:lang w:val="en-US" w:eastAsia="zh-CN" w:bidi="ar-SA"/>
    </w:rPr>
  </w:style>
  <w:style w:type="character" w:customStyle="1" w:styleId="107">
    <w:name w:val="二级标题 Char Char"/>
    <w:qFormat/>
    <w:uiPriority w:val="0"/>
    <w:rPr>
      <w:rFonts w:ascii="宋体" w:hAnsi="宋体" w:eastAsia="宋体"/>
      <w:b/>
      <w:snapToGrid w:val="0"/>
      <w:kern w:val="2"/>
      <w:sz w:val="24"/>
      <w:szCs w:val="24"/>
      <w:lang w:val="en-US" w:eastAsia="zh-CN" w:bidi="ar-SA"/>
    </w:rPr>
  </w:style>
  <w:style w:type="character" w:customStyle="1" w:styleId="108">
    <w:name w:val="Char Char32"/>
    <w:qFormat/>
    <w:uiPriority w:val="6"/>
    <w:rPr>
      <w:b/>
      <w:kern w:val="1"/>
      <w:sz w:val="24"/>
      <w:szCs w:val="24"/>
    </w:rPr>
  </w:style>
  <w:style w:type="character" w:customStyle="1" w:styleId="109">
    <w:name w:val="PI Char1"/>
    <w:qFormat/>
    <w:uiPriority w:val="0"/>
    <w:rPr>
      <w:rFonts w:ascii="宋体" w:hAnsi="宋体"/>
      <w:kern w:val="2"/>
      <w:sz w:val="24"/>
      <w:szCs w:val="24"/>
    </w:rPr>
  </w:style>
  <w:style w:type="character" w:customStyle="1" w:styleId="110">
    <w:name w:val="tw4winTerm"/>
    <w:qFormat/>
    <w:uiPriority w:val="0"/>
    <w:rPr>
      <w:color w:val="0000FF"/>
    </w:rPr>
  </w:style>
  <w:style w:type="character" w:customStyle="1" w:styleId="111">
    <w:name w:val="Footer Char"/>
    <w:qFormat/>
    <w:locked/>
    <w:uiPriority w:val="0"/>
    <w:rPr>
      <w:rFonts w:eastAsia="宋体"/>
      <w:kern w:val="2"/>
      <w:sz w:val="18"/>
      <w:lang w:val="en-US" w:eastAsia="zh-CN" w:bidi="ar-SA"/>
    </w:rPr>
  </w:style>
  <w:style w:type="character" w:customStyle="1" w:styleId="112">
    <w:name w:val="普通文字 Char Char1"/>
    <w:qFormat/>
    <w:uiPriority w:val="0"/>
    <w:rPr>
      <w:rFonts w:ascii="宋体" w:hAnsi="Courier New"/>
      <w:kern w:val="2"/>
      <w:sz w:val="21"/>
    </w:rPr>
  </w:style>
  <w:style w:type="character" w:customStyle="1" w:styleId="113">
    <w:name w:val="Char Char101"/>
    <w:qFormat/>
    <w:uiPriority w:val="6"/>
    <w:rPr>
      <w:rFonts w:ascii="宋体" w:hAnsi="宋体"/>
      <w:kern w:val="2"/>
      <w:sz w:val="21"/>
      <w:szCs w:val="24"/>
      <w:lang w:val="en-US" w:eastAsia="zh-CN"/>
    </w:rPr>
  </w:style>
  <w:style w:type="character" w:customStyle="1" w:styleId="114">
    <w:name w:val="标题 4 Char"/>
    <w:qFormat/>
    <w:uiPriority w:val="0"/>
    <w:rPr>
      <w:rFonts w:ascii="Arial" w:hAnsi="Arial" w:eastAsia="黑体"/>
      <w:b/>
      <w:kern w:val="2"/>
      <w:sz w:val="28"/>
    </w:rPr>
  </w:style>
  <w:style w:type="character" w:customStyle="1" w:styleId="115">
    <w:name w:val="链接"/>
    <w:qFormat/>
    <w:uiPriority w:val="0"/>
    <w:rPr>
      <w:color w:val="0000FF"/>
      <w:sz w:val="21"/>
      <w:szCs w:val="21"/>
      <w:u w:val="single"/>
    </w:rPr>
  </w:style>
  <w:style w:type="character" w:customStyle="1" w:styleId="116">
    <w:name w:val="h4 Char"/>
    <w:qFormat/>
    <w:uiPriority w:val="0"/>
    <w:rPr>
      <w:rFonts w:ascii="Arial" w:hAnsi="Arial" w:eastAsia="黑体"/>
      <w:b/>
      <w:bCs/>
      <w:kern w:val="2"/>
      <w:sz w:val="28"/>
      <w:szCs w:val="28"/>
      <w:lang w:val="zh-CN" w:eastAsia="zh-CN" w:bidi="ar-SA"/>
    </w:rPr>
  </w:style>
  <w:style w:type="character" w:customStyle="1" w:styleId="117">
    <w:name w:val="5正文 Char"/>
    <w:link w:val="118"/>
    <w:qFormat/>
    <w:uiPriority w:val="0"/>
    <w:rPr>
      <w:rFonts w:ascii="仿宋_GB2312" w:hAnsi="微软雅黑" w:eastAsia="仿宋_GB2312"/>
      <w:sz w:val="28"/>
      <w:szCs w:val="21"/>
    </w:rPr>
  </w:style>
  <w:style w:type="paragraph" w:customStyle="1" w:styleId="118">
    <w:name w:val="5正文"/>
    <w:basedOn w:val="1"/>
    <w:link w:val="117"/>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9">
    <w:name w:val="标题 3 字符"/>
    <w:qFormat/>
    <w:uiPriority w:val="9"/>
    <w:rPr>
      <w:b/>
      <w:bCs/>
      <w:kern w:val="2"/>
      <w:sz w:val="32"/>
      <w:szCs w:val="32"/>
    </w:rPr>
  </w:style>
  <w:style w:type="character" w:customStyle="1" w:styleId="120">
    <w:name w:val="样式6 Char"/>
    <w:qFormat/>
    <w:uiPriority w:val="0"/>
    <w:rPr>
      <w:rFonts w:ascii="仿宋_GB2312" w:hAnsi="宋体" w:eastAsia="仿宋_GB2312"/>
      <w:b/>
      <w:bCs/>
      <w:kern w:val="2"/>
      <w:sz w:val="24"/>
      <w:szCs w:val="24"/>
      <w:lang w:val="en-US" w:eastAsia="zh-CN" w:bidi="ar-SA"/>
    </w:rPr>
  </w:style>
  <w:style w:type="character" w:customStyle="1" w:styleId="121">
    <w:name w:val="Char Char14"/>
    <w:qFormat/>
    <w:uiPriority w:val="6"/>
    <w:rPr>
      <w:rFonts w:ascii="黑体" w:hAnsi="黑体" w:eastAsia="黑体"/>
    </w:rPr>
  </w:style>
  <w:style w:type="character" w:customStyle="1" w:styleId="122">
    <w:name w:val="Heading 2 Hidden Char"/>
    <w:qFormat/>
    <w:uiPriority w:val="0"/>
    <w:rPr>
      <w:rFonts w:ascii="仿宋_GB2312" w:eastAsia="仿宋_GB2312"/>
      <w:b/>
      <w:bCs/>
      <w:kern w:val="2"/>
      <w:sz w:val="24"/>
      <w:szCs w:val="24"/>
      <w:lang w:val="zh-CN" w:eastAsia="zh-CN" w:bidi="ar-SA"/>
    </w:rPr>
  </w:style>
  <w:style w:type="character" w:customStyle="1" w:styleId="123">
    <w:name w:val="正文首行缩进 2 Char"/>
    <w:link w:val="63"/>
    <w:qFormat/>
    <w:uiPriority w:val="0"/>
    <w:rPr>
      <w:rFonts w:ascii="宋体" w:hAnsi="宋体"/>
      <w:kern w:val="2"/>
      <w:sz w:val="21"/>
      <w:szCs w:val="24"/>
    </w:rPr>
  </w:style>
  <w:style w:type="character" w:customStyle="1" w:styleId="124">
    <w:name w:val="font11"/>
    <w:qFormat/>
    <w:uiPriority w:val="0"/>
    <w:rPr>
      <w:rFonts w:hint="default" w:ascii="Times New Roman" w:hAnsi="Times New Roman" w:cs="Times New Roman"/>
      <w:color w:val="000000"/>
      <w:sz w:val="22"/>
      <w:szCs w:val="22"/>
      <w:u w:val="none"/>
    </w:rPr>
  </w:style>
  <w:style w:type="character" w:customStyle="1" w:styleId="125">
    <w:name w:val="表正文 Char1"/>
    <w:qFormat/>
    <w:uiPriority w:val="0"/>
    <w:rPr>
      <w:rFonts w:ascii="宋体" w:eastAsia="宋体"/>
      <w:snapToGrid w:val="0"/>
      <w:color w:val="000000"/>
      <w:kern w:val="28"/>
      <w:sz w:val="28"/>
    </w:rPr>
  </w:style>
  <w:style w:type="character" w:customStyle="1" w:styleId="126">
    <w:name w:val="blue1"/>
    <w:basedOn w:val="71"/>
    <w:qFormat/>
    <w:uiPriority w:val="0"/>
    <w:rPr>
      <w:rFonts w:ascii="Arial" w:hAnsi="Arial" w:eastAsia="黑体" w:cs="Arial"/>
      <w:snapToGrid w:val="0"/>
      <w:kern w:val="0"/>
      <w:szCs w:val="21"/>
    </w:rPr>
  </w:style>
  <w:style w:type="character" w:customStyle="1" w:styleId="127">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8">
    <w:name w:val="标书1 Char"/>
    <w:qFormat/>
    <w:uiPriority w:val="0"/>
    <w:rPr>
      <w:rFonts w:eastAsia="宋体"/>
      <w:b/>
      <w:bCs/>
      <w:kern w:val="44"/>
      <w:sz w:val="44"/>
      <w:szCs w:val="44"/>
      <w:lang w:val="en-US" w:eastAsia="zh-CN" w:bidi="ar-SA"/>
    </w:rPr>
  </w:style>
  <w:style w:type="character" w:customStyle="1" w:styleId="129">
    <w:name w:val="样式5 Char"/>
    <w:qFormat/>
    <w:uiPriority w:val="0"/>
    <w:rPr>
      <w:rFonts w:ascii="仿宋_GB2312" w:hAnsi="仿宋" w:eastAsia="仿宋_GB2312"/>
      <w:kern w:val="2"/>
      <w:sz w:val="24"/>
      <w:szCs w:val="24"/>
    </w:rPr>
  </w:style>
  <w:style w:type="character" w:customStyle="1" w:styleId="130">
    <w:name w:val="样式4 Char"/>
    <w:qFormat/>
    <w:uiPriority w:val="0"/>
    <w:rPr>
      <w:rFonts w:ascii="仿宋_GB2312" w:hAnsi="仿宋" w:eastAsia="仿宋_GB2312"/>
      <w:b/>
      <w:kern w:val="2"/>
      <w:sz w:val="32"/>
      <w:szCs w:val="32"/>
      <w:lang w:bidi="ar-SA"/>
    </w:rPr>
  </w:style>
  <w:style w:type="character" w:customStyle="1" w:styleId="131">
    <w:name w:val="插图说明 Char"/>
    <w:qFormat/>
    <w:uiPriority w:val="0"/>
    <w:rPr>
      <w:rFonts w:eastAsia="黑体"/>
      <w:sz w:val="24"/>
      <w:lang w:val="en-US" w:eastAsia="zh-CN"/>
    </w:rPr>
  </w:style>
  <w:style w:type="character" w:customStyle="1" w:styleId="132">
    <w:name w:val="正文2 Char Char"/>
    <w:link w:val="133"/>
    <w:qFormat/>
    <w:uiPriority w:val="0"/>
    <w:rPr>
      <w:rFonts w:eastAsia="宋体"/>
      <w:kern w:val="2"/>
      <w:sz w:val="24"/>
      <w:lang w:val="en-US" w:eastAsia="zh-CN" w:bidi="ar-SA"/>
    </w:rPr>
  </w:style>
  <w:style w:type="paragraph" w:customStyle="1" w:styleId="133">
    <w:name w:val="正文2"/>
    <w:basedOn w:val="1"/>
    <w:link w:val="132"/>
    <w:qFormat/>
    <w:uiPriority w:val="0"/>
    <w:pPr>
      <w:spacing w:before="156" w:line="360" w:lineRule="auto"/>
      <w:ind w:firstLine="510" w:firstLineChars="200"/>
    </w:pPr>
    <w:rPr>
      <w:sz w:val="24"/>
      <w:szCs w:val="20"/>
    </w:rPr>
  </w:style>
  <w:style w:type="character" w:customStyle="1" w:styleId="134">
    <w:name w:val="Char Char24"/>
    <w:qFormat/>
    <w:uiPriority w:val="6"/>
    <w:rPr>
      <w:kern w:val="1"/>
      <w:sz w:val="21"/>
    </w:rPr>
  </w:style>
  <w:style w:type="character" w:customStyle="1" w:styleId="135">
    <w:name w:val="副标题 Char"/>
    <w:link w:val="48"/>
    <w:qFormat/>
    <w:uiPriority w:val="0"/>
    <w:rPr>
      <w:rFonts w:ascii="Arial" w:hAnsi="Arial" w:eastAsia="隶书"/>
      <w:b/>
      <w:bCs/>
      <w:kern w:val="28"/>
      <w:sz w:val="44"/>
      <w:szCs w:val="32"/>
      <w:lang w:val="en-US" w:eastAsia="zh-CN" w:bidi="ar-SA"/>
    </w:rPr>
  </w:style>
  <w:style w:type="character" w:customStyle="1" w:styleId="136">
    <w:name w:val="普通文字 Char1 Char"/>
    <w:qFormat/>
    <w:uiPriority w:val="0"/>
    <w:rPr>
      <w:rFonts w:ascii="宋体" w:hAnsi="Courier New" w:eastAsia="宋体"/>
      <w:kern w:val="2"/>
      <w:sz w:val="21"/>
      <w:szCs w:val="24"/>
      <w:lang w:val="en-US" w:eastAsia="zh-CN" w:bidi="ar-SA"/>
    </w:rPr>
  </w:style>
  <w:style w:type="character" w:customStyle="1" w:styleId="137">
    <w:name w:val="h3 Char1"/>
    <w:qFormat/>
    <w:uiPriority w:val="0"/>
    <w:rPr>
      <w:rFonts w:eastAsia="宋体"/>
      <w:b/>
      <w:bCs/>
      <w:kern w:val="2"/>
      <w:sz w:val="32"/>
      <w:szCs w:val="32"/>
      <w:lang w:bidi="ar-SA"/>
    </w:rPr>
  </w:style>
  <w:style w:type="character" w:customStyle="1" w:styleId="138">
    <w:name w:val="标题 Char1"/>
    <w:qFormat/>
    <w:uiPriority w:val="0"/>
    <w:rPr>
      <w:rFonts w:ascii="Cambria" w:hAnsi="Cambria" w:eastAsia="宋体" w:cs="Times New Roman"/>
      <w:b/>
      <w:bCs/>
      <w:sz w:val="32"/>
      <w:szCs w:val="32"/>
      <w:lang w:bidi="ar-SA"/>
    </w:rPr>
  </w:style>
  <w:style w:type="character" w:customStyle="1" w:styleId="139">
    <w:name w:val="gf正文1 Char"/>
    <w:qFormat/>
    <w:uiPriority w:val="0"/>
    <w:rPr>
      <w:rFonts w:ascii="宋体" w:hAnsi="宋体" w:eastAsia="宋体" w:cs="宋体"/>
      <w:kern w:val="2"/>
      <w:sz w:val="24"/>
      <w:szCs w:val="24"/>
      <w:lang w:val="en-US" w:eastAsia="zh-CN" w:bidi="ar-SA"/>
    </w:rPr>
  </w:style>
  <w:style w:type="character" w:customStyle="1" w:styleId="140">
    <w:name w:val="正文文本缩进 Char1"/>
    <w:qFormat/>
    <w:uiPriority w:val="0"/>
    <w:rPr>
      <w:rFonts w:ascii="Calibri" w:hAnsi="Calibri"/>
      <w:sz w:val="28"/>
    </w:rPr>
  </w:style>
  <w:style w:type="character" w:customStyle="1" w:styleId="141">
    <w:name w:val="No Spacing Char"/>
    <w:link w:val="142"/>
    <w:qFormat/>
    <w:uiPriority w:val="1"/>
    <w:rPr>
      <w:sz w:val="22"/>
      <w:szCs w:val="22"/>
      <w:lang w:val="en-US" w:eastAsia="zh-CN" w:bidi="ar-SA"/>
    </w:rPr>
  </w:style>
  <w:style w:type="paragraph" w:customStyle="1" w:styleId="142">
    <w:name w:val="无间隔1"/>
    <w:link w:val="141"/>
    <w:qFormat/>
    <w:uiPriority w:val="1"/>
    <w:rPr>
      <w:rFonts w:ascii="Times New Roman" w:hAnsi="Times New Roman" w:eastAsia="宋体" w:cs="Times New Roman"/>
      <w:sz w:val="22"/>
      <w:szCs w:val="22"/>
      <w:lang w:val="en-US" w:eastAsia="zh-CN" w:bidi="ar-SA"/>
    </w:rPr>
  </w:style>
  <w:style w:type="character" w:customStyle="1" w:styleId="143">
    <w:name w:val="样式7 Char"/>
    <w:qFormat/>
    <w:uiPriority w:val="0"/>
    <w:rPr>
      <w:rFonts w:ascii="仿宋_GB2312" w:hAnsi="仿宋" w:eastAsia="仿宋_GB2312"/>
      <w:b/>
      <w:kern w:val="2"/>
      <w:sz w:val="24"/>
      <w:szCs w:val="24"/>
    </w:rPr>
  </w:style>
  <w:style w:type="character" w:customStyle="1" w:styleId="144">
    <w:name w:val="font12gray1"/>
    <w:qFormat/>
    <w:uiPriority w:val="0"/>
    <w:rPr>
      <w:rFonts w:ascii="仿宋_GB2312" w:eastAsia="微软雅黑"/>
      <w:b/>
      <w:spacing w:val="300"/>
      <w:kern w:val="2"/>
      <w:sz w:val="18"/>
      <w:szCs w:val="18"/>
      <w:lang w:val="en-US" w:eastAsia="zh-CN" w:bidi="ar-SA"/>
    </w:rPr>
  </w:style>
  <w:style w:type="character" w:customStyle="1" w:styleId="145">
    <w:name w:val="Char Char7"/>
    <w:semiHidden/>
    <w:qFormat/>
    <w:uiPriority w:val="0"/>
    <w:rPr>
      <w:rFonts w:eastAsia="宋体"/>
      <w:kern w:val="2"/>
      <w:sz w:val="21"/>
      <w:szCs w:val="24"/>
      <w:lang w:val="en-US" w:eastAsia="zh-CN" w:bidi="ar-SA"/>
    </w:rPr>
  </w:style>
  <w:style w:type="character" w:customStyle="1" w:styleId="146">
    <w:name w:val="表名 Char"/>
    <w:qFormat/>
    <w:uiPriority w:val="0"/>
    <w:rPr>
      <w:rFonts w:eastAsia="宋体"/>
      <w:b/>
      <w:bCs/>
      <w:kern w:val="2"/>
      <w:sz w:val="24"/>
      <w:szCs w:val="24"/>
      <w:lang w:val="en-US" w:eastAsia="zh-CN" w:bidi="ar-SA"/>
    </w:rPr>
  </w:style>
  <w:style w:type="character" w:customStyle="1" w:styleId="147">
    <w:name w:val="Document Map Char"/>
    <w:qFormat/>
    <w:locked/>
    <w:uiPriority w:val="0"/>
    <w:rPr>
      <w:rFonts w:eastAsia="宋体"/>
      <w:kern w:val="2"/>
      <w:sz w:val="21"/>
      <w:szCs w:val="24"/>
      <w:lang w:val="en-US" w:eastAsia="zh-CN" w:bidi="ar-SA"/>
    </w:rPr>
  </w:style>
  <w:style w:type="character" w:customStyle="1" w:styleId="148">
    <w:name w:val="font41"/>
    <w:qFormat/>
    <w:uiPriority w:val="0"/>
    <w:rPr>
      <w:rFonts w:hint="eastAsia" w:ascii="仿宋_GB2312" w:eastAsia="仿宋_GB2312" w:cs="仿宋_GB2312"/>
      <w:color w:val="000000"/>
      <w:sz w:val="22"/>
      <w:szCs w:val="22"/>
      <w:u w:val="none"/>
    </w:rPr>
  </w:style>
  <w:style w:type="character" w:customStyle="1" w:styleId="149">
    <w:name w:val="标题 6 Char"/>
    <w:link w:val="9"/>
    <w:qFormat/>
    <w:uiPriority w:val="0"/>
    <w:rPr>
      <w:rFonts w:ascii="Arial" w:hAnsi="Arial" w:eastAsia="黑体"/>
      <w:b/>
      <w:bCs/>
      <w:kern w:val="2"/>
      <w:sz w:val="24"/>
      <w:szCs w:val="24"/>
    </w:rPr>
  </w:style>
  <w:style w:type="character" w:customStyle="1" w:styleId="150">
    <w:name w:val="纯文本 Char_0"/>
    <w:link w:val="151"/>
    <w:qFormat/>
    <w:uiPriority w:val="0"/>
    <w:rPr>
      <w:rFonts w:ascii="宋体" w:hAnsi="Courier New"/>
      <w:kern w:val="2"/>
      <w:sz w:val="21"/>
      <w:szCs w:val="21"/>
      <w:lang w:val="en-US" w:eastAsia="zh-CN"/>
    </w:rPr>
  </w:style>
  <w:style w:type="paragraph" w:customStyle="1" w:styleId="151">
    <w:name w:val="纯文本_0_0"/>
    <w:basedOn w:val="152"/>
    <w:link w:val="150"/>
    <w:qFormat/>
    <w:uiPriority w:val="0"/>
    <w:rPr>
      <w:rFonts w:ascii="宋体" w:hAnsi="Courier New"/>
      <w:szCs w:val="21"/>
    </w:rPr>
  </w:style>
  <w:style w:type="paragraph" w:customStyle="1" w:styleId="15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3">
    <w:name w:val="Balloon Text Char"/>
    <w:qFormat/>
    <w:locked/>
    <w:uiPriority w:val="0"/>
    <w:rPr>
      <w:rFonts w:eastAsia="宋体"/>
      <w:kern w:val="2"/>
      <w:sz w:val="18"/>
      <w:szCs w:val="18"/>
      <w:lang w:val="en-US" w:eastAsia="zh-CN" w:bidi="ar-SA"/>
    </w:rPr>
  </w:style>
  <w:style w:type="character" w:customStyle="1" w:styleId="154">
    <w:name w:val="正文 项目2 Char"/>
    <w:basedOn w:val="155"/>
    <w:qFormat/>
    <w:uiPriority w:val="0"/>
    <w:rPr>
      <w:rFonts w:ascii="仿宋_GB2312" w:hAnsi="仿宋_GB2312" w:eastAsia="仿宋_GB2312"/>
      <w:kern w:val="2"/>
      <w:sz w:val="24"/>
      <w:lang w:bidi="ar-SA"/>
    </w:rPr>
  </w:style>
  <w:style w:type="character" w:customStyle="1" w:styleId="155">
    <w:name w:val="正文 项目 Char"/>
    <w:qFormat/>
    <w:uiPriority w:val="0"/>
    <w:rPr>
      <w:rFonts w:ascii="仿宋_GB2312" w:hAnsi="仿宋_GB2312" w:eastAsia="仿宋_GB2312"/>
      <w:kern w:val="2"/>
      <w:sz w:val="24"/>
      <w:lang w:bidi="ar-SA"/>
    </w:rPr>
  </w:style>
  <w:style w:type="character" w:customStyle="1" w:styleId="156">
    <w:name w:val="h Char Char1"/>
    <w:qFormat/>
    <w:uiPriority w:val="0"/>
    <w:rPr>
      <w:rFonts w:eastAsia="宋体"/>
      <w:kern w:val="2"/>
      <w:sz w:val="18"/>
      <w:szCs w:val="18"/>
      <w:lang w:val="en-US" w:eastAsia="zh-CN" w:bidi="ar-SA"/>
    </w:rPr>
  </w:style>
  <w:style w:type="character" w:customStyle="1" w:styleId="157">
    <w:name w:val="Char Char27"/>
    <w:qFormat/>
    <w:uiPriority w:val="6"/>
    <w:rPr>
      <w:rFonts w:ascii="宋体" w:hAnsi="宋体" w:eastAsia="宋体"/>
      <w:color w:val="000000"/>
      <w:kern w:val="1"/>
      <w:sz w:val="28"/>
      <w:lang w:val="en-US" w:eastAsia="zh-CN" w:bidi="ar-SA"/>
    </w:rPr>
  </w:style>
  <w:style w:type="character" w:customStyle="1" w:styleId="158">
    <w:name w:val="px14"/>
    <w:qFormat/>
    <w:uiPriority w:val="0"/>
    <w:rPr>
      <w:rFonts w:ascii="仿宋_GB2312" w:eastAsia="微软雅黑" w:cs="Times New Roman"/>
      <w:b/>
      <w:kern w:val="2"/>
      <w:sz w:val="32"/>
      <w:szCs w:val="32"/>
      <w:lang w:val="en-US" w:eastAsia="zh-CN" w:bidi="ar-SA"/>
    </w:rPr>
  </w:style>
  <w:style w:type="character" w:customStyle="1" w:styleId="159">
    <w:name w:val="HTML 预设格式 Char1"/>
    <w:qFormat/>
    <w:uiPriority w:val="0"/>
    <w:rPr>
      <w:rFonts w:ascii="Courier New" w:hAnsi="Courier New" w:eastAsia="宋体" w:cs="Courier New"/>
      <w:sz w:val="20"/>
      <w:szCs w:val="20"/>
    </w:rPr>
  </w:style>
  <w:style w:type="character" w:customStyle="1" w:styleId="160">
    <w:name w:val="普通文字 Char1"/>
    <w:qFormat/>
    <w:uiPriority w:val="0"/>
    <w:rPr>
      <w:rFonts w:ascii="宋体" w:hAnsi="Courier New" w:eastAsia="宋体"/>
      <w:kern w:val="2"/>
      <w:sz w:val="21"/>
      <w:lang w:val="en-US" w:eastAsia="zh-CN"/>
    </w:rPr>
  </w:style>
  <w:style w:type="character" w:customStyle="1" w:styleId="161">
    <w:name w:val="hei16b1"/>
    <w:qFormat/>
    <w:uiPriority w:val="0"/>
    <w:rPr>
      <w:rFonts w:hint="default" w:ascii="Arial" w:hAnsi="Arial" w:cs="Arial"/>
      <w:b/>
      <w:bCs/>
      <w:color w:val="000000"/>
      <w:sz w:val="24"/>
      <w:szCs w:val="24"/>
    </w:rPr>
  </w:style>
  <w:style w:type="character" w:customStyle="1" w:styleId="162">
    <w:name w:val="正文（绿盟科技） Char"/>
    <w:link w:val="163"/>
    <w:qFormat/>
    <w:uiPriority w:val="0"/>
    <w:rPr>
      <w:rFonts w:ascii="Arial" w:hAnsi="Arial"/>
      <w:sz w:val="21"/>
      <w:szCs w:val="21"/>
    </w:rPr>
  </w:style>
  <w:style w:type="paragraph" w:customStyle="1" w:styleId="163">
    <w:name w:val="正文（绿盟科技）"/>
    <w:link w:val="162"/>
    <w:qFormat/>
    <w:uiPriority w:val="0"/>
    <w:pPr>
      <w:spacing w:line="300" w:lineRule="auto"/>
    </w:pPr>
    <w:rPr>
      <w:rFonts w:ascii="Arial" w:hAnsi="Arial" w:eastAsia="宋体" w:cs="Times New Roman"/>
      <w:sz w:val="21"/>
      <w:szCs w:val="21"/>
      <w:lang w:val="en-US" w:eastAsia="zh-CN" w:bidi="ar-SA"/>
    </w:rPr>
  </w:style>
  <w:style w:type="character" w:customStyle="1" w:styleId="164">
    <w:name w:val="Char Char19"/>
    <w:qFormat/>
    <w:uiPriority w:val="6"/>
    <w:rPr>
      <w:rFonts w:ascii="宋体" w:hAnsi="宋体"/>
      <w:i/>
      <w:sz w:val="24"/>
      <w:szCs w:val="24"/>
    </w:rPr>
  </w:style>
  <w:style w:type="character" w:customStyle="1" w:styleId="165">
    <w:name w:val="页脚 Char"/>
    <w:qFormat/>
    <w:uiPriority w:val="0"/>
    <w:rPr>
      <w:rFonts w:eastAsia="仿宋_GB2312"/>
      <w:kern w:val="2"/>
      <w:sz w:val="18"/>
      <w:lang w:val="en-US" w:eastAsia="zh-CN"/>
    </w:rPr>
  </w:style>
  <w:style w:type="character" w:customStyle="1" w:styleId="166">
    <w:name w:val="批注主题 Char"/>
    <w:qFormat/>
    <w:uiPriority w:val="0"/>
    <w:rPr>
      <w:rFonts w:eastAsia="宋体"/>
      <w:b/>
      <w:bCs/>
      <w:kern w:val="2"/>
      <w:sz w:val="21"/>
      <w:szCs w:val="24"/>
      <w:lang w:val="en-US" w:eastAsia="zh-CN" w:bidi="ar-SA"/>
    </w:rPr>
  </w:style>
  <w:style w:type="character" w:customStyle="1" w:styleId="167">
    <w:name w:val="Comment Text Char"/>
    <w:qFormat/>
    <w:locked/>
    <w:uiPriority w:val="0"/>
    <w:rPr>
      <w:rFonts w:ascii="宋体" w:hAnsi="宋体" w:eastAsia="宋体"/>
      <w:kern w:val="2"/>
      <w:sz w:val="24"/>
      <w:lang w:val="en-US" w:eastAsia="zh-CN" w:bidi="ar-SA"/>
    </w:rPr>
  </w:style>
  <w:style w:type="character" w:customStyle="1" w:styleId="168">
    <w:name w:val="标题 2 字符"/>
    <w:qFormat/>
    <w:uiPriority w:val="1"/>
    <w:rPr>
      <w:rFonts w:ascii="仿宋_GB2312" w:hAnsi="Times New Roman" w:eastAsia="仿宋_GB2312" w:cs="Times New Roman"/>
      <w:b/>
      <w:kern w:val="2"/>
      <w:sz w:val="24"/>
      <w:lang w:val="zh-CN"/>
    </w:rPr>
  </w:style>
  <w:style w:type="character" w:customStyle="1" w:styleId="169">
    <w:name w:val="Char Char72"/>
    <w:qFormat/>
    <w:uiPriority w:val="0"/>
    <w:rPr>
      <w:rFonts w:eastAsia="宋体"/>
      <w:kern w:val="2"/>
      <w:sz w:val="21"/>
      <w:szCs w:val="24"/>
      <w:lang w:val="en-US" w:eastAsia="zh-CN" w:bidi="ar-SA"/>
    </w:rPr>
  </w:style>
  <w:style w:type="character" w:customStyle="1" w:styleId="170">
    <w:name w:val="正文文本缩进 Char2"/>
    <w:qFormat/>
    <w:uiPriority w:val="0"/>
    <w:rPr>
      <w:rFonts w:ascii="Times New Roman" w:hAnsi="Times New Roman" w:eastAsia="宋体" w:cs="Times New Roman"/>
      <w:snapToGrid w:val="0"/>
      <w:kern w:val="0"/>
      <w:szCs w:val="24"/>
    </w:rPr>
  </w:style>
  <w:style w:type="character" w:customStyle="1" w:styleId="171">
    <w:name w:val="样式2 Char"/>
    <w:qFormat/>
    <w:uiPriority w:val="0"/>
    <w:rPr>
      <w:rFonts w:ascii="仿宋_GB2312" w:hAnsi="仿宋" w:eastAsia="仿宋_GB2312" w:cs="仿宋_GB2312"/>
      <w:b/>
      <w:bCs/>
      <w:sz w:val="32"/>
      <w:szCs w:val="30"/>
      <w:lang w:val="zh-CN"/>
    </w:rPr>
  </w:style>
  <w:style w:type="character" w:customStyle="1" w:styleId="172">
    <w:name w:val="表格名称[858D7CFB-ED40-4347-BF05-701D383B685F]"/>
    <w:link w:val="173"/>
    <w:qFormat/>
    <w:uiPriority w:val="0"/>
    <w:rPr>
      <w:sz w:val="32"/>
    </w:rPr>
  </w:style>
  <w:style w:type="paragraph" w:customStyle="1" w:styleId="173">
    <w:name w:val="表格名称"/>
    <w:basedOn w:val="4"/>
    <w:link w:val="172"/>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4">
    <w:name w:val="Char Char4"/>
    <w:qFormat/>
    <w:uiPriority w:val="0"/>
    <w:rPr>
      <w:rFonts w:eastAsia="宋体"/>
      <w:b/>
      <w:sz w:val="24"/>
      <w:lang w:val="en-GB" w:eastAsia="zh-CN" w:bidi="ar-SA"/>
    </w:rPr>
  </w:style>
  <w:style w:type="character" w:customStyle="1" w:styleId="175">
    <w:name w:val="c7 style3"/>
    <w:qFormat/>
    <w:uiPriority w:val="0"/>
  </w:style>
  <w:style w:type="character" w:customStyle="1" w:styleId="176">
    <w:name w:val="正文文本 3 Char1"/>
    <w:semiHidden/>
    <w:qFormat/>
    <w:uiPriority w:val="99"/>
    <w:rPr>
      <w:rFonts w:ascii="Times New Roman" w:hAnsi="Times New Roman" w:eastAsia="宋体" w:cs="Times New Roman"/>
      <w:sz w:val="16"/>
      <w:szCs w:val="16"/>
    </w:rPr>
  </w:style>
  <w:style w:type="character" w:customStyle="1" w:styleId="177">
    <w:name w:val="tw4winInternal"/>
    <w:qFormat/>
    <w:uiPriority w:val="0"/>
    <w:rPr>
      <w:rFonts w:ascii="Courier New" w:hAnsi="Courier New" w:cs="Courier New"/>
      <w:color w:val="FF0000"/>
      <w:lang w:val="en-US" w:eastAsia="zh-CN"/>
    </w:rPr>
  </w:style>
  <w:style w:type="character" w:customStyle="1" w:styleId="178">
    <w:name w:val="Char Char10"/>
    <w:semiHidden/>
    <w:qFormat/>
    <w:uiPriority w:val="0"/>
    <w:rPr>
      <w:rFonts w:ascii="宋体" w:hAnsi="宋体"/>
      <w:kern w:val="2"/>
      <w:sz w:val="21"/>
      <w:szCs w:val="24"/>
      <w:lang w:val="en-US" w:eastAsia="zh-CN"/>
    </w:rPr>
  </w:style>
  <w:style w:type="character" w:customStyle="1" w:styleId="179">
    <w:name w:val="shadow11"/>
    <w:qFormat/>
    <w:uiPriority w:val="0"/>
    <w:rPr>
      <w:color w:val="000000"/>
      <w:sz w:val="21"/>
    </w:rPr>
  </w:style>
  <w:style w:type="character" w:customStyle="1" w:styleId="180">
    <w:name w:val="正文非缩进 Char3"/>
    <w:qFormat/>
    <w:uiPriority w:val="0"/>
    <w:rPr>
      <w:rFonts w:ascii="宋体" w:eastAsia="宋体"/>
      <w:snapToGrid w:val="0"/>
      <w:color w:val="000000"/>
      <w:kern w:val="28"/>
      <w:sz w:val="28"/>
      <w:lang w:val="en-US" w:eastAsia="zh-CN" w:bidi="ar-SA"/>
    </w:rPr>
  </w:style>
  <w:style w:type="character" w:customStyle="1" w:styleId="181">
    <w:name w:val="Char Char"/>
    <w:qFormat/>
    <w:uiPriority w:val="0"/>
    <w:rPr>
      <w:rFonts w:ascii="宋体" w:hAnsi="Courier New" w:eastAsia="宋体"/>
      <w:kern w:val="2"/>
      <w:sz w:val="21"/>
      <w:lang w:val="en-US" w:eastAsia="zh-CN" w:bidi="ar-SA"/>
    </w:rPr>
  </w:style>
  <w:style w:type="character" w:customStyle="1" w:styleId="182">
    <w:name w:val="签名 Char1"/>
    <w:qFormat/>
    <w:uiPriority w:val="0"/>
    <w:rPr>
      <w:rFonts w:ascii="Times New Roman" w:hAnsi="Times New Roman" w:eastAsia="宋体" w:cs="Times New Roman"/>
      <w:szCs w:val="24"/>
    </w:rPr>
  </w:style>
  <w:style w:type="character" w:customStyle="1" w:styleId="183">
    <w:name w:val="日期 Char"/>
    <w:link w:val="35"/>
    <w:qFormat/>
    <w:uiPriority w:val="0"/>
    <w:rPr>
      <w:rFonts w:ascii="宋体"/>
      <w:kern w:val="2"/>
      <w:sz w:val="24"/>
      <w:szCs w:val="21"/>
      <w:lang w:val="zh-CN"/>
    </w:rPr>
  </w:style>
  <w:style w:type="character" w:customStyle="1" w:styleId="184">
    <w:name w:val="标题 9 Char"/>
    <w:link w:val="12"/>
    <w:qFormat/>
    <w:uiPriority w:val="0"/>
    <w:rPr>
      <w:rFonts w:ascii="Arial" w:hAnsi="Arial" w:eastAsia="黑体"/>
      <w:kern w:val="2"/>
      <w:sz w:val="21"/>
      <w:szCs w:val="21"/>
    </w:rPr>
  </w:style>
  <w:style w:type="character" w:customStyle="1" w:styleId="185">
    <w:name w:val="Char Char18"/>
    <w:qFormat/>
    <w:uiPriority w:val="6"/>
    <w:rPr>
      <w:rFonts w:ascii="宋体" w:hAnsi="宋体"/>
      <w:sz w:val="28"/>
    </w:rPr>
  </w:style>
  <w:style w:type="character" w:customStyle="1" w:styleId="186">
    <w:name w:val="批注文字 Char"/>
    <w:qFormat/>
    <w:uiPriority w:val="0"/>
    <w:rPr>
      <w:kern w:val="2"/>
      <w:sz w:val="21"/>
      <w:szCs w:val="24"/>
    </w:rPr>
  </w:style>
  <w:style w:type="character" w:customStyle="1" w:styleId="187">
    <w:name w:val="Char Char22"/>
    <w:qFormat/>
    <w:uiPriority w:val="6"/>
    <w:rPr>
      <w:rFonts w:ascii="宋体" w:hAnsi="宋体"/>
      <w:kern w:val="1"/>
      <w:sz w:val="24"/>
      <w:szCs w:val="24"/>
    </w:rPr>
  </w:style>
  <w:style w:type="character" w:customStyle="1" w:styleId="188">
    <w:name w:val="pt141"/>
    <w:qFormat/>
    <w:uiPriority w:val="0"/>
    <w:rPr>
      <w:color w:val="330066"/>
      <w:sz w:val="22"/>
      <w:szCs w:val="22"/>
    </w:rPr>
  </w:style>
  <w:style w:type="character" w:customStyle="1" w:styleId="189">
    <w:name w:val="正文文本缩进 2 Char1"/>
    <w:semiHidden/>
    <w:qFormat/>
    <w:uiPriority w:val="99"/>
    <w:rPr>
      <w:rFonts w:ascii="Times New Roman" w:hAnsi="Times New Roman" w:eastAsia="宋体" w:cs="Times New Roman"/>
      <w:szCs w:val="24"/>
    </w:rPr>
  </w:style>
  <w:style w:type="character" w:customStyle="1" w:styleId="190">
    <w:name w:val="批注框文本 Char"/>
    <w:link w:val="38"/>
    <w:qFormat/>
    <w:uiPriority w:val="0"/>
    <w:rPr>
      <w:kern w:val="2"/>
      <w:sz w:val="18"/>
      <w:szCs w:val="18"/>
    </w:rPr>
  </w:style>
  <w:style w:type="character" w:customStyle="1" w:styleId="191">
    <w:name w:val="Char Char611"/>
    <w:qFormat/>
    <w:uiPriority w:val="0"/>
    <w:rPr>
      <w:rFonts w:eastAsia="宋体"/>
      <w:kern w:val="2"/>
      <w:sz w:val="21"/>
      <w:szCs w:val="24"/>
      <w:lang w:val="en-US" w:eastAsia="zh-CN" w:bidi="ar-SA"/>
    </w:rPr>
  </w:style>
  <w:style w:type="character" w:customStyle="1" w:styleId="192">
    <w:name w:val="highlight1"/>
    <w:qFormat/>
    <w:uiPriority w:val="0"/>
    <w:rPr>
      <w:rFonts w:ascii="仿宋_GB2312" w:eastAsia="微软雅黑"/>
      <w:b/>
      <w:kern w:val="2"/>
      <w:sz w:val="23"/>
      <w:szCs w:val="23"/>
      <w:lang w:val="en-US" w:eastAsia="zh-CN" w:bidi="ar-SA"/>
    </w:rPr>
  </w:style>
  <w:style w:type="character" w:customStyle="1" w:styleId="193">
    <w:name w:val="my正文 Char"/>
    <w:link w:val="194"/>
    <w:qFormat/>
    <w:locked/>
    <w:uiPriority w:val="0"/>
    <w:rPr>
      <w:rFonts w:ascii="Tahoma" w:hAnsi="Tahoma"/>
      <w:sz w:val="24"/>
      <w:szCs w:val="24"/>
    </w:rPr>
  </w:style>
  <w:style w:type="paragraph" w:customStyle="1" w:styleId="194">
    <w:name w:val="my正文"/>
    <w:basedOn w:val="1"/>
    <w:link w:val="193"/>
    <w:qFormat/>
    <w:uiPriority w:val="0"/>
    <w:pPr>
      <w:adjustRightInd/>
      <w:spacing w:line="360" w:lineRule="auto"/>
      <w:ind w:firstLine="480" w:firstLineChars="200"/>
    </w:pPr>
    <w:rPr>
      <w:rFonts w:ascii="Tahoma" w:hAnsi="Tahoma"/>
      <w:kern w:val="0"/>
      <w:sz w:val="24"/>
    </w:rPr>
  </w:style>
  <w:style w:type="character" w:customStyle="1" w:styleId="195">
    <w:name w:val="正文缩进 Char2"/>
    <w:link w:val="6"/>
    <w:qFormat/>
    <w:uiPriority w:val="0"/>
    <w:rPr>
      <w:rFonts w:ascii="宋体" w:eastAsia="宋体"/>
      <w:snapToGrid w:val="0"/>
      <w:color w:val="000000"/>
      <w:kern w:val="28"/>
      <w:sz w:val="28"/>
      <w:lang w:val="en-US" w:eastAsia="zh-CN" w:bidi="ar-SA"/>
    </w:rPr>
  </w:style>
  <w:style w:type="character" w:customStyle="1" w:styleId="196">
    <w:name w:val="Used by Word for text of Help footnotes Char Char1"/>
    <w:qFormat/>
    <w:uiPriority w:val="0"/>
    <w:rPr>
      <w:color w:val="0000FF"/>
      <w:sz w:val="21"/>
    </w:rPr>
  </w:style>
  <w:style w:type="character" w:customStyle="1" w:styleId="197">
    <w:name w:val="页眉 Char"/>
    <w:qFormat/>
    <w:uiPriority w:val="0"/>
    <w:rPr>
      <w:rFonts w:eastAsia="仿宋_GB2312"/>
      <w:kern w:val="2"/>
      <w:sz w:val="18"/>
      <w:lang w:val="en-US" w:eastAsia="zh-CN"/>
    </w:rPr>
  </w:style>
  <w:style w:type="character" w:customStyle="1" w:styleId="198">
    <w:name w:val="FA正文 Char Char"/>
    <w:qFormat/>
    <w:uiPriority w:val="0"/>
    <w:rPr>
      <w:rFonts w:hAnsi="宋体"/>
      <w:kern w:val="2"/>
      <w:sz w:val="24"/>
      <w:lang w:bidi="ar-SA"/>
    </w:rPr>
  </w:style>
  <w:style w:type="character" w:customStyle="1" w:styleId="199">
    <w:name w:val="纯文本 字符"/>
    <w:qFormat/>
    <w:uiPriority w:val="0"/>
    <w:rPr>
      <w:rFonts w:ascii="宋体" w:hAnsi="Courier New" w:eastAsia="宋体" w:cs="Arial"/>
      <w:snapToGrid w:val="0"/>
      <w:kern w:val="2"/>
      <w:sz w:val="21"/>
      <w:szCs w:val="21"/>
      <w:lang w:val="en-US" w:eastAsia="zh-CN" w:bidi="ar-SA"/>
    </w:rPr>
  </w:style>
  <w:style w:type="character" w:customStyle="1" w:styleId="200">
    <w:name w:val="3级 Char"/>
    <w:link w:val="201"/>
    <w:qFormat/>
    <w:uiPriority w:val="0"/>
    <w:rPr>
      <w:rFonts w:ascii="宋体" w:hAnsi="宋体"/>
      <w:b/>
      <w:bCs/>
      <w:snapToGrid/>
      <w:sz w:val="28"/>
    </w:rPr>
  </w:style>
  <w:style w:type="paragraph" w:customStyle="1" w:styleId="201">
    <w:name w:val="3级"/>
    <w:basedOn w:val="202"/>
    <w:link w:val="200"/>
    <w:qFormat/>
    <w:uiPriority w:val="0"/>
    <w:pPr>
      <w:ind w:left="0" w:right="466" w:firstLine="288"/>
    </w:pPr>
    <w:rPr>
      <w:rFonts w:hAnsi="宋体"/>
      <w:snapToGrid/>
    </w:rPr>
  </w:style>
  <w:style w:type="paragraph" w:customStyle="1" w:styleId="202">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3">
    <w:name w:val="myp11"/>
    <w:qFormat/>
    <w:uiPriority w:val="0"/>
    <w:rPr>
      <w:rFonts w:ascii="仿宋_GB2312" w:eastAsia="微软雅黑"/>
      <w:b/>
      <w:kern w:val="2"/>
      <w:sz w:val="32"/>
      <w:szCs w:val="32"/>
      <w:lang w:val="en-US" w:eastAsia="zh-CN" w:bidi="ar-SA"/>
    </w:rPr>
  </w:style>
  <w:style w:type="character" w:customStyle="1" w:styleId="204">
    <w:name w:val="文档结构图 Char1"/>
    <w:link w:val="19"/>
    <w:qFormat/>
    <w:uiPriority w:val="0"/>
    <w:rPr>
      <w:kern w:val="2"/>
      <w:sz w:val="21"/>
      <w:szCs w:val="24"/>
      <w:shd w:val="clear" w:color="auto" w:fill="000080"/>
    </w:rPr>
  </w:style>
  <w:style w:type="character" w:customStyle="1" w:styleId="205">
    <w:name w:val="H6 Char"/>
    <w:qFormat/>
    <w:uiPriority w:val="0"/>
    <w:rPr>
      <w:rFonts w:ascii="Arial" w:hAnsi="Arial" w:eastAsia="黑体"/>
      <w:b/>
      <w:bCs/>
      <w:kern w:val="2"/>
      <w:sz w:val="24"/>
      <w:szCs w:val="24"/>
    </w:rPr>
  </w:style>
  <w:style w:type="character" w:customStyle="1" w:styleId="206">
    <w:name w:val="Char Char91"/>
    <w:qFormat/>
    <w:uiPriority w:val="0"/>
    <w:rPr>
      <w:rFonts w:eastAsia="宋体"/>
      <w:kern w:val="2"/>
      <w:sz w:val="18"/>
      <w:szCs w:val="18"/>
      <w:lang w:val="en-US" w:eastAsia="zh-CN" w:bidi="ar-SA"/>
    </w:rPr>
  </w:style>
  <w:style w:type="character" w:customStyle="1" w:styleId="207">
    <w:name w:val="副标题 Char1"/>
    <w:qFormat/>
    <w:uiPriority w:val="0"/>
    <w:rPr>
      <w:rFonts w:ascii="Cambria" w:hAnsi="Cambria" w:eastAsia="宋体" w:cs="Times New Roman"/>
      <w:b/>
      <w:bCs/>
      <w:snapToGrid w:val="0"/>
      <w:kern w:val="28"/>
      <w:sz w:val="32"/>
      <w:szCs w:val="32"/>
    </w:rPr>
  </w:style>
  <w:style w:type="character" w:customStyle="1" w:styleId="208">
    <w:name w:val="font61"/>
    <w:qFormat/>
    <w:uiPriority w:val="0"/>
    <w:rPr>
      <w:rFonts w:hint="eastAsia" w:ascii="仿宋" w:hAnsi="仿宋" w:eastAsia="仿宋" w:cs="仿宋"/>
      <w:color w:val="000000"/>
      <w:sz w:val="20"/>
      <w:szCs w:val="20"/>
      <w:u w:val="none"/>
    </w:rPr>
  </w:style>
  <w:style w:type="character" w:customStyle="1" w:styleId="209">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0">
    <w:name w:val="Char Char211"/>
    <w:qFormat/>
    <w:uiPriority w:val="0"/>
    <w:rPr>
      <w:rFonts w:eastAsia="宋体"/>
      <w:b/>
      <w:bCs/>
      <w:kern w:val="2"/>
      <w:sz w:val="21"/>
      <w:szCs w:val="24"/>
      <w:lang w:val="en-US" w:eastAsia="zh-CN" w:bidi="ar-SA"/>
    </w:rPr>
  </w:style>
  <w:style w:type="character" w:customStyle="1" w:styleId="211">
    <w:name w:val="标题 2 Char"/>
    <w:qFormat/>
    <w:uiPriority w:val="0"/>
    <w:rPr>
      <w:rFonts w:ascii="Arial" w:hAnsi="Arial" w:eastAsia="黑体"/>
      <w:b/>
      <w:kern w:val="2"/>
      <w:sz w:val="32"/>
      <w:lang w:val="en-US" w:eastAsia="zh-CN"/>
    </w:rPr>
  </w:style>
  <w:style w:type="character" w:customStyle="1" w:styleId="212">
    <w:name w:val="maywed421"/>
    <w:qFormat/>
    <w:uiPriority w:val="0"/>
    <w:rPr>
      <w:color w:val="366FB6"/>
      <w:u w:val="none"/>
    </w:rPr>
  </w:style>
  <w:style w:type="character" w:customStyle="1" w:styleId="213">
    <w:name w:val="正文文本缩进 Char"/>
    <w:qFormat/>
    <w:uiPriority w:val="0"/>
    <w:rPr>
      <w:rFonts w:ascii="宋体" w:hAnsi="宋体"/>
      <w:kern w:val="2"/>
      <w:sz w:val="24"/>
      <w:szCs w:val="24"/>
    </w:rPr>
  </w:style>
  <w:style w:type="character" w:customStyle="1" w:styleId="214">
    <w:name w:val="Char Char102"/>
    <w:semiHidden/>
    <w:qFormat/>
    <w:uiPriority w:val="0"/>
    <w:rPr>
      <w:rFonts w:ascii="宋体" w:hAnsi="宋体"/>
      <w:kern w:val="2"/>
      <w:sz w:val="21"/>
      <w:szCs w:val="24"/>
      <w:lang w:val="en-US" w:eastAsia="zh-CN"/>
    </w:rPr>
  </w:style>
  <w:style w:type="character" w:customStyle="1" w:styleId="215">
    <w:name w:val="页眉 Char1"/>
    <w:qFormat/>
    <w:uiPriority w:val="0"/>
    <w:rPr>
      <w:rFonts w:eastAsia="宋体"/>
      <w:kern w:val="2"/>
      <w:sz w:val="18"/>
      <w:szCs w:val="18"/>
      <w:lang w:val="en-US" w:eastAsia="zh-CN" w:bidi="ar-SA"/>
    </w:rPr>
  </w:style>
  <w:style w:type="character" w:customStyle="1" w:styleId="216">
    <w:name w:val="md"/>
    <w:basedOn w:val="71"/>
    <w:qFormat/>
    <w:uiPriority w:val="0"/>
    <w:rPr>
      <w:rFonts w:ascii="Arial" w:hAnsi="Arial" w:eastAsia="黑体" w:cs="Arial"/>
      <w:snapToGrid w:val="0"/>
      <w:kern w:val="0"/>
      <w:szCs w:val="21"/>
    </w:rPr>
  </w:style>
  <w:style w:type="character" w:customStyle="1" w:styleId="217">
    <w:name w:val="big1"/>
    <w:qFormat/>
    <w:uiPriority w:val="0"/>
    <w:rPr>
      <w:rFonts w:hint="eastAsia" w:ascii="宋体" w:hAnsi="宋体" w:eastAsia="宋体"/>
      <w:color w:val="333333"/>
      <w:sz w:val="22"/>
      <w:szCs w:val="22"/>
    </w:rPr>
  </w:style>
  <w:style w:type="character" w:customStyle="1" w:styleId="218">
    <w:name w:val="Char Char311"/>
    <w:qFormat/>
    <w:uiPriority w:val="0"/>
    <w:rPr>
      <w:rFonts w:eastAsia="宋体"/>
      <w:kern w:val="2"/>
      <w:sz w:val="21"/>
      <w:szCs w:val="24"/>
      <w:lang w:val="en-US" w:eastAsia="zh-CN" w:bidi="ar-SA"/>
    </w:rPr>
  </w:style>
  <w:style w:type="character" w:customStyle="1" w:styleId="219">
    <w:name w:val="Char Char81"/>
    <w:qFormat/>
    <w:uiPriority w:val="6"/>
    <w:rPr>
      <w:rFonts w:eastAsia="宋体"/>
      <w:b/>
      <w:sz w:val="24"/>
      <w:lang w:val="en-GB" w:eastAsia="zh-CN"/>
    </w:rPr>
  </w:style>
  <w:style w:type="character" w:customStyle="1" w:styleId="220">
    <w:name w:val="样式3 Char"/>
    <w:basedOn w:val="171"/>
    <w:qFormat/>
    <w:uiPriority w:val="0"/>
    <w:rPr>
      <w:rFonts w:ascii="仿宋_GB2312" w:hAnsi="仿宋" w:eastAsia="仿宋_GB2312" w:cs="仿宋_GB2312"/>
      <w:sz w:val="32"/>
      <w:szCs w:val="30"/>
      <w:lang w:val="zh-CN"/>
    </w:rPr>
  </w:style>
  <w:style w:type="character" w:customStyle="1" w:styleId="221">
    <w:name w:val="HTML 地址 Char"/>
    <w:link w:val="29"/>
    <w:qFormat/>
    <w:uiPriority w:val="0"/>
    <w:rPr>
      <w:rFonts w:ascii="宋体" w:hAnsi="宋体"/>
      <w:i/>
      <w:iCs/>
      <w:sz w:val="24"/>
      <w:szCs w:val="24"/>
    </w:rPr>
  </w:style>
  <w:style w:type="character" w:customStyle="1" w:styleId="222">
    <w:name w:val="正文首行缩进 2 Char1"/>
    <w:qFormat/>
    <w:uiPriority w:val="0"/>
    <w:rPr>
      <w:rFonts w:ascii="Times New Roman" w:hAnsi="Times New Roman" w:eastAsia="宋体" w:cs="Times New Roman"/>
      <w:kern w:val="2"/>
      <w:sz w:val="24"/>
      <w:szCs w:val="24"/>
    </w:rPr>
  </w:style>
  <w:style w:type="character" w:customStyle="1" w:styleId="223">
    <w:name w:val="副标题 Char2"/>
    <w:qFormat/>
    <w:uiPriority w:val="0"/>
    <w:rPr>
      <w:rFonts w:ascii="Cambria" w:hAnsi="Cambria" w:eastAsia="宋体" w:cs="Times New Roman"/>
      <w:b/>
      <w:bCs/>
      <w:snapToGrid w:val="0"/>
      <w:kern w:val="28"/>
      <w:sz w:val="32"/>
      <w:szCs w:val="32"/>
    </w:rPr>
  </w:style>
  <w:style w:type="character" w:customStyle="1" w:styleId="224">
    <w:name w:val="标题4-dyf Char"/>
    <w:link w:val="225"/>
    <w:qFormat/>
    <w:uiPriority w:val="0"/>
    <w:rPr>
      <w:rFonts w:ascii="Cambria" w:hAnsi="Cambria"/>
      <w:b/>
      <w:bCs/>
      <w:color w:val="000000"/>
      <w:kern w:val="2"/>
      <w:sz w:val="21"/>
      <w:szCs w:val="21"/>
    </w:rPr>
  </w:style>
  <w:style w:type="paragraph" w:customStyle="1" w:styleId="225">
    <w:name w:val="标题4-dyf"/>
    <w:basedOn w:val="7"/>
    <w:link w:val="224"/>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6">
    <w:name w:val="dectext1"/>
    <w:qFormat/>
    <w:uiPriority w:val="0"/>
    <w:rPr>
      <w:rFonts w:ascii="宋体" w:hAnsi="宋体" w:eastAsia="宋体"/>
      <w:color w:val="333333"/>
      <w:sz w:val="21"/>
      <w:szCs w:val="21"/>
      <w:u w:val="none"/>
    </w:rPr>
  </w:style>
  <w:style w:type="character" w:customStyle="1" w:styleId="227">
    <w:name w:val="冯 Char"/>
    <w:link w:val="228"/>
    <w:qFormat/>
    <w:uiPriority w:val="0"/>
    <w:rPr>
      <w:rFonts w:ascii="宋体" w:hAnsi="宋体"/>
      <w:color w:val="000000"/>
      <w:sz w:val="24"/>
      <w:szCs w:val="24"/>
    </w:rPr>
  </w:style>
  <w:style w:type="paragraph" w:customStyle="1" w:styleId="228">
    <w:name w:val="冯"/>
    <w:basedOn w:val="1"/>
    <w:link w:val="227"/>
    <w:qFormat/>
    <w:uiPriority w:val="0"/>
    <w:pPr>
      <w:widowControl/>
      <w:adjustRightInd/>
      <w:spacing w:line="360" w:lineRule="auto"/>
      <w:ind w:firstLine="480" w:firstLineChars="200"/>
    </w:pPr>
    <w:rPr>
      <w:rFonts w:ascii="宋体" w:hAnsi="宋体"/>
      <w:color w:val="000000"/>
      <w:kern w:val="0"/>
      <w:sz w:val="24"/>
    </w:rPr>
  </w:style>
  <w:style w:type="character" w:customStyle="1" w:styleId="229">
    <w:name w:val="Header Char"/>
    <w:qFormat/>
    <w:locked/>
    <w:uiPriority w:val="0"/>
    <w:rPr>
      <w:rFonts w:eastAsia="宋体"/>
      <w:kern w:val="2"/>
      <w:sz w:val="18"/>
      <w:szCs w:val="18"/>
      <w:lang w:val="en-US" w:eastAsia="zh-CN" w:bidi="ar-SA"/>
    </w:rPr>
  </w:style>
  <w:style w:type="character" w:customStyle="1" w:styleId="230">
    <w:name w:val="Char Char12"/>
    <w:qFormat/>
    <w:uiPriority w:val="0"/>
    <w:rPr>
      <w:rFonts w:ascii="仿宋_GB2312" w:eastAsia="仿宋_GB2312"/>
      <w:b/>
      <w:bCs/>
      <w:kern w:val="2"/>
      <w:sz w:val="24"/>
      <w:szCs w:val="24"/>
      <w:lang w:val="zh-CN" w:eastAsia="zh-CN" w:bidi="ar-SA"/>
    </w:rPr>
  </w:style>
  <w:style w:type="character" w:customStyle="1" w:styleId="231">
    <w:name w:val="题注 Char"/>
    <w:link w:val="17"/>
    <w:qFormat/>
    <w:uiPriority w:val="0"/>
    <w:rPr>
      <w:b/>
      <w:kern w:val="2"/>
      <w:sz w:val="28"/>
    </w:rPr>
  </w:style>
  <w:style w:type="character" w:customStyle="1" w:styleId="232">
    <w:name w:val="普通文字 Char3"/>
    <w:qFormat/>
    <w:uiPriority w:val="0"/>
    <w:rPr>
      <w:rFonts w:ascii="宋体" w:hAnsi="Courier New" w:eastAsia="宋体"/>
      <w:kern w:val="2"/>
      <w:sz w:val="21"/>
      <w:lang w:val="en-US" w:eastAsia="zh-CN" w:bidi="ar-SA"/>
    </w:rPr>
  </w:style>
  <w:style w:type="character" w:customStyle="1" w:styleId="233">
    <w:name w:val="公文正文 Char"/>
    <w:qFormat/>
    <w:uiPriority w:val="0"/>
    <w:rPr>
      <w:rFonts w:ascii="仿宋_GB2312" w:eastAsia="仿宋_GB2312"/>
      <w:kern w:val="2"/>
      <w:sz w:val="24"/>
      <w:szCs w:val="24"/>
      <w:lang w:val="en-US" w:eastAsia="zh-CN" w:bidi="ar-SA"/>
    </w:rPr>
  </w:style>
  <w:style w:type="character" w:customStyle="1" w:styleId="234">
    <w:name w:val="正文首行缩进 Char Char Char Char Char"/>
    <w:qFormat/>
    <w:uiPriority w:val="0"/>
    <w:rPr>
      <w:rFonts w:ascii="宋体"/>
      <w:kern w:val="2"/>
      <w:sz w:val="24"/>
      <w:lang w:val="zh-CN"/>
    </w:rPr>
  </w:style>
  <w:style w:type="character" w:customStyle="1" w:styleId="235">
    <w:name w:val="PI Char"/>
    <w:qFormat/>
    <w:uiPriority w:val="0"/>
    <w:rPr>
      <w:rFonts w:ascii="宋体" w:hAnsi="宋体" w:eastAsia="宋体"/>
      <w:kern w:val="2"/>
      <w:sz w:val="24"/>
      <w:szCs w:val="24"/>
      <w:lang w:val="en-US" w:eastAsia="zh-CN" w:bidi="ar-SA"/>
    </w:rPr>
  </w:style>
  <w:style w:type="character" w:customStyle="1" w:styleId="236">
    <w:name w:val="Default Char"/>
    <w:link w:val="237"/>
    <w:qFormat/>
    <w:uiPriority w:val="0"/>
    <w:rPr>
      <w:rFonts w:ascii="仿宋_GB2312" w:eastAsia="仿宋_GB2312" w:cs="仿宋_GB2312"/>
      <w:color w:val="000000"/>
      <w:sz w:val="24"/>
      <w:szCs w:val="24"/>
      <w:lang w:val="en-US" w:eastAsia="zh-CN" w:bidi="ar-SA"/>
    </w:rPr>
  </w:style>
  <w:style w:type="paragraph" w:customStyle="1" w:styleId="237">
    <w:name w:val="Default"/>
    <w:link w:val="23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8">
    <w:name w:val="style91"/>
    <w:qFormat/>
    <w:uiPriority w:val="0"/>
    <w:rPr>
      <w:color w:val="333333"/>
    </w:rPr>
  </w:style>
  <w:style w:type="character" w:customStyle="1" w:styleId="239">
    <w:name w:val="列出段落 Char2"/>
    <w:qFormat/>
    <w:uiPriority w:val="34"/>
    <w:rPr>
      <w:rFonts w:ascii="Calibri" w:hAnsi="Calibri"/>
      <w:kern w:val="2"/>
      <w:sz w:val="28"/>
    </w:rPr>
  </w:style>
  <w:style w:type="character" w:customStyle="1" w:styleId="240">
    <w:name w:val="mdeck"/>
    <w:qFormat/>
    <w:uiPriority w:val="0"/>
    <w:rPr>
      <w:rFonts w:ascii="仿宋_GB2312" w:eastAsia="微软雅黑"/>
      <w:b/>
      <w:kern w:val="2"/>
      <w:sz w:val="32"/>
      <w:szCs w:val="32"/>
      <w:lang w:val="en-US" w:eastAsia="zh-CN" w:bidi="ar-SA"/>
    </w:rPr>
  </w:style>
  <w:style w:type="character" w:customStyle="1" w:styleId="241">
    <w:name w:val="unnamed11"/>
    <w:qFormat/>
    <w:uiPriority w:val="0"/>
    <w:rPr>
      <w:sz w:val="20"/>
      <w:szCs w:val="20"/>
    </w:rPr>
  </w:style>
  <w:style w:type="character" w:customStyle="1" w:styleId="242">
    <w:name w:val="正文文本 Char2"/>
    <w:semiHidden/>
    <w:qFormat/>
    <w:uiPriority w:val="99"/>
    <w:rPr>
      <w:rFonts w:ascii="Times New Roman" w:hAnsi="Times New Roman" w:eastAsia="宋体" w:cs="Times New Roman"/>
      <w:snapToGrid w:val="0"/>
      <w:kern w:val="0"/>
      <w:szCs w:val="24"/>
    </w:rPr>
  </w:style>
  <w:style w:type="character" w:customStyle="1" w:styleId="243">
    <w:name w:val="标书正文格式 Char"/>
    <w:qFormat/>
    <w:uiPriority w:val="0"/>
    <w:rPr>
      <w:rFonts w:eastAsia="楷体_GB2312"/>
      <w:kern w:val="2"/>
      <w:sz w:val="24"/>
      <w:szCs w:val="24"/>
      <w:lang w:bidi="ar-SA"/>
    </w:rPr>
  </w:style>
  <w:style w:type="character" w:customStyle="1" w:styleId="244">
    <w:name w:val="Char Char11"/>
    <w:qFormat/>
    <w:locked/>
    <w:uiPriority w:val="0"/>
    <w:rPr>
      <w:rFonts w:ascii="宋体" w:hAnsi="宋体" w:eastAsia="宋体"/>
      <w:b/>
      <w:kern w:val="2"/>
      <w:sz w:val="24"/>
      <w:szCs w:val="24"/>
      <w:lang w:val="en-US" w:eastAsia="zh-CN" w:bidi="ar-SA"/>
    </w:rPr>
  </w:style>
  <w:style w:type="character" w:customStyle="1" w:styleId="245">
    <w:name w:val="ca-131"/>
    <w:qFormat/>
    <w:uiPriority w:val="0"/>
    <w:rPr>
      <w:rFonts w:hint="eastAsia" w:ascii="仿宋_GB2312" w:eastAsia="仿宋_GB2312"/>
      <w:b/>
      <w:bCs/>
      <w:color w:val="000000"/>
      <w:spacing w:val="-20"/>
      <w:sz w:val="24"/>
      <w:szCs w:val="24"/>
    </w:rPr>
  </w:style>
  <w:style w:type="character" w:customStyle="1" w:styleId="246">
    <w:name w:val="tw4winMark"/>
    <w:qFormat/>
    <w:uiPriority w:val="0"/>
    <w:rPr>
      <w:rFonts w:ascii="Courier New" w:hAnsi="Courier New" w:cs="Courier New"/>
      <w:vanish/>
      <w:color w:val="800080"/>
      <w:sz w:val="24"/>
      <w:szCs w:val="24"/>
      <w:vertAlign w:val="subscript"/>
    </w:rPr>
  </w:style>
  <w:style w:type="character" w:customStyle="1" w:styleId="247">
    <w:name w:val="正文样式 Char"/>
    <w:link w:val="248"/>
    <w:qFormat/>
    <w:uiPriority w:val="0"/>
    <w:rPr>
      <w:rFonts w:ascii="Calibri" w:hAnsi="Calibri"/>
      <w:sz w:val="24"/>
      <w:szCs w:val="24"/>
    </w:rPr>
  </w:style>
  <w:style w:type="paragraph" w:customStyle="1" w:styleId="248">
    <w:name w:val="正文样式"/>
    <w:basedOn w:val="1"/>
    <w:link w:val="247"/>
    <w:qFormat/>
    <w:uiPriority w:val="0"/>
    <w:pPr>
      <w:adjustRightInd/>
      <w:spacing w:line="360" w:lineRule="auto"/>
      <w:ind w:firstLine="480" w:firstLineChars="200"/>
    </w:pPr>
    <w:rPr>
      <w:kern w:val="0"/>
      <w:sz w:val="24"/>
    </w:rPr>
  </w:style>
  <w:style w:type="character" w:customStyle="1" w:styleId="249">
    <w:name w:val="表正文 Char3"/>
    <w:qFormat/>
    <w:uiPriority w:val="0"/>
    <w:rPr>
      <w:rFonts w:eastAsia="宋体"/>
    </w:rPr>
  </w:style>
  <w:style w:type="character" w:customStyle="1" w:styleId="250">
    <w:name w:val="H5 Char"/>
    <w:qFormat/>
    <w:uiPriority w:val="0"/>
    <w:rPr>
      <w:b/>
      <w:bCs/>
      <w:kern w:val="2"/>
      <w:sz w:val="28"/>
      <w:szCs w:val="28"/>
    </w:rPr>
  </w:style>
  <w:style w:type="character" w:customStyle="1" w:styleId="251">
    <w:name w:val="Char Char3"/>
    <w:qFormat/>
    <w:uiPriority w:val="0"/>
    <w:rPr>
      <w:rFonts w:eastAsia="宋体"/>
      <w:kern w:val="2"/>
      <w:sz w:val="21"/>
      <w:szCs w:val="24"/>
      <w:lang w:val="en-US" w:eastAsia="zh-CN" w:bidi="ar-SA"/>
    </w:rPr>
  </w:style>
  <w:style w:type="character" w:customStyle="1" w:styleId="252">
    <w:name w:val="正文 编号 Char"/>
    <w:qFormat/>
    <w:uiPriority w:val="0"/>
    <w:rPr>
      <w:rFonts w:ascii="仿宋_GB2312" w:hAnsi="仿宋_GB2312" w:eastAsia="仿宋_GB2312"/>
      <w:kern w:val="2"/>
      <w:sz w:val="24"/>
      <w:lang w:bidi="ar-SA"/>
    </w:rPr>
  </w:style>
  <w:style w:type="character" w:customStyle="1" w:styleId="253">
    <w:name w:val="question-title2"/>
    <w:qFormat/>
    <w:uiPriority w:val="6"/>
    <w:rPr>
      <w:rFonts w:ascii="Arial" w:hAnsi="Arial" w:eastAsia="黑体" w:cs="Arial"/>
      <w:snapToGrid w:val="0"/>
      <w:kern w:val="0"/>
      <w:szCs w:val="21"/>
    </w:rPr>
  </w:style>
  <w:style w:type="character" w:customStyle="1" w:styleId="254">
    <w:name w:val="gf正文1 Char Char"/>
    <w:link w:val="255"/>
    <w:qFormat/>
    <w:uiPriority w:val="0"/>
    <w:rPr>
      <w:rFonts w:ascii="宋体" w:hAnsi="宋体" w:cs="宋体"/>
      <w:kern w:val="2"/>
      <w:sz w:val="24"/>
      <w:szCs w:val="24"/>
    </w:rPr>
  </w:style>
  <w:style w:type="paragraph" w:customStyle="1" w:styleId="255">
    <w:name w:val="gf正文1"/>
    <w:basedOn w:val="1"/>
    <w:link w:val="254"/>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6">
    <w:name w:val="Char Char15"/>
    <w:qFormat/>
    <w:uiPriority w:val="6"/>
    <w:rPr>
      <w:rFonts w:ascii="宋体" w:hAnsi="宋体"/>
      <w:kern w:val="1"/>
      <w:sz w:val="21"/>
    </w:rPr>
  </w:style>
  <w:style w:type="character" w:customStyle="1" w:styleId="257">
    <w:name w:val="正文缩进 Char3"/>
    <w:qFormat/>
    <w:uiPriority w:val="0"/>
    <w:rPr>
      <w:rFonts w:ascii="宋体" w:eastAsia="宋体"/>
      <w:snapToGrid w:val="0"/>
      <w:color w:val="000000"/>
      <w:kern w:val="28"/>
      <w:sz w:val="28"/>
      <w:lang w:val="en-US" w:eastAsia="zh-CN" w:bidi="ar-SA"/>
    </w:rPr>
  </w:style>
  <w:style w:type="character" w:customStyle="1" w:styleId="258">
    <w:name w:val="列出段落 Char1"/>
    <w:link w:val="259"/>
    <w:qFormat/>
    <w:uiPriority w:val="0"/>
    <w:rPr>
      <w:rFonts w:ascii="Calibri" w:hAnsi="Calibri"/>
      <w:sz w:val="24"/>
      <w:lang w:eastAsia="en-US"/>
    </w:rPr>
  </w:style>
  <w:style w:type="paragraph" w:customStyle="1" w:styleId="259">
    <w:name w:val="列表1"/>
    <w:basedOn w:val="1"/>
    <w:next w:val="260"/>
    <w:link w:val="258"/>
    <w:qFormat/>
    <w:uiPriority w:val="0"/>
    <w:pPr>
      <w:widowControl/>
      <w:adjustRightInd/>
      <w:spacing w:after="200" w:line="360" w:lineRule="auto"/>
      <w:ind w:left="720" w:firstLine="200" w:firstLineChars="200"/>
      <w:jc w:val="left"/>
    </w:pPr>
    <w:rPr>
      <w:kern w:val="0"/>
      <w:sz w:val="24"/>
      <w:szCs w:val="20"/>
      <w:lang w:eastAsia="en-US"/>
    </w:rPr>
  </w:style>
  <w:style w:type="paragraph" w:styleId="260">
    <w:name w:val="List Paragraph"/>
    <w:basedOn w:val="1"/>
    <w:qFormat/>
    <w:uiPriority w:val="34"/>
    <w:pPr>
      <w:spacing w:line="360" w:lineRule="auto"/>
      <w:ind w:firstLine="200" w:firstLineChars="200"/>
    </w:pPr>
    <w:rPr>
      <w:rFonts w:eastAsia="楷体_GB2312" w:cs="Lucida Sans"/>
      <w:sz w:val="24"/>
    </w:rPr>
  </w:style>
  <w:style w:type="character" w:customStyle="1" w:styleId="261">
    <w:name w:val="Char Char8"/>
    <w:qFormat/>
    <w:uiPriority w:val="0"/>
    <w:rPr>
      <w:rFonts w:eastAsia="宋体"/>
      <w:b/>
      <w:sz w:val="24"/>
      <w:lang w:val="en-GB" w:eastAsia="zh-CN"/>
    </w:rPr>
  </w:style>
  <w:style w:type="character" w:customStyle="1" w:styleId="262">
    <w:name w:val="Normal Indent Char Char"/>
    <w:qFormat/>
    <w:uiPriority w:val="0"/>
    <w:rPr>
      <w:rFonts w:eastAsia="宋体"/>
      <w:kern w:val="2"/>
      <w:sz w:val="21"/>
      <w:lang w:val="en-US" w:eastAsia="zh-CN" w:bidi="ar-SA"/>
    </w:rPr>
  </w:style>
  <w:style w:type="character" w:customStyle="1" w:styleId="263">
    <w:name w:val="列表段落 字符"/>
    <w:qFormat/>
    <w:uiPriority w:val="99"/>
  </w:style>
  <w:style w:type="character" w:customStyle="1" w:styleId="264">
    <w:name w:val="Ò³Ã¼ Char Char1"/>
    <w:qFormat/>
    <w:uiPriority w:val="0"/>
    <w:rPr>
      <w:rFonts w:eastAsia="宋体"/>
      <w:kern w:val="2"/>
      <w:sz w:val="18"/>
      <w:szCs w:val="18"/>
      <w:lang w:val="en-US" w:eastAsia="zh-CN" w:bidi="ar-SA"/>
    </w:rPr>
  </w:style>
  <w:style w:type="character" w:customStyle="1" w:styleId="265">
    <w:name w:val="方案正文 Char"/>
    <w:qFormat/>
    <w:uiPriority w:val="0"/>
    <w:rPr>
      <w:rFonts w:ascii="仿宋_GB2312" w:eastAsia="仿宋_GB2312"/>
      <w:b/>
      <w:color w:val="000000"/>
      <w:kern w:val="2"/>
      <w:sz w:val="24"/>
      <w:lang w:val="en-US" w:eastAsia="zh-CN" w:bidi="ar-SA"/>
    </w:rPr>
  </w:style>
  <w:style w:type="character" w:customStyle="1" w:styleId="266">
    <w:name w:val="Char Char30"/>
    <w:qFormat/>
    <w:uiPriority w:val="6"/>
    <w:rPr>
      <w:rFonts w:ascii="Arial" w:hAnsi="Arial" w:eastAsia="黑体"/>
      <w:kern w:val="1"/>
      <w:sz w:val="21"/>
      <w:szCs w:val="21"/>
    </w:rPr>
  </w:style>
  <w:style w:type="character" w:customStyle="1" w:styleId="267">
    <w:name w:val="正文文本缩进 Char3"/>
    <w:link w:val="24"/>
    <w:qFormat/>
    <w:uiPriority w:val="0"/>
    <w:rPr>
      <w:rFonts w:ascii="宋体" w:hAnsi="宋体"/>
      <w:kern w:val="2"/>
      <w:sz w:val="24"/>
      <w:szCs w:val="24"/>
    </w:rPr>
  </w:style>
  <w:style w:type="character" w:customStyle="1" w:styleId="268">
    <w:name w:val="font01"/>
    <w:basedOn w:val="71"/>
    <w:qFormat/>
    <w:uiPriority w:val="0"/>
    <w:rPr>
      <w:rFonts w:hint="eastAsia" w:ascii="微软雅黑" w:hAnsi="微软雅黑" w:eastAsia="微软雅黑" w:cs="微软雅黑"/>
      <w:color w:val="000000"/>
      <w:sz w:val="20"/>
      <w:szCs w:val="20"/>
      <w:u w:val="none"/>
    </w:rPr>
  </w:style>
  <w:style w:type="character" w:customStyle="1" w:styleId="269">
    <w:name w:val="Char Char20"/>
    <w:qFormat/>
    <w:uiPriority w:val="6"/>
    <w:rPr>
      <w:kern w:val="1"/>
      <w:sz w:val="24"/>
    </w:rPr>
  </w:style>
  <w:style w:type="character" w:customStyle="1" w:styleId="270">
    <w:name w:val="tw4winExternal"/>
    <w:qFormat/>
    <w:uiPriority w:val="0"/>
    <w:rPr>
      <w:rFonts w:ascii="Courier New" w:hAnsi="Courier New" w:cs="Courier New"/>
      <w:color w:val="808080"/>
      <w:lang w:val="en-US" w:eastAsia="zh-CN"/>
    </w:rPr>
  </w:style>
  <w:style w:type="character" w:customStyle="1" w:styleId="271">
    <w:name w:val="标题 4 Char1"/>
    <w:qFormat/>
    <w:uiPriority w:val="9"/>
    <w:rPr>
      <w:rFonts w:ascii="Cambria" w:hAnsi="Cambria" w:eastAsia="宋体" w:cs="Times New Roman"/>
      <w:b/>
      <w:bCs/>
      <w:kern w:val="2"/>
      <w:sz w:val="28"/>
      <w:szCs w:val="28"/>
    </w:rPr>
  </w:style>
  <w:style w:type="character" w:customStyle="1" w:styleId="272">
    <w:name w:val="批注文字 Char2"/>
    <w:qFormat/>
    <w:uiPriority w:val="99"/>
    <w:rPr>
      <w:rFonts w:ascii="Times New Roman" w:hAnsi="Times New Roman" w:eastAsia="宋体" w:cs="Times New Roman"/>
      <w:snapToGrid w:val="0"/>
      <w:kern w:val="0"/>
      <w:szCs w:val="24"/>
    </w:rPr>
  </w:style>
  <w:style w:type="character" w:customStyle="1" w:styleId="273">
    <w:name w:val="正文文本 2 Char"/>
    <w:qFormat/>
    <w:uiPriority w:val="0"/>
    <w:rPr>
      <w:rFonts w:eastAsia="宋体"/>
      <w:kern w:val="2"/>
      <w:sz w:val="21"/>
      <w:szCs w:val="24"/>
      <w:lang w:val="en-US" w:eastAsia="zh-CN" w:bidi="ar-SA"/>
    </w:rPr>
  </w:style>
  <w:style w:type="character" w:customStyle="1" w:styleId="274">
    <w:name w:val="Ò³Ã¼ Char Char"/>
    <w:qFormat/>
    <w:uiPriority w:val="0"/>
    <w:rPr>
      <w:rFonts w:eastAsia="宋体"/>
      <w:kern w:val="2"/>
      <w:sz w:val="18"/>
      <w:lang w:val="en-US" w:eastAsia="zh-CN" w:bidi="ar-SA"/>
    </w:rPr>
  </w:style>
  <w:style w:type="character" w:customStyle="1" w:styleId="275">
    <w:name w:val="message1"/>
    <w:qFormat/>
    <w:uiPriority w:val="0"/>
    <w:rPr>
      <w:rFonts w:hint="default" w:ascii="Tahoma" w:hAnsi="Tahoma" w:cs="Tahoma"/>
      <w:sz w:val="18"/>
      <w:szCs w:val="18"/>
    </w:rPr>
  </w:style>
  <w:style w:type="character" w:customStyle="1" w:styleId="276">
    <w:name w:val="Char Char23"/>
    <w:qFormat/>
    <w:uiPriority w:val="6"/>
    <w:rPr>
      <w:color w:val="0000FF"/>
      <w:sz w:val="21"/>
    </w:rPr>
  </w:style>
  <w:style w:type="character" w:customStyle="1" w:styleId="277">
    <w:name w:val="批注框文本 字符"/>
    <w:qFormat/>
    <w:uiPriority w:val="0"/>
    <w:rPr>
      <w:rFonts w:ascii="Arial" w:hAnsi="Arial" w:eastAsia="黑体" w:cs="Arial"/>
      <w:snapToGrid w:val="0"/>
      <w:kern w:val="0"/>
      <w:sz w:val="18"/>
      <w:szCs w:val="18"/>
    </w:rPr>
  </w:style>
  <w:style w:type="character" w:customStyle="1" w:styleId="278">
    <w:name w:val="纯文本 Char2"/>
    <w:semiHidden/>
    <w:qFormat/>
    <w:uiPriority w:val="99"/>
    <w:rPr>
      <w:rFonts w:ascii="宋体" w:hAnsi="Courier New" w:eastAsia="宋体" w:cs="Courier New"/>
    </w:rPr>
  </w:style>
  <w:style w:type="character" w:customStyle="1" w:styleId="279">
    <w:name w:val="Char Char25"/>
    <w:qFormat/>
    <w:uiPriority w:val="6"/>
    <w:rPr>
      <w:rFonts w:ascii="宋体" w:hAnsi="宋体"/>
      <w:kern w:val="1"/>
      <w:sz w:val="24"/>
      <w:lang w:val="zh-CN"/>
    </w:rPr>
  </w:style>
  <w:style w:type="character" w:customStyle="1" w:styleId="280">
    <w:name w:val="Char Char411"/>
    <w:qFormat/>
    <w:uiPriority w:val="0"/>
    <w:rPr>
      <w:rFonts w:eastAsia="宋体"/>
      <w:b/>
      <w:sz w:val="24"/>
      <w:lang w:val="en-GB" w:eastAsia="zh-CN" w:bidi="ar-SA"/>
    </w:rPr>
  </w:style>
  <w:style w:type="character" w:customStyle="1" w:styleId="281">
    <w:name w:val="Heading 7 Char"/>
    <w:qFormat/>
    <w:locked/>
    <w:uiPriority w:val="0"/>
    <w:rPr>
      <w:rFonts w:ascii="宋体" w:hAnsi="宋体" w:eastAsia="宋体"/>
      <w:b/>
      <w:bCs/>
      <w:kern w:val="2"/>
      <w:sz w:val="24"/>
      <w:szCs w:val="24"/>
      <w:lang w:val="en-US" w:eastAsia="zh-CN" w:bidi="ar-SA"/>
    </w:rPr>
  </w:style>
  <w:style w:type="character" w:customStyle="1" w:styleId="282">
    <w:name w:val="此正文 Char"/>
    <w:link w:val="283"/>
    <w:qFormat/>
    <w:uiPriority w:val="0"/>
    <w:rPr>
      <w:kern w:val="2"/>
      <w:sz w:val="24"/>
      <w:szCs w:val="24"/>
    </w:rPr>
  </w:style>
  <w:style w:type="paragraph" w:customStyle="1" w:styleId="283">
    <w:name w:val="此正文"/>
    <w:basedOn w:val="1"/>
    <w:link w:val="282"/>
    <w:qFormat/>
    <w:uiPriority w:val="0"/>
    <w:pPr>
      <w:adjustRightInd/>
      <w:spacing w:line="360" w:lineRule="auto"/>
      <w:ind w:firstLine="200" w:firstLineChars="200"/>
    </w:pPr>
    <w:rPr>
      <w:sz w:val="24"/>
    </w:rPr>
  </w:style>
  <w:style w:type="character" w:customStyle="1" w:styleId="284">
    <w:name w:val="Char Char2"/>
    <w:qFormat/>
    <w:uiPriority w:val="0"/>
    <w:rPr>
      <w:rFonts w:eastAsia="宋体"/>
      <w:b/>
      <w:bCs/>
      <w:kern w:val="2"/>
      <w:sz w:val="21"/>
      <w:szCs w:val="24"/>
      <w:lang w:val="en-US" w:eastAsia="zh-CN" w:bidi="ar-SA"/>
    </w:rPr>
  </w:style>
  <w:style w:type="character" w:customStyle="1" w:styleId="285">
    <w:name w:val="标题 1 Char"/>
    <w:link w:val="3"/>
    <w:qFormat/>
    <w:uiPriority w:val="9"/>
    <w:rPr>
      <w:b/>
      <w:bCs/>
      <w:kern w:val="44"/>
      <w:sz w:val="44"/>
      <w:szCs w:val="44"/>
    </w:rPr>
  </w:style>
  <w:style w:type="character" w:customStyle="1" w:styleId="286">
    <w:name w:val="Footer-Even Char1"/>
    <w:qFormat/>
    <w:uiPriority w:val="0"/>
    <w:rPr>
      <w:rFonts w:eastAsia="宋体"/>
      <w:kern w:val="2"/>
      <w:sz w:val="18"/>
      <w:szCs w:val="18"/>
      <w:lang w:val="en-US" w:eastAsia="zh-CN" w:bidi="ar-SA"/>
    </w:rPr>
  </w:style>
  <w:style w:type="character" w:customStyle="1" w:styleId="287">
    <w:name w:val="Char Char29"/>
    <w:qFormat/>
    <w:uiPriority w:val="6"/>
    <w:rPr>
      <w:rFonts w:ascii="Arial" w:hAnsi="Arial" w:eastAsia="微软雅黑"/>
      <w:b/>
      <w:kern w:val="1"/>
      <w:sz w:val="44"/>
      <w:szCs w:val="32"/>
      <w:lang w:val="en-US" w:eastAsia="zh-CN" w:bidi="ar-SA"/>
    </w:rPr>
  </w:style>
  <w:style w:type="character" w:customStyle="1" w:styleId="288">
    <w:name w:val="标题 Char2"/>
    <w:link w:val="60"/>
    <w:qFormat/>
    <w:uiPriority w:val="10"/>
    <w:rPr>
      <w:b/>
      <w:sz w:val="24"/>
      <w:lang w:val="en-GB"/>
    </w:rPr>
  </w:style>
  <w:style w:type="character" w:customStyle="1" w:styleId="289">
    <w:name w:val="font81"/>
    <w:qFormat/>
    <w:uiPriority w:val="0"/>
    <w:rPr>
      <w:rFonts w:ascii="微软雅黑" w:hAnsi="微软雅黑" w:eastAsia="微软雅黑" w:cs="微软雅黑"/>
      <w:color w:val="000000"/>
      <w:sz w:val="20"/>
      <w:szCs w:val="20"/>
      <w:u w:val="none"/>
    </w:rPr>
  </w:style>
  <w:style w:type="character" w:customStyle="1" w:styleId="290">
    <w:name w:val="Char Char312"/>
    <w:qFormat/>
    <w:uiPriority w:val="0"/>
    <w:rPr>
      <w:rFonts w:ascii="Times New Roman" w:hAnsi="Times New Roman" w:eastAsia="宋体" w:cs="Times New Roman"/>
      <w:b/>
      <w:kern w:val="2"/>
      <w:sz w:val="32"/>
      <w:szCs w:val="24"/>
      <w:lang w:val="en-US" w:eastAsia="zh-CN" w:bidi="ar-SA"/>
    </w:rPr>
  </w:style>
  <w:style w:type="character" w:customStyle="1" w:styleId="291">
    <w:name w:val="t21"/>
    <w:qFormat/>
    <w:uiPriority w:val="0"/>
    <w:rPr>
      <w:rFonts w:ascii="仿宋_GB2312" w:eastAsia="微软雅黑"/>
      <w:b/>
      <w:kern w:val="2"/>
      <w:sz w:val="23"/>
      <w:szCs w:val="23"/>
      <w:lang w:val="en-US" w:eastAsia="zh-CN" w:bidi="ar-SA"/>
    </w:rPr>
  </w:style>
  <w:style w:type="character" w:customStyle="1" w:styleId="292">
    <w:name w:val="样式8 Char"/>
    <w:qFormat/>
    <w:uiPriority w:val="0"/>
    <w:rPr>
      <w:rFonts w:ascii="仿宋_GB2312" w:hAnsi="宋体" w:eastAsia="仿宋_GB2312"/>
      <w:b/>
      <w:bCs/>
      <w:kern w:val="2"/>
      <w:sz w:val="24"/>
      <w:szCs w:val="24"/>
    </w:rPr>
  </w:style>
  <w:style w:type="character" w:customStyle="1" w:styleId="293">
    <w:name w:val="表格 Char Char"/>
    <w:qFormat/>
    <w:uiPriority w:val="0"/>
    <w:rPr>
      <w:rFonts w:ascii="宋体" w:hAnsi="宋体" w:eastAsia="宋体"/>
      <w:lang w:bidi="ar-SA"/>
    </w:rPr>
  </w:style>
  <w:style w:type="character" w:customStyle="1" w:styleId="294">
    <w:name w:val="正文文本 字符1"/>
    <w:qFormat/>
    <w:uiPriority w:val="0"/>
    <w:rPr>
      <w:rFonts w:ascii="Calibri" w:hAnsi="Calibri" w:eastAsia="黑体" w:cs="Arial"/>
      <w:snapToGrid w:val="0"/>
      <w:kern w:val="2"/>
      <w:sz w:val="28"/>
      <w:szCs w:val="21"/>
    </w:rPr>
  </w:style>
  <w:style w:type="character" w:customStyle="1" w:styleId="295">
    <w:name w:val="标题 5 Char"/>
    <w:link w:val="8"/>
    <w:qFormat/>
    <w:uiPriority w:val="9"/>
    <w:rPr>
      <w:b/>
      <w:bCs/>
      <w:kern w:val="2"/>
      <w:sz w:val="28"/>
      <w:szCs w:val="28"/>
    </w:rPr>
  </w:style>
  <w:style w:type="character" w:customStyle="1" w:styleId="296">
    <w:name w:val="标题 6 Char1"/>
    <w:qFormat/>
    <w:uiPriority w:val="0"/>
    <w:rPr>
      <w:rFonts w:ascii="Arial" w:hAnsi="Arial" w:eastAsia="黑体" w:cs="Times New Roman"/>
      <w:b/>
      <w:sz w:val="24"/>
      <w:szCs w:val="20"/>
      <w:lang w:bidi="ar-SA"/>
    </w:rPr>
  </w:style>
  <w:style w:type="character" w:customStyle="1" w:styleId="297">
    <w:name w:val="带编号样式 Char"/>
    <w:qFormat/>
    <w:uiPriority w:val="0"/>
    <w:rPr>
      <w:rFonts w:ascii="仿宋_GB2312" w:eastAsia="仿宋_GB2312"/>
      <w:color w:val="000000"/>
      <w:sz w:val="24"/>
      <w:lang w:bidi="ar-SA"/>
    </w:rPr>
  </w:style>
  <w:style w:type="character" w:customStyle="1" w:styleId="298">
    <w:name w:val="unnamed31"/>
    <w:qFormat/>
    <w:uiPriority w:val="0"/>
    <w:rPr>
      <w:rFonts w:ascii="Tahoma" w:hAnsi="Tahoma" w:eastAsia="宋体"/>
      <w:b/>
      <w:kern w:val="2"/>
      <w:sz w:val="24"/>
      <w:szCs w:val="32"/>
      <w:u w:val="none"/>
      <w:lang w:val="en-US" w:eastAsia="zh-CN" w:bidi="ar-SA"/>
    </w:rPr>
  </w:style>
  <w:style w:type="character" w:customStyle="1" w:styleId="299">
    <w:name w:val="正文首行缩进 Char Char Char Char Char Char1"/>
    <w:qFormat/>
    <w:uiPriority w:val="0"/>
    <w:rPr>
      <w:rFonts w:ascii="宋体" w:eastAsia="宋体"/>
      <w:kern w:val="2"/>
      <w:sz w:val="24"/>
      <w:szCs w:val="24"/>
      <w:lang w:val="zh-CN" w:bidi="ar-SA"/>
    </w:rPr>
  </w:style>
  <w:style w:type="character" w:customStyle="1" w:styleId="300">
    <w:name w:val="称呼 Char"/>
    <w:link w:val="21"/>
    <w:qFormat/>
    <w:uiPriority w:val="0"/>
    <w:rPr>
      <w:rFonts w:ascii="仿宋_GB2312" w:eastAsia="仿宋_GB2312"/>
      <w:kern w:val="2"/>
      <w:sz w:val="28"/>
    </w:rPr>
  </w:style>
  <w:style w:type="character" w:customStyle="1" w:styleId="301">
    <w:name w:val="文本正文 Char Char"/>
    <w:qFormat/>
    <w:locked/>
    <w:uiPriority w:val="0"/>
    <w:rPr>
      <w:sz w:val="24"/>
      <w:lang w:bidi="ar-SA"/>
    </w:rPr>
  </w:style>
  <w:style w:type="character" w:customStyle="1" w:styleId="302">
    <w:name w:val="正文缩进 字符"/>
    <w:qFormat/>
    <w:uiPriority w:val="0"/>
    <w:rPr>
      <w:rFonts w:ascii="宋体" w:eastAsia="宋体"/>
      <w:snapToGrid w:val="0"/>
      <w:color w:val="000000"/>
      <w:kern w:val="28"/>
      <w:sz w:val="28"/>
      <w:lang w:val="en-US" w:eastAsia="zh-CN" w:bidi="ar-SA"/>
    </w:rPr>
  </w:style>
  <w:style w:type="character" w:customStyle="1" w:styleId="303">
    <w:name w:val="HTML 预设格式 Char"/>
    <w:link w:val="58"/>
    <w:qFormat/>
    <w:uiPriority w:val="0"/>
    <w:rPr>
      <w:rFonts w:ascii="黑体" w:hAnsi="Courier New" w:eastAsia="黑体"/>
    </w:rPr>
  </w:style>
  <w:style w:type="character" w:customStyle="1" w:styleId="304">
    <w:name w:val="正文文本 2 Char1"/>
    <w:link w:val="57"/>
    <w:qFormat/>
    <w:uiPriority w:val="0"/>
    <w:rPr>
      <w:kern w:val="2"/>
      <w:sz w:val="21"/>
      <w:szCs w:val="24"/>
    </w:rPr>
  </w:style>
  <w:style w:type="character" w:customStyle="1" w:styleId="305">
    <w:name w:val="样式 样式 标题 4h4H4Fab-4T5Ref Heading 1rh1Heading sqlsect 1.2.3.... +... Char"/>
    <w:link w:val="306"/>
    <w:qFormat/>
    <w:uiPriority w:val="0"/>
    <w:rPr>
      <w:rFonts w:ascii="微软雅黑" w:hAnsi="微软雅黑" w:eastAsia="微软雅黑"/>
      <w:b/>
      <w:bCs/>
      <w:kern w:val="2"/>
      <w:sz w:val="24"/>
      <w:szCs w:val="28"/>
    </w:rPr>
  </w:style>
  <w:style w:type="paragraph" w:customStyle="1" w:styleId="306">
    <w:name w:val="样式 样式 标题 4h4H4Fab-4T5Ref Heading 1rh1Heading sqlsect 1.2.3.... +..."/>
    <w:basedOn w:val="307"/>
    <w:link w:val="305"/>
    <w:qFormat/>
    <w:uiPriority w:val="0"/>
    <w:pPr>
      <w:tabs>
        <w:tab w:val="left" w:pos="2356"/>
      </w:tabs>
    </w:pPr>
  </w:style>
  <w:style w:type="paragraph" w:customStyle="1" w:styleId="307">
    <w:name w:val="样式 标题 4h4H4Fab-4T5Ref Heading 1rh1Heading sqlsect 1.2.3...."/>
    <w:basedOn w:val="7"/>
    <w:link w:val="415"/>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8">
    <w:name w:val="正文非缩进 Char"/>
    <w:qFormat/>
    <w:uiPriority w:val="0"/>
    <w:rPr>
      <w:rFonts w:ascii="宋体" w:eastAsia="宋体"/>
      <w:snapToGrid w:val="0"/>
      <w:color w:val="000000"/>
      <w:kern w:val="28"/>
      <w:sz w:val="28"/>
      <w:lang w:val="en-US" w:eastAsia="zh-CN" w:bidi="ar-SA"/>
    </w:rPr>
  </w:style>
  <w:style w:type="character" w:customStyle="1" w:styleId="309">
    <w:name w:val="标题 7 Char"/>
    <w:link w:val="10"/>
    <w:qFormat/>
    <w:uiPriority w:val="0"/>
    <w:rPr>
      <w:b/>
      <w:bCs/>
      <w:kern w:val="2"/>
      <w:sz w:val="24"/>
      <w:szCs w:val="24"/>
    </w:rPr>
  </w:style>
  <w:style w:type="character" w:customStyle="1" w:styleId="310">
    <w:name w:val="正文文本缩进 2 Char"/>
    <w:link w:val="36"/>
    <w:qFormat/>
    <w:uiPriority w:val="0"/>
    <w:rPr>
      <w:rFonts w:ascii="宋体"/>
      <w:sz w:val="28"/>
    </w:rPr>
  </w:style>
  <w:style w:type="character" w:customStyle="1" w:styleId="311">
    <w:name w:val="Char Char5"/>
    <w:qFormat/>
    <w:uiPriority w:val="0"/>
    <w:rPr>
      <w:rFonts w:ascii="宋体" w:hAnsi="Courier New" w:eastAsia="宋体"/>
      <w:kern w:val="2"/>
      <w:sz w:val="21"/>
      <w:lang w:val="en-US" w:eastAsia="zh-CN"/>
    </w:rPr>
  </w:style>
  <w:style w:type="character" w:customStyle="1" w:styleId="312">
    <w:name w:val="脚注文本 Char"/>
    <w:link w:val="51"/>
    <w:qFormat/>
    <w:uiPriority w:val="0"/>
    <w:rPr>
      <w:color w:val="0000FF"/>
      <w:sz w:val="21"/>
    </w:rPr>
  </w:style>
  <w:style w:type="character" w:customStyle="1" w:styleId="313">
    <w:name w:val="称呼 Char1"/>
    <w:qFormat/>
    <w:uiPriority w:val="0"/>
    <w:rPr>
      <w:rFonts w:ascii="Times New Roman" w:hAnsi="Times New Roman" w:eastAsia="宋体" w:cs="Times New Roman"/>
      <w:szCs w:val="24"/>
    </w:rPr>
  </w:style>
  <w:style w:type="character" w:customStyle="1" w:styleId="314">
    <w:name w:val="正文1 Char"/>
    <w:qFormat/>
    <w:uiPriority w:val="0"/>
    <w:rPr>
      <w:rFonts w:ascii="宋体" w:eastAsia="宋体"/>
      <w:snapToGrid w:val="0"/>
      <w:color w:val="000000"/>
      <w:kern w:val="28"/>
      <w:sz w:val="28"/>
      <w:lang w:val="en-US" w:eastAsia="zh-CN" w:bidi="ar-SA"/>
    </w:rPr>
  </w:style>
  <w:style w:type="character" w:customStyle="1" w:styleId="315">
    <w:name w:val="正文缩进 Char1"/>
    <w:qFormat/>
    <w:uiPriority w:val="0"/>
    <w:rPr>
      <w:rFonts w:ascii="宋体" w:eastAsia="宋体"/>
      <w:snapToGrid w:val="0"/>
      <w:color w:val="000000"/>
      <w:kern w:val="28"/>
      <w:sz w:val="28"/>
      <w:lang w:val="en-US" w:eastAsia="zh-CN" w:bidi="ar-SA"/>
    </w:rPr>
  </w:style>
  <w:style w:type="character" w:customStyle="1" w:styleId="316">
    <w:name w:val="font21"/>
    <w:basedOn w:val="71"/>
    <w:qFormat/>
    <w:uiPriority w:val="0"/>
    <w:rPr>
      <w:rFonts w:hint="eastAsia" w:ascii="宋体" w:hAnsi="宋体" w:eastAsia="宋体"/>
      <w:kern w:val="2"/>
      <w:sz w:val="28"/>
      <w:szCs w:val="28"/>
      <w:lang w:val="en-US" w:eastAsia="zh-CN" w:bidi="ar-SA"/>
    </w:rPr>
  </w:style>
  <w:style w:type="character" w:customStyle="1" w:styleId="317">
    <w:name w:val="Char Char26"/>
    <w:qFormat/>
    <w:uiPriority w:val="6"/>
    <w:rPr>
      <w:kern w:val="1"/>
      <w:sz w:val="21"/>
      <w:szCs w:val="24"/>
    </w:rPr>
  </w:style>
  <w:style w:type="character" w:customStyle="1" w:styleId="318">
    <w:name w:val="Item List Char"/>
    <w:link w:val="319"/>
    <w:qFormat/>
    <w:uiPriority w:val="0"/>
    <w:rPr>
      <w:rFonts w:ascii="Arial"/>
      <w:bCs/>
      <w:sz w:val="21"/>
      <w:szCs w:val="21"/>
      <w:lang w:val="en-US" w:eastAsia="zh-CN" w:bidi="ar-SA"/>
    </w:rPr>
  </w:style>
  <w:style w:type="paragraph" w:customStyle="1" w:styleId="319">
    <w:name w:val="Item List"/>
    <w:link w:val="31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0">
    <w:name w:val="批注框文本 Char1"/>
    <w:qFormat/>
    <w:uiPriority w:val="0"/>
    <w:rPr>
      <w:rFonts w:ascii="Times New Roman" w:hAnsi="Times New Roman" w:eastAsia="宋体" w:cs="Times New Roman"/>
      <w:sz w:val="18"/>
      <w:szCs w:val="18"/>
    </w:rPr>
  </w:style>
  <w:style w:type="character" w:customStyle="1" w:styleId="321">
    <w:name w:val="纯文本 Char1"/>
    <w:link w:val="322"/>
    <w:qFormat/>
    <w:uiPriority w:val="0"/>
    <w:rPr>
      <w:rFonts w:ascii="宋体" w:hAnsi="Courier New"/>
    </w:rPr>
  </w:style>
  <w:style w:type="paragraph" w:customStyle="1" w:styleId="322">
    <w:name w:val="纯文本1"/>
    <w:basedOn w:val="1"/>
    <w:link w:val="321"/>
    <w:qFormat/>
    <w:uiPriority w:val="0"/>
    <w:pPr>
      <w:adjustRightInd/>
    </w:pPr>
    <w:rPr>
      <w:rFonts w:ascii="宋体" w:hAnsi="Courier New"/>
      <w:kern w:val="0"/>
      <w:sz w:val="20"/>
      <w:szCs w:val="20"/>
    </w:rPr>
  </w:style>
  <w:style w:type="character" w:customStyle="1" w:styleId="323">
    <w:name w:val="正文首行缩进 Char"/>
    <w:link w:val="62"/>
    <w:qFormat/>
    <w:uiPriority w:val="0"/>
    <w:rPr>
      <w:rFonts w:ascii="宋体"/>
      <w:kern w:val="2"/>
      <w:sz w:val="24"/>
      <w:lang w:val="zh-CN"/>
    </w:rPr>
  </w:style>
  <w:style w:type="character" w:customStyle="1" w:styleId="324">
    <w:name w:val="h3 Char"/>
    <w:qFormat/>
    <w:uiPriority w:val="0"/>
    <w:rPr>
      <w:rFonts w:eastAsia="宋体"/>
      <w:b/>
      <w:kern w:val="2"/>
      <w:sz w:val="32"/>
      <w:lang w:val="en-US" w:eastAsia="zh-CN" w:bidi="ar-SA"/>
    </w:rPr>
  </w:style>
  <w:style w:type="character" w:customStyle="1" w:styleId="325">
    <w:name w:val="dandyren_title1"/>
    <w:qFormat/>
    <w:uiPriority w:val="0"/>
    <w:rPr>
      <w:b/>
      <w:bCs/>
      <w:color w:val="FF6633"/>
      <w:sz w:val="18"/>
      <w:szCs w:val="18"/>
    </w:rPr>
  </w:style>
  <w:style w:type="character" w:customStyle="1" w:styleId="326">
    <w:name w:val="Char Char31"/>
    <w:qFormat/>
    <w:uiPriority w:val="6"/>
    <w:rPr>
      <w:rFonts w:ascii="Arial" w:hAnsi="Arial" w:eastAsia="黑体"/>
      <w:kern w:val="1"/>
      <w:sz w:val="24"/>
      <w:szCs w:val="24"/>
    </w:rPr>
  </w:style>
  <w:style w:type="character" w:customStyle="1" w:styleId="327">
    <w:name w:val="h Char1"/>
    <w:qFormat/>
    <w:uiPriority w:val="0"/>
    <w:rPr>
      <w:sz w:val="18"/>
      <w:szCs w:val="18"/>
    </w:rPr>
  </w:style>
  <w:style w:type="character" w:customStyle="1" w:styleId="328">
    <w:name w:val="solutionfonts"/>
    <w:qFormat/>
    <w:uiPriority w:val="0"/>
  </w:style>
  <w:style w:type="character" w:customStyle="1" w:styleId="329">
    <w:name w:val="标题 4 Char2"/>
    <w:link w:val="7"/>
    <w:qFormat/>
    <w:uiPriority w:val="9"/>
    <w:rPr>
      <w:rFonts w:ascii="Arial" w:hAnsi="Arial" w:eastAsia="黑体"/>
      <w:b/>
      <w:bCs/>
      <w:kern w:val="2"/>
      <w:sz w:val="28"/>
      <w:szCs w:val="28"/>
      <w:lang w:val="zh-CN"/>
    </w:rPr>
  </w:style>
  <w:style w:type="character" w:customStyle="1" w:styleId="330">
    <w:name w:val="首行缩进 Char"/>
    <w:qFormat/>
    <w:uiPriority w:val="0"/>
    <w:rPr>
      <w:rFonts w:ascii="宋体" w:eastAsia="宋体"/>
      <w:kern w:val="2"/>
      <w:sz w:val="24"/>
      <w:lang w:val="en-US" w:eastAsia="zh-CN" w:bidi="ar-SA"/>
    </w:rPr>
  </w:style>
  <w:style w:type="character" w:customStyle="1" w:styleId="331">
    <w:name w:val="Char Char52"/>
    <w:qFormat/>
    <w:uiPriority w:val="0"/>
    <w:rPr>
      <w:rFonts w:ascii="宋体" w:hAnsi="Courier New" w:eastAsia="宋体"/>
      <w:kern w:val="2"/>
      <w:sz w:val="21"/>
      <w:lang w:val="en-US" w:eastAsia="zh-CN"/>
    </w:rPr>
  </w:style>
  <w:style w:type="character" w:customStyle="1" w:styleId="332">
    <w:name w:val="正文文本 3 Char"/>
    <w:link w:val="22"/>
    <w:qFormat/>
    <w:uiPriority w:val="0"/>
    <w:rPr>
      <w:kern w:val="2"/>
      <w:sz w:val="21"/>
    </w:rPr>
  </w:style>
  <w:style w:type="character" w:customStyle="1" w:styleId="333">
    <w:name w:val="font31"/>
    <w:basedOn w:val="71"/>
    <w:qFormat/>
    <w:uiPriority w:val="0"/>
    <w:rPr>
      <w:rFonts w:hint="eastAsia" w:ascii="仿宋" w:hAnsi="仿宋" w:eastAsia="仿宋" w:cs="仿宋"/>
      <w:color w:val="000000"/>
      <w:sz w:val="20"/>
      <w:szCs w:val="20"/>
      <w:u w:val="none"/>
    </w:rPr>
  </w:style>
  <w:style w:type="character" w:customStyle="1" w:styleId="334">
    <w:name w:val="正文说明 Char"/>
    <w:link w:val="335"/>
    <w:qFormat/>
    <w:uiPriority w:val="0"/>
    <w:rPr>
      <w:sz w:val="24"/>
      <w:szCs w:val="24"/>
    </w:rPr>
  </w:style>
  <w:style w:type="paragraph" w:customStyle="1" w:styleId="335">
    <w:name w:val="正文说明"/>
    <w:basedOn w:val="1"/>
    <w:link w:val="334"/>
    <w:qFormat/>
    <w:uiPriority w:val="0"/>
    <w:pPr>
      <w:adjustRightInd/>
      <w:spacing w:line="360" w:lineRule="auto"/>
    </w:pPr>
    <w:rPr>
      <w:kern w:val="0"/>
      <w:sz w:val="24"/>
    </w:rPr>
  </w:style>
  <w:style w:type="character" w:customStyle="1" w:styleId="336">
    <w:name w:val="脚注文本 Char1"/>
    <w:qFormat/>
    <w:uiPriority w:val="0"/>
    <w:rPr>
      <w:rFonts w:ascii="Times New Roman" w:hAnsi="Times New Roman" w:eastAsia="宋体" w:cs="Times New Roman"/>
      <w:sz w:val="18"/>
      <w:szCs w:val="18"/>
    </w:rPr>
  </w:style>
  <w:style w:type="character" w:customStyle="1" w:styleId="337">
    <w:name w:val="Char Char1211"/>
    <w:qFormat/>
    <w:uiPriority w:val="0"/>
    <w:rPr>
      <w:rFonts w:ascii="仿宋_GB2312" w:eastAsia="仿宋_GB2312"/>
      <w:b/>
      <w:bCs/>
      <w:kern w:val="2"/>
      <w:sz w:val="24"/>
      <w:szCs w:val="24"/>
      <w:lang w:val="zh-CN" w:eastAsia="zh-CN" w:bidi="ar-SA"/>
    </w:rPr>
  </w:style>
  <w:style w:type="character" w:customStyle="1" w:styleId="338">
    <w:name w:val="标题 Char"/>
    <w:qFormat/>
    <w:uiPriority w:val="0"/>
    <w:rPr>
      <w:rFonts w:eastAsia="宋体"/>
      <w:b/>
      <w:sz w:val="24"/>
      <w:lang w:val="en-GB" w:eastAsia="zh-CN" w:bidi="ar-SA"/>
    </w:rPr>
  </w:style>
  <w:style w:type="character" w:customStyle="1" w:styleId="339">
    <w:name w:val="Char Char35"/>
    <w:qFormat/>
    <w:uiPriority w:val="6"/>
    <w:rPr>
      <w:rFonts w:ascii="Arial" w:hAnsi="Arial" w:eastAsia="黑体"/>
      <w:b/>
      <w:kern w:val="1"/>
      <w:sz w:val="28"/>
      <w:szCs w:val="28"/>
      <w:lang w:val="zh-CN"/>
    </w:rPr>
  </w:style>
  <w:style w:type="character" w:customStyle="1" w:styleId="340">
    <w:name w:val="纯文本 Char Char Char"/>
    <w:qFormat/>
    <w:uiPriority w:val="0"/>
    <w:rPr>
      <w:rFonts w:ascii="宋体" w:hAnsi="Courier New" w:eastAsia="宋体"/>
      <w:kern w:val="2"/>
      <w:sz w:val="21"/>
      <w:lang w:val="en-US" w:eastAsia="zh-CN" w:bidi="ar-SA"/>
    </w:rPr>
  </w:style>
  <w:style w:type="character" w:customStyle="1" w:styleId="341">
    <w:name w:val="Table Text Char"/>
    <w:link w:val="342"/>
    <w:qFormat/>
    <w:uiPriority w:val="0"/>
    <w:rPr>
      <w:sz w:val="24"/>
      <w:szCs w:val="24"/>
    </w:rPr>
  </w:style>
  <w:style w:type="paragraph" w:customStyle="1" w:styleId="342">
    <w:name w:val="Table Text"/>
    <w:basedOn w:val="1"/>
    <w:link w:val="341"/>
    <w:qFormat/>
    <w:uiPriority w:val="0"/>
    <w:pPr>
      <w:widowControl/>
      <w:spacing w:before="60" w:after="60"/>
      <w:jc w:val="left"/>
    </w:pPr>
    <w:rPr>
      <w:kern w:val="0"/>
      <w:sz w:val="24"/>
    </w:rPr>
  </w:style>
  <w:style w:type="character" w:customStyle="1" w:styleId="343">
    <w:name w:val="正文1 Char1"/>
    <w:qFormat/>
    <w:uiPriority w:val="0"/>
    <w:rPr>
      <w:rFonts w:ascii="仿宋_GB2312" w:hAnsi="Courier New" w:eastAsia="仿宋_GB2312"/>
      <w:kern w:val="28"/>
      <w:sz w:val="24"/>
      <w:szCs w:val="24"/>
      <w:lang w:val="en-US" w:eastAsia="zh-CN"/>
    </w:rPr>
  </w:style>
  <w:style w:type="character" w:customStyle="1" w:styleId="344">
    <w:name w:val="页脚 Char1"/>
    <w:qFormat/>
    <w:uiPriority w:val="0"/>
    <w:rPr>
      <w:rFonts w:eastAsia="宋体"/>
      <w:kern w:val="2"/>
      <w:sz w:val="18"/>
      <w:szCs w:val="18"/>
      <w:lang w:val="en-US" w:eastAsia="zh-CN" w:bidi="ar-SA"/>
    </w:rPr>
  </w:style>
  <w:style w:type="character" w:customStyle="1" w:styleId="345">
    <w:name w:val="Bold"/>
    <w:qFormat/>
    <w:uiPriority w:val="0"/>
    <w:rPr>
      <w:rFonts w:ascii="Arial" w:hAnsi="Arial" w:eastAsia="黑体" w:cs="Times New Roman"/>
      <w:b/>
      <w:kern w:val="2"/>
      <w:sz w:val="32"/>
      <w:szCs w:val="32"/>
      <w:lang w:val="en-US" w:eastAsia="zh-CN" w:bidi="ar-SA"/>
    </w:rPr>
  </w:style>
  <w:style w:type="character" w:customStyle="1" w:styleId="346">
    <w:name w:val="批注文字 Char1"/>
    <w:link w:val="20"/>
    <w:qFormat/>
    <w:uiPriority w:val="0"/>
    <w:rPr>
      <w:kern w:val="2"/>
      <w:sz w:val="21"/>
      <w:szCs w:val="24"/>
    </w:rPr>
  </w:style>
  <w:style w:type="character" w:customStyle="1" w:styleId="347">
    <w:name w:val="签名 Char"/>
    <w:link w:val="43"/>
    <w:qFormat/>
    <w:uiPriority w:val="0"/>
    <w:rPr>
      <w:rFonts w:eastAsia="仿宋_GB2312"/>
      <w:sz w:val="24"/>
    </w:rPr>
  </w:style>
  <w:style w:type="character" w:customStyle="1" w:styleId="348">
    <w:name w:val="hui3"/>
    <w:qFormat/>
    <w:uiPriority w:val="0"/>
    <w:rPr>
      <w:color w:val="333333"/>
    </w:rPr>
  </w:style>
  <w:style w:type="character" w:customStyle="1" w:styleId="349">
    <w:name w:val="Char Char17"/>
    <w:qFormat/>
    <w:uiPriority w:val="6"/>
    <w:rPr>
      <w:rFonts w:eastAsia="仿宋_GB2312"/>
      <w:sz w:val="24"/>
    </w:rPr>
  </w:style>
  <w:style w:type="character" w:customStyle="1" w:styleId="350">
    <w:name w:val="标题 4 字符"/>
    <w:qFormat/>
    <w:uiPriority w:val="9"/>
    <w:rPr>
      <w:rFonts w:ascii="等线 Light" w:hAnsi="等线 Light" w:eastAsia="等线 Light" w:cs="Times New Roman"/>
      <w:b/>
      <w:bCs/>
      <w:snapToGrid w:val="0"/>
      <w:kern w:val="0"/>
      <w:sz w:val="28"/>
      <w:szCs w:val="28"/>
    </w:rPr>
  </w:style>
  <w:style w:type="character" w:customStyle="1" w:styleId="351">
    <w:name w:val="Char Char37"/>
    <w:qFormat/>
    <w:uiPriority w:val="6"/>
    <w:rPr>
      <w:b/>
      <w:kern w:val="1"/>
      <w:sz w:val="44"/>
      <w:szCs w:val="44"/>
    </w:rPr>
  </w:style>
  <w:style w:type="character" w:customStyle="1" w:styleId="352">
    <w:name w:val="列出段落 Char"/>
    <w:qFormat/>
    <w:uiPriority w:val="0"/>
    <w:rPr>
      <w:rFonts w:eastAsia="楷体_GB2312" w:cs="Lucida Sans"/>
      <w:kern w:val="2"/>
      <w:sz w:val="24"/>
      <w:szCs w:val="24"/>
      <w:lang w:val="en-US" w:eastAsia="zh-CN" w:bidi="ar-SA"/>
    </w:rPr>
  </w:style>
  <w:style w:type="character" w:customStyle="1" w:styleId="353">
    <w:name w:val="正文文本缩进 3 Char1"/>
    <w:semiHidden/>
    <w:qFormat/>
    <w:uiPriority w:val="99"/>
    <w:rPr>
      <w:rFonts w:ascii="Times New Roman" w:hAnsi="Times New Roman" w:eastAsia="宋体" w:cs="Times New Roman"/>
      <w:sz w:val="16"/>
      <w:szCs w:val="16"/>
    </w:rPr>
  </w:style>
  <w:style w:type="character" w:customStyle="1" w:styleId="354">
    <w:name w:val="公文正文 Char Char"/>
    <w:link w:val="355"/>
    <w:qFormat/>
    <w:uiPriority w:val="0"/>
    <w:rPr>
      <w:rFonts w:ascii="仿宋_GB2312" w:eastAsia="仿宋_GB2312"/>
      <w:kern w:val="2"/>
      <w:sz w:val="24"/>
      <w:szCs w:val="24"/>
    </w:rPr>
  </w:style>
  <w:style w:type="paragraph" w:customStyle="1" w:styleId="355">
    <w:name w:val="公文正文"/>
    <w:basedOn w:val="1"/>
    <w:link w:val="354"/>
    <w:qFormat/>
    <w:uiPriority w:val="0"/>
    <w:pPr>
      <w:adjustRightInd/>
      <w:spacing w:before="156" w:line="360" w:lineRule="auto"/>
      <w:ind w:firstLine="360" w:firstLineChars="200"/>
    </w:pPr>
    <w:rPr>
      <w:rFonts w:ascii="仿宋_GB2312" w:eastAsia="仿宋_GB2312"/>
      <w:sz w:val="24"/>
    </w:rPr>
  </w:style>
  <w:style w:type="character" w:customStyle="1" w:styleId="356">
    <w:name w:val="Table Text Char1"/>
    <w:qFormat/>
    <w:uiPriority w:val="0"/>
    <w:rPr>
      <w:rFonts w:eastAsia="宋体"/>
      <w:sz w:val="24"/>
      <w:szCs w:val="24"/>
      <w:lang w:val="en-US" w:eastAsia="zh-CN" w:bidi="ar-SA"/>
    </w:rPr>
  </w:style>
  <w:style w:type="character" w:customStyle="1" w:styleId="357">
    <w:name w:val="标题 1 Char Char"/>
    <w:qFormat/>
    <w:uiPriority w:val="0"/>
    <w:rPr>
      <w:rFonts w:hint="eastAsia" w:ascii="宋体" w:hAnsi="宋体" w:eastAsia="宋体"/>
      <w:b/>
      <w:spacing w:val="-2"/>
      <w:sz w:val="24"/>
      <w:lang w:val="en-US" w:eastAsia="zh-CN" w:bidi="ar-SA"/>
    </w:rPr>
  </w:style>
  <w:style w:type="character" w:customStyle="1" w:styleId="358">
    <w:name w:val="正文（缩进2汉字） Char"/>
    <w:link w:val="359"/>
    <w:qFormat/>
    <w:uiPriority w:val="0"/>
    <w:rPr>
      <w:rFonts w:ascii="宋体"/>
    </w:rPr>
  </w:style>
  <w:style w:type="paragraph" w:customStyle="1" w:styleId="359">
    <w:name w:val="正文（缩进2汉字）"/>
    <w:basedOn w:val="1"/>
    <w:link w:val="35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0">
    <w:name w:val="标题 8 Char"/>
    <w:link w:val="11"/>
    <w:qFormat/>
    <w:uiPriority w:val="0"/>
    <w:rPr>
      <w:rFonts w:ascii="Arial" w:hAnsi="Arial" w:eastAsia="黑体"/>
      <w:kern w:val="2"/>
      <w:sz w:val="24"/>
      <w:szCs w:val="24"/>
    </w:rPr>
  </w:style>
  <w:style w:type="character" w:customStyle="1" w:styleId="361">
    <w:name w:val="标书表格字体格式 Char"/>
    <w:qFormat/>
    <w:uiPriority w:val="0"/>
    <w:rPr>
      <w:kern w:val="2"/>
      <w:sz w:val="21"/>
      <w:szCs w:val="24"/>
      <w:lang w:bidi="ar-SA"/>
    </w:rPr>
  </w:style>
  <w:style w:type="character" w:customStyle="1" w:styleId="362">
    <w:name w:val="tw4winError"/>
    <w:qFormat/>
    <w:uiPriority w:val="0"/>
    <w:rPr>
      <w:rFonts w:ascii="Courier New" w:hAnsi="Courier New" w:cs="Courier New"/>
      <w:color w:val="00FF00"/>
      <w:sz w:val="40"/>
      <w:szCs w:val="40"/>
    </w:rPr>
  </w:style>
  <w:style w:type="character" w:customStyle="1" w:styleId="363">
    <w:name w:val="Body Text(ch) Char Char"/>
    <w:qFormat/>
    <w:uiPriority w:val="0"/>
    <w:rPr>
      <w:rFonts w:ascii="宋体"/>
      <w:kern w:val="2"/>
      <w:sz w:val="24"/>
      <w:szCs w:val="21"/>
      <w:lang w:val="zh-CN"/>
    </w:rPr>
  </w:style>
  <w:style w:type="character" w:customStyle="1" w:styleId="364">
    <w:name w:val="正文首行缩进两字 Char"/>
    <w:qFormat/>
    <w:uiPriority w:val="0"/>
    <w:rPr>
      <w:sz w:val="24"/>
      <w:szCs w:val="24"/>
      <w:lang w:val="en-US" w:eastAsia="zh-CN" w:bidi="ar-SA"/>
    </w:rPr>
  </w:style>
  <w:style w:type="character" w:customStyle="1" w:styleId="365">
    <w:name w:val="正文文本 Char"/>
    <w:qFormat/>
    <w:uiPriority w:val="0"/>
    <w:rPr>
      <w:rFonts w:eastAsia="宋体"/>
      <w:kern w:val="2"/>
      <w:sz w:val="24"/>
      <w:szCs w:val="24"/>
      <w:lang w:val="en-US" w:eastAsia="zh-CN" w:bidi="ar-SA"/>
    </w:rPr>
  </w:style>
  <w:style w:type="character" w:customStyle="1" w:styleId="366">
    <w:name w:val="文档结构图 字符1"/>
    <w:qFormat/>
    <w:uiPriority w:val="0"/>
    <w:rPr>
      <w:rFonts w:ascii="宋体" w:hAnsi="Calibri" w:eastAsia="黑体" w:cs="Arial"/>
      <w:snapToGrid w:val="0"/>
      <w:kern w:val="2"/>
      <w:sz w:val="18"/>
      <w:szCs w:val="18"/>
    </w:rPr>
  </w:style>
  <w:style w:type="character" w:customStyle="1" w:styleId="367">
    <w:name w:val="content"/>
    <w:qFormat/>
    <w:uiPriority w:val="0"/>
  </w:style>
  <w:style w:type="character" w:customStyle="1" w:styleId="368">
    <w:name w:val="tw4winPopup"/>
    <w:qFormat/>
    <w:uiPriority w:val="0"/>
    <w:rPr>
      <w:rFonts w:ascii="Courier New" w:hAnsi="Courier New" w:cs="Courier New"/>
      <w:color w:val="008000"/>
      <w:lang w:val="en-US" w:eastAsia="zh-CN"/>
    </w:rPr>
  </w:style>
  <w:style w:type="character" w:customStyle="1" w:styleId="369">
    <w:name w:val="param-name"/>
    <w:qFormat/>
    <w:uiPriority w:val="99"/>
    <w:rPr>
      <w:rFonts w:ascii="Arial" w:hAnsi="Arial" w:eastAsia="黑体" w:cs="Arial"/>
      <w:snapToGrid w:val="0"/>
      <w:kern w:val="0"/>
      <w:szCs w:val="21"/>
    </w:rPr>
  </w:style>
  <w:style w:type="character" w:customStyle="1" w:styleId="370">
    <w:name w:val="标准正文格式 Char"/>
    <w:qFormat/>
    <w:uiPriority w:val="0"/>
    <w:rPr>
      <w:rFonts w:ascii="宋体" w:eastAsia="仿宋_GB2312" w:cs="宋体"/>
      <w:color w:val="000000"/>
      <w:sz w:val="24"/>
      <w:lang w:val="en-US" w:eastAsia="zh-CN" w:bidi="ar-SA"/>
    </w:rPr>
  </w:style>
  <w:style w:type="character" w:customStyle="1" w:styleId="371">
    <w:name w:val="Char Char212"/>
    <w:qFormat/>
    <w:uiPriority w:val="0"/>
    <w:rPr>
      <w:rFonts w:eastAsia="宋体"/>
      <w:b/>
      <w:bCs/>
      <w:kern w:val="2"/>
      <w:sz w:val="21"/>
      <w:szCs w:val="24"/>
      <w:lang w:val="en-US" w:eastAsia="zh-CN" w:bidi="ar-SA"/>
    </w:rPr>
  </w:style>
  <w:style w:type="character" w:customStyle="1" w:styleId="372">
    <w:name w:val="文档结构图 Char"/>
    <w:qFormat/>
    <w:uiPriority w:val="0"/>
    <w:rPr>
      <w:rFonts w:eastAsia="宋体"/>
      <w:kern w:val="2"/>
      <w:sz w:val="21"/>
      <w:szCs w:val="24"/>
      <w:lang w:val="en-US" w:eastAsia="zh-CN" w:bidi="ar-SA"/>
    </w:rPr>
  </w:style>
  <w:style w:type="character" w:customStyle="1" w:styleId="373">
    <w:name w:val="zbggmain style9"/>
    <w:qFormat/>
    <w:uiPriority w:val="0"/>
  </w:style>
  <w:style w:type="character" w:customStyle="1" w:styleId="374">
    <w:name w:val="Char Char16"/>
    <w:qFormat/>
    <w:uiPriority w:val="6"/>
    <w:rPr>
      <w:kern w:val="1"/>
      <w:sz w:val="18"/>
      <w:szCs w:val="18"/>
    </w:rPr>
  </w:style>
  <w:style w:type="character" w:customStyle="1" w:styleId="375">
    <w:name w:val="font51"/>
    <w:qFormat/>
    <w:uiPriority w:val="0"/>
    <w:rPr>
      <w:rFonts w:hint="eastAsia" w:ascii="仿宋" w:hAnsi="仿宋" w:eastAsia="仿宋" w:cs="仿宋"/>
      <w:color w:val="000000"/>
      <w:sz w:val="20"/>
      <w:szCs w:val="20"/>
      <w:u w:val="none"/>
    </w:rPr>
  </w:style>
  <w:style w:type="character" w:customStyle="1" w:styleId="376">
    <w:name w:val="Char Char82"/>
    <w:qFormat/>
    <w:uiPriority w:val="0"/>
    <w:rPr>
      <w:rFonts w:eastAsia="宋体"/>
      <w:b/>
      <w:sz w:val="24"/>
      <w:lang w:val="en-GB" w:eastAsia="zh-CN"/>
    </w:rPr>
  </w:style>
  <w:style w:type="character" w:customStyle="1" w:styleId="377">
    <w:name w:val="正文文本缩进 3 Char"/>
    <w:link w:val="54"/>
    <w:qFormat/>
    <w:uiPriority w:val="0"/>
    <w:rPr>
      <w:kern w:val="2"/>
      <w:sz w:val="24"/>
    </w:rPr>
  </w:style>
  <w:style w:type="character" w:customStyle="1" w:styleId="378">
    <w:name w:val="日期 Char1"/>
    <w:semiHidden/>
    <w:qFormat/>
    <w:uiPriority w:val="99"/>
    <w:rPr>
      <w:rFonts w:ascii="Times New Roman" w:hAnsi="Times New Roman" w:eastAsia="宋体" w:cs="Times New Roman"/>
      <w:szCs w:val="24"/>
    </w:rPr>
  </w:style>
  <w:style w:type="character" w:customStyle="1" w:styleId="379">
    <w:name w:val="页眉 字符"/>
    <w:qFormat/>
    <w:uiPriority w:val="99"/>
    <w:rPr>
      <w:kern w:val="2"/>
      <w:sz w:val="18"/>
      <w:szCs w:val="18"/>
    </w:rPr>
  </w:style>
  <w:style w:type="character" w:customStyle="1" w:styleId="380">
    <w:name w:val="Char Char33"/>
    <w:qFormat/>
    <w:uiPriority w:val="6"/>
    <w:rPr>
      <w:rFonts w:ascii="Arial" w:hAnsi="Arial" w:eastAsia="黑体"/>
      <w:b/>
      <w:kern w:val="1"/>
      <w:sz w:val="24"/>
      <w:szCs w:val="24"/>
    </w:rPr>
  </w:style>
  <w:style w:type="character" w:customStyle="1" w:styleId="381">
    <w:name w:val="b11_01b Char"/>
    <w:link w:val="382"/>
    <w:qFormat/>
    <w:uiPriority w:val="0"/>
    <w:rPr>
      <w:rFonts w:ascii="Verdana" w:hAnsi="Verdana"/>
      <w:b/>
      <w:bCs/>
      <w:color w:val="4A82CA"/>
      <w:sz w:val="17"/>
      <w:szCs w:val="17"/>
    </w:rPr>
  </w:style>
  <w:style w:type="paragraph" w:customStyle="1" w:styleId="382">
    <w:name w:val="b11_01b"/>
    <w:basedOn w:val="1"/>
    <w:next w:val="1"/>
    <w:link w:val="38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3">
    <w:name w:val="Char Char121"/>
    <w:qFormat/>
    <w:uiPriority w:val="6"/>
    <w:rPr>
      <w:rFonts w:ascii="仿宋_GB2312" w:eastAsia="仿宋_GB2312"/>
      <w:b/>
      <w:bCs/>
      <w:kern w:val="2"/>
      <w:sz w:val="24"/>
      <w:szCs w:val="24"/>
      <w:lang w:val="zh-CN" w:eastAsia="zh-CN" w:bidi="ar-SA"/>
    </w:rPr>
  </w:style>
  <w:style w:type="character" w:customStyle="1" w:styleId="384">
    <w:name w:val="Footer-Even Char"/>
    <w:qFormat/>
    <w:uiPriority w:val="0"/>
    <w:rPr>
      <w:rFonts w:eastAsia="宋体"/>
      <w:kern w:val="2"/>
      <w:sz w:val="18"/>
      <w:lang w:val="en-US" w:eastAsia="zh-CN" w:bidi="ar-SA"/>
    </w:rPr>
  </w:style>
  <w:style w:type="character" w:customStyle="1" w:styleId="385">
    <w:name w:val="页脚 Char2"/>
    <w:link w:val="39"/>
    <w:qFormat/>
    <w:locked/>
    <w:uiPriority w:val="99"/>
    <w:rPr>
      <w:kern w:val="2"/>
      <w:sz w:val="18"/>
      <w:szCs w:val="18"/>
    </w:rPr>
  </w:style>
  <w:style w:type="character" w:customStyle="1" w:styleId="386">
    <w:name w:val="Char Char36"/>
    <w:qFormat/>
    <w:uiPriority w:val="6"/>
    <w:rPr>
      <w:rFonts w:ascii="仿宋_GB2312" w:hAnsi="仿宋_GB2312" w:eastAsia="仿宋_GB2312" w:cs="Arial"/>
      <w:b/>
      <w:kern w:val="1"/>
      <w:sz w:val="32"/>
      <w:szCs w:val="32"/>
      <w:lang w:val="zh-CN" w:eastAsia="zh-CN" w:bidi="ar-SA"/>
    </w:rPr>
  </w:style>
  <w:style w:type="character" w:customStyle="1" w:styleId="387">
    <w:name w:val="Char Char61"/>
    <w:qFormat/>
    <w:uiPriority w:val="6"/>
    <w:rPr>
      <w:rFonts w:eastAsia="宋体"/>
      <w:kern w:val="2"/>
      <w:sz w:val="21"/>
      <w:szCs w:val="24"/>
      <w:lang w:val="en-US" w:eastAsia="zh-CN" w:bidi="ar-SA"/>
    </w:rPr>
  </w:style>
  <w:style w:type="character" w:customStyle="1" w:styleId="388">
    <w:name w:val="正文文字缩进 2 Char Char"/>
    <w:qFormat/>
    <w:uiPriority w:val="0"/>
    <w:rPr>
      <w:rFonts w:ascii="宋体"/>
      <w:sz w:val="28"/>
    </w:rPr>
  </w:style>
  <w:style w:type="character" w:customStyle="1" w:styleId="389">
    <w:name w:val="f141"/>
    <w:qFormat/>
    <w:uiPriority w:val="0"/>
    <w:rPr>
      <w:rFonts w:ascii="Tahoma" w:hAnsi="Tahoma" w:eastAsia="宋体"/>
      <w:b/>
      <w:kern w:val="2"/>
      <w:sz w:val="21"/>
      <w:szCs w:val="21"/>
      <w:lang w:val="en-US" w:eastAsia="zh-CN" w:bidi="ar-SA"/>
    </w:rPr>
  </w:style>
  <w:style w:type="character" w:customStyle="1" w:styleId="390">
    <w:name w:val="段落 Char Char"/>
    <w:link w:val="391"/>
    <w:qFormat/>
    <w:uiPriority w:val="0"/>
    <w:rPr>
      <w:rFonts w:ascii="宋体" w:hAnsi="宋体"/>
      <w:sz w:val="24"/>
    </w:rPr>
  </w:style>
  <w:style w:type="paragraph" w:customStyle="1" w:styleId="391">
    <w:name w:val="段落"/>
    <w:basedOn w:val="1"/>
    <w:link w:val="390"/>
    <w:qFormat/>
    <w:uiPriority w:val="0"/>
    <w:pPr>
      <w:adjustRightInd/>
      <w:spacing w:line="360" w:lineRule="auto"/>
      <w:ind w:firstLine="480" w:firstLineChars="200"/>
    </w:pPr>
    <w:rPr>
      <w:rFonts w:ascii="宋体" w:hAnsi="宋体"/>
      <w:kern w:val="0"/>
      <w:sz w:val="24"/>
      <w:szCs w:val="20"/>
    </w:rPr>
  </w:style>
  <w:style w:type="character" w:customStyle="1" w:styleId="392">
    <w:name w:val="标题 3 Char2"/>
    <w:qFormat/>
    <w:uiPriority w:val="0"/>
    <w:rPr>
      <w:rFonts w:eastAsia="宋体"/>
      <w:b/>
      <w:bCs/>
      <w:kern w:val="2"/>
      <w:sz w:val="32"/>
      <w:szCs w:val="32"/>
      <w:lang w:val="en-US" w:eastAsia="zh-CN" w:bidi="ar-SA"/>
    </w:rPr>
  </w:style>
  <w:style w:type="character" w:customStyle="1" w:styleId="393">
    <w:name w:val="apple-converted-space"/>
    <w:qFormat/>
    <w:uiPriority w:val="0"/>
  </w:style>
  <w:style w:type="character" w:customStyle="1" w:styleId="394">
    <w:name w:val="页眉 Char2"/>
    <w:link w:val="41"/>
    <w:qFormat/>
    <w:uiPriority w:val="99"/>
    <w:rPr>
      <w:rFonts w:ascii="Times New Roman" w:hAnsi="Times New Roman" w:eastAsia="宋体"/>
      <w:kern w:val="2"/>
      <w:sz w:val="18"/>
      <w:szCs w:val="18"/>
    </w:rPr>
  </w:style>
  <w:style w:type="character" w:customStyle="1" w:styleId="395">
    <w:name w:val="Char Char9"/>
    <w:qFormat/>
    <w:uiPriority w:val="0"/>
    <w:rPr>
      <w:rFonts w:eastAsia="宋体"/>
      <w:kern w:val="2"/>
      <w:sz w:val="18"/>
      <w:szCs w:val="18"/>
      <w:lang w:val="en-US" w:eastAsia="zh-CN" w:bidi="ar-SA"/>
    </w:rPr>
  </w:style>
  <w:style w:type="character" w:customStyle="1" w:styleId="396">
    <w:name w:val="Char Char41"/>
    <w:qFormat/>
    <w:uiPriority w:val="0"/>
    <w:rPr>
      <w:rFonts w:eastAsia="宋体"/>
      <w:b/>
      <w:sz w:val="24"/>
      <w:lang w:val="en-GB" w:eastAsia="zh-CN" w:bidi="ar-SA"/>
    </w:rPr>
  </w:style>
  <w:style w:type="character" w:customStyle="1" w:styleId="397">
    <w:name w:val="large1"/>
    <w:qFormat/>
    <w:uiPriority w:val="0"/>
    <w:rPr>
      <w:rFonts w:hint="eastAsia" w:ascii="宋体" w:hAnsi="宋体" w:eastAsia="宋体"/>
      <w:sz w:val="21"/>
      <w:szCs w:val="21"/>
    </w:rPr>
  </w:style>
  <w:style w:type="character" w:customStyle="1" w:styleId="398">
    <w:name w:val="正文段 Char"/>
    <w:link w:val="399"/>
    <w:qFormat/>
    <w:uiPriority w:val="0"/>
    <w:rPr>
      <w:sz w:val="24"/>
    </w:rPr>
  </w:style>
  <w:style w:type="paragraph" w:customStyle="1" w:styleId="399">
    <w:name w:val="正文段"/>
    <w:basedOn w:val="1"/>
    <w:link w:val="398"/>
    <w:qFormat/>
    <w:uiPriority w:val="0"/>
    <w:pPr>
      <w:widowControl/>
      <w:snapToGrid w:val="0"/>
      <w:spacing w:after="156" w:afterLines="50"/>
      <w:ind w:firstLine="200" w:firstLineChars="200"/>
    </w:pPr>
    <w:rPr>
      <w:kern w:val="0"/>
      <w:sz w:val="24"/>
      <w:szCs w:val="20"/>
    </w:rPr>
  </w:style>
  <w:style w:type="character" w:customStyle="1" w:styleId="400">
    <w:name w:val="Char Char13"/>
    <w:qFormat/>
    <w:uiPriority w:val="6"/>
    <w:rPr>
      <w:rFonts w:ascii="宋体" w:hAnsi="宋体"/>
      <w:kern w:val="1"/>
      <w:sz w:val="21"/>
      <w:szCs w:val="24"/>
    </w:rPr>
  </w:style>
  <w:style w:type="character" w:customStyle="1" w:styleId="401">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2">
    <w:name w:val="冯广丽 Char"/>
    <w:link w:val="403"/>
    <w:qFormat/>
    <w:uiPriority w:val="0"/>
    <w:rPr>
      <w:rFonts w:ascii="宋体" w:hAnsi="宋体"/>
      <w:kern w:val="2"/>
      <w:sz w:val="24"/>
      <w:szCs w:val="22"/>
    </w:rPr>
  </w:style>
  <w:style w:type="paragraph" w:customStyle="1" w:styleId="403">
    <w:name w:val="冯广丽"/>
    <w:basedOn w:val="1"/>
    <w:link w:val="402"/>
    <w:qFormat/>
    <w:uiPriority w:val="0"/>
    <w:pPr>
      <w:adjustRightInd/>
      <w:spacing w:line="360" w:lineRule="auto"/>
      <w:ind w:firstLine="480" w:firstLineChars="200"/>
    </w:pPr>
    <w:rPr>
      <w:rFonts w:ascii="宋体" w:hAnsi="宋体"/>
      <w:sz w:val="24"/>
      <w:szCs w:val="22"/>
    </w:rPr>
  </w:style>
  <w:style w:type="character" w:customStyle="1" w:styleId="404">
    <w:name w:val="批注文字 字符"/>
    <w:qFormat/>
    <w:uiPriority w:val="0"/>
    <w:rPr>
      <w:rFonts w:ascii="Arial" w:hAnsi="Arial" w:eastAsia="黑体" w:cs="Arial"/>
      <w:snapToGrid w:val="0"/>
      <w:kern w:val="0"/>
      <w:szCs w:val="21"/>
    </w:rPr>
  </w:style>
  <w:style w:type="character" w:customStyle="1" w:styleId="405">
    <w:name w:val="Char Char161"/>
    <w:qFormat/>
    <w:uiPriority w:val="0"/>
    <w:rPr>
      <w:rFonts w:eastAsia="宋体"/>
      <w:b/>
      <w:kern w:val="2"/>
      <w:sz w:val="32"/>
      <w:lang w:val="en-US" w:eastAsia="zh-CN"/>
    </w:rPr>
  </w:style>
  <w:style w:type="character" w:customStyle="1" w:styleId="406">
    <w:name w:val="javascript"/>
    <w:qFormat/>
    <w:uiPriority w:val="0"/>
  </w:style>
  <w:style w:type="character" w:customStyle="1" w:styleId="407">
    <w:name w:val="图名 Char"/>
    <w:qFormat/>
    <w:uiPriority w:val="0"/>
    <w:rPr>
      <w:rFonts w:ascii="Arial" w:hAnsi="Arial" w:eastAsia="黑体"/>
      <w:kern w:val="2"/>
      <w:sz w:val="24"/>
      <w:szCs w:val="24"/>
      <w:lang w:val="en-US" w:eastAsia="zh-CN" w:bidi="ar-SA"/>
    </w:rPr>
  </w:style>
  <w:style w:type="character" w:customStyle="1" w:styleId="408">
    <w:name w:val="Used by Word for text of Help footnotes Char Char"/>
    <w:qFormat/>
    <w:uiPriority w:val="0"/>
    <w:rPr>
      <w:rFonts w:ascii="Times New Roman" w:hAnsi="Times New Roman" w:eastAsia="宋体" w:cs="Times New Roman"/>
      <w:sz w:val="20"/>
      <w:szCs w:val="20"/>
    </w:rPr>
  </w:style>
  <w:style w:type="character" w:customStyle="1" w:styleId="409">
    <w:name w:val="编号，小四 Char"/>
    <w:link w:val="410"/>
    <w:qFormat/>
    <w:uiPriority w:val="0"/>
    <w:rPr>
      <w:rFonts w:ascii="Arial" w:hAnsi="Arial"/>
      <w:sz w:val="24"/>
    </w:rPr>
  </w:style>
  <w:style w:type="paragraph" w:customStyle="1" w:styleId="410">
    <w:name w:val="编号，小四"/>
    <w:basedOn w:val="1"/>
    <w:link w:val="409"/>
    <w:qFormat/>
    <w:uiPriority w:val="0"/>
    <w:pPr>
      <w:tabs>
        <w:tab w:val="left" w:pos="432"/>
      </w:tabs>
      <w:adjustRightInd/>
      <w:spacing w:line="360" w:lineRule="auto"/>
      <w:ind w:left="432" w:hanging="432"/>
    </w:pPr>
    <w:rPr>
      <w:rFonts w:ascii="Arial" w:hAnsi="Arial"/>
      <w:kern w:val="0"/>
      <w:sz w:val="24"/>
      <w:szCs w:val="20"/>
    </w:rPr>
  </w:style>
  <w:style w:type="character" w:customStyle="1" w:styleId="411">
    <w:name w:val="Font Style82"/>
    <w:qFormat/>
    <w:uiPriority w:val="99"/>
    <w:rPr>
      <w:rFonts w:ascii="宋体" w:eastAsia="宋体" w:cs="宋体"/>
      <w:color w:val="000000"/>
      <w:sz w:val="14"/>
      <w:szCs w:val="14"/>
    </w:rPr>
  </w:style>
  <w:style w:type="character" w:customStyle="1" w:styleId="412">
    <w:name w:val="标题 2 Char Char"/>
    <w:qFormat/>
    <w:uiPriority w:val="0"/>
    <w:rPr>
      <w:rFonts w:ascii="楷体_GB2312" w:hAnsi="Arial" w:eastAsia="楷体_GB2312"/>
      <w:b/>
      <w:bCs/>
      <w:kern w:val="2"/>
      <w:sz w:val="24"/>
      <w:szCs w:val="32"/>
      <w:lang w:val="en-US" w:eastAsia="zh-CN" w:bidi="ar-SA"/>
    </w:rPr>
  </w:style>
  <w:style w:type="character" w:customStyle="1" w:styleId="413">
    <w:name w:val="未用 Char"/>
    <w:qFormat/>
    <w:uiPriority w:val="0"/>
    <w:rPr>
      <w:rFonts w:ascii="Arial" w:hAnsi="Arial" w:eastAsia="黑体"/>
      <w:kern w:val="2"/>
      <w:sz w:val="21"/>
      <w:szCs w:val="21"/>
      <w:lang w:val="en-US" w:eastAsia="zh-CN" w:bidi="ar-SA"/>
    </w:rPr>
  </w:style>
  <w:style w:type="character" w:customStyle="1" w:styleId="414">
    <w:name w:val="myp1111"/>
    <w:qFormat/>
    <w:uiPriority w:val="0"/>
    <w:rPr>
      <w:rFonts w:hint="default" w:ascii="ˎ̥" w:hAnsi="ˎ̥"/>
      <w:color w:val="000000"/>
      <w:sz w:val="20"/>
      <w:szCs w:val="20"/>
      <w:u w:val="none"/>
    </w:rPr>
  </w:style>
  <w:style w:type="character" w:customStyle="1" w:styleId="415">
    <w:name w:val="样式 标题 4h4H4Fab-4T5Ref Heading 1rh1Heading sqlsect 1.2.3.... Char"/>
    <w:link w:val="307"/>
    <w:qFormat/>
    <w:uiPriority w:val="0"/>
    <w:rPr>
      <w:rFonts w:ascii="微软雅黑" w:hAnsi="微软雅黑" w:eastAsia="微软雅黑"/>
      <w:b/>
      <w:bCs/>
      <w:kern w:val="2"/>
      <w:sz w:val="24"/>
      <w:szCs w:val="28"/>
    </w:rPr>
  </w:style>
  <w:style w:type="character" w:customStyle="1" w:styleId="416">
    <w:name w:val="h Char Char"/>
    <w:qFormat/>
    <w:uiPriority w:val="0"/>
    <w:rPr>
      <w:rFonts w:eastAsia="宋体"/>
      <w:kern w:val="2"/>
      <w:sz w:val="18"/>
      <w:lang w:val="en-US" w:eastAsia="zh-CN" w:bidi="ar-SA"/>
    </w:rPr>
  </w:style>
  <w:style w:type="character" w:customStyle="1" w:styleId="417">
    <w:name w:val="仿宋正文 Char"/>
    <w:link w:val="418"/>
    <w:qFormat/>
    <w:uiPriority w:val="0"/>
    <w:rPr>
      <w:rFonts w:ascii="仿宋_GB2312" w:eastAsia="仿宋_GB2312"/>
      <w:kern w:val="2"/>
      <w:sz w:val="24"/>
      <w:lang w:val="en-US" w:eastAsia="zh-CN" w:bidi="ar-SA"/>
    </w:rPr>
  </w:style>
  <w:style w:type="paragraph" w:customStyle="1" w:styleId="418">
    <w:name w:val="仿宋正文"/>
    <w:basedOn w:val="1"/>
    <w:link w:val="417"/>
    <w:qFormat/>
    <w:uiPriority w:val="0"/>
    <w:pPr>
      <w:adjustRightInd/>
      <w:spacing w:line="360" w:lineRule="auto"/>
      <w:ind w:firstLine="480" w:firstLineChars="200"/>
    </w:pPr>
    <w:rPr>
      <w:rFonts w:ascii="仿宋_GB2312" w:eastAsia="仿宋_GB2312"/>
      <w:sz w:val="24"/>
      <w:szCs w:val="20"/>
    </w:rPr>
  </w:style>
  <w:style w:type="character" w:customStyle="1" w:styleId="419">
    <w:name w:val="正文首行缩进 Char Char Char Char Char Char"/>
    <w:qFormat/>
    <w:uiPriority w:val="0"/>
    <w:rPr>
      <w:rFonts w:ascii="宋体" w:eastAsia="宋体"/>
      <w:kern w:val="2"/>
      <w:sz w:val="24"/>
      <w:lang w:val="zh-CN" w:bidi="ar-SA"/>
    </w:rPr>
  </w:style>
  <w:style w:type="character" w:customStyle="1" w:styleId="420">
    <w:name w:val="样式 宋体"/>
    <w:qFormat/>
    <w:uiPriority w:val="0"/>
    <w:rPr>
      <w:rFonts w:ascii="宋体" w:hAnsi="宋体"/>
      <w:sz w:val="24"/>
    </w:rPr>
  </w:style>
  <w:style w:type="character" w:customStyle="1" w:styleId="421">
    <w:name w:val="tw4winJump"/>
    <w:qFormat/>
    <w:uiPriority w:val="0"/>
    <w:rPr>
      <w:rFonts w:ascii="Courier New" w:hAnsi="Courier New" w:cs="Courier New"/>
      <w:color w:val="008080"/>
      <w:lang w:val="en-US" w:eastAsia="zh-CN"/>
    </w:rPr>
  </w:style>
  <w:style w:type="character" w:customStyle="1" w:styleId="422">
    <w:name w:val="标题 1 字符"/>
    <w:qFormat/>
    <w:uiPriority w:val="9"/>
    <w:rPr>
      <w:rFonts w:ascii="Arial" w:hAnsi="Arial" w:eastAsia="黑体" w:cs="Arial"/>
      <w:b/>
      <w:bCs/>
      <w:snapToGrid w:val="0"/>
      <w:kern w:val="44"/>
      <w:sz w:val="44"/>
      <w:szCs w:val="44"/>
    </w:rPr>
  </w:style>
  <w:style w:type="character" w:customStyle="1" w:styleId="423">
    <w:name w:val="style36"/>
    <w:basedOn w:val="71"/>
    <w:qFormat/>
    <w:uiPriority w:val="0"/>
    <w:rPr>
      <w:rFonts w:ascii="Arial" w:hAnsi="Arial" w:eastAsia="黑体" w:cs="Arial"/>
      <w:snapToGrid w:val="0"/>
      <w:kern w:val="0"/>
      <w:szCs w:val="21"/>
    </w:rPr>
  </w:style>
  <w:style w:type="character" w:customStyle="1" w:styleId="424">
    <w:name w:val="pt9"/>
    <w:qFormat/>
    <w:uiPriority w:val="0"/>
    <w:rPr>
      <w:rFonts w:ascii="仿宋_GB2312" w:eastAsia="微软雅黑"/>
      <w:b/>
      <w:kern w:val="2"/>
      <w:sz w:val="32"/>
      <w:szCs w:val="32"/>
      <w:lang w:val="en-US" w:eastAsia="zh-CN" w:bidi="ar-SA"/>
    </w:rPr>
  </w:style>
  <w:style w:type="character" w:customStyle="1" w:styleId="425">
    <w:name w:val="DO_NOT_TRANSLATE"/>
    <w:qFormat/>
    <w:uiPriority w:val="0"/>
    <w:rPr>
      <w:rFonts w:ascii="Courier New" w:hAnsi="Courier New" w:cs="Courier New"/>
      <w:color w:val="800000"/>
      <w:lang w:val="en-US" w:eastAsia="zh-CN"/>
    </w:rPr>
  </w:style>
  <w:style w:type="character" w:customStyle="1" w:styleId="426">
    <w:name w:val="标书1 Char1"/>
    <w:qFormat/>
    <w:uiPriority w:val="0"/>
    <w:rPr>
      <w:rFonts w:eastAsia="宋体"/>
      <w:b/>
      <w:bCs/>
      <w:kern w:val="44"/>
      <w:sz w:val="44"/>
      <w:szCs w:val="44"/>
      <w:lang w:val="en-US" w:eastAsia="zh-CN" w:bidi="ar-SA"/>
    </w:rPr>
  </w:style>
  <w:style w:type="character" w:customStyle="1" w:styleId="427">
    <w:name w:val="页脚 字符"/>
    <w:qFormat/>
    <w:uiPriority w:val="99"/>
    <w:rPr>
      <w:kern w:val="2"/>
      <w:sz w:val="18"/>
      <w:szCs w:val="18"/>
    </w:rPr>
  </w:style>
  <w:style w:type="character" w:customStyle="1" w:styleId="428">
    <w:name w:val="正文2 Char"/>
    <w:qFormat/>
    <w:uiPriority w:val="0"/>
    <w:rPr>
      <w:rFonts w:eastAsia="宋体"/>
      <w:kern w:val="2"/>
      <w:sz w:val="24"/>
      <w:lang w:val="en-US" w:eastAsia="zh-CN" w:bidi="ar-SA"/>
    </w:rPr>
  </w:style>
  <w:style w:type="character" w:customStyle="1" w:styleId="429">
    <w:name w:val="Char Char21"/>
    <w:qFormat/>
    <w:uiPriority w:val="6"/>
    <w:rPr>
      <w:rFonts w:ascii="宋体" w:hAnsi="宋体"/>
      <w:kern w:val="1"/>
      <w:sz w:val="24"/>
      <w:szCs w:val="21"/>
      <w:lang w:val="zh-CN"/>
    </w:rPr>
  </w:style>
  <w:style w:type="character" w:customStyle="1" w:styleId="430">
    <w:name w:val="样式 正文缩进 + 首行缩进:  2 字符 Char Char"/>
    <w:link w:val="431"/>
    <w:qFormat/>
    <w:uiPriority w:val="0"/>
    <w:rPr>
      <w:rFonts w:cs="宋体"/>
      <w:kern w:val="2"/>
      <w:sz w:val="24"/>
    </w:rPr>
  </w:style>
  <w:style w:type="paragraph" w:customStyle="1" w:styleId="431">
    <w:name w:val="样式 正文缩进 + 首行缩进:  2 字符"/>
    <w:basedOn w:val="6"/>
    <w:link w:val="430"/>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2">
    <w:name w:val="正文文本 Char1"/>
    <w:link w:val="2"/>
    <w:qFormat/>
    <w:uiPriority w:val="0"/>
    <w:rPr>
      <w:rFonts w:ascii="宋体" w:hAnsi="Arial" w:eastAsia="宋体" w:cs="Arial"/>
      <w:snapToGrid w:val="0"/>
      <w:kern w:val="2"/>
      <w:sz w:val="24"/>
      <w:szCs w:val="21"/>
      <w:lang w:val="zh-CN" w:eastAsia="zh-CN" w:bidi="ar-SA"/>
    </w:rPr>
  </w:style>
  <w:style w:type="character" w:customStyle="1" w:styleId="433">
    <w:name w:val="gray6"/>
    <w:basedOn w:val="71"/>
    <w:qFormat/>
    <w:uiPriority w:val="0"/>
    <w:rPr>
      <w:rFonts w:ascii="Arial" w:hAnsi="Arial" w:eastAsia="黑体" w:cs="Arial"/>
      <w:snapToGrid w:val="0"/>
      <w:kern w:val="0"/>
      <w:szCs w:val="21"/>
    </w:rPr>
  </w:style>
  <w:style w:type="character" w:customStyle="1" w:styleId="434">
    <w:name w:val="hui"/>
    <w:basedOn w:val="71"/>
    <w:qFormat/>
    <w:uiPriority w:val="0"/>
    <w:rPr>
      <w:rFonts w:ascii="Arial" w:hAnsi="Arial" w:eastAsia="黑体" w:cs="Arial"/>
      <w:snapToGrid w:val="0"/>
      <w:kern w:val="0"/>
      <w:szCs w:val="21"/>
    </w:rPr>
  </w:style>
  <w:style w:type="character" w:customStyle="1" w:styleId="435">
    <w:name w:val="哈哈正文 Char Char"/>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3">
    <w:name w:val="标题4_自定义"/>
    <w:basedOn w:val="7"/>
    <w:qFormat/>
    <w:uiPriority w:val="0"/>
    <w:pPr>
      <w:adjustRightInd/>
      <w:spacing w:before="0" w:after="0" w:line="360" w:lineRule="auto"/>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line="360" w:lineRule="auto"/>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firstLineChars="200"/>
    </w:pPr>
    <w:rPr>
      <w:rFonts w:ascii="Tahoma" w:hAnsi="Tahoma"/>
      <w:sz w:val="24"/>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0"/>
    <w:pPr>
      <w:tabs>
        <w:tab w:val="left" w:pos="360"/>
      </w:tabs>
    </w:pPr>
    <w:rPr>
      <w:sz w:val="24"/>
      <w:szCs w:val="20"/>
    </w:rPr>
  </w:style>
  <w:style w:type="paragraph" w:customStyle="1" w:styleId="458">
    <w:name w:val="Char Char11 Char Char Char"/>
    <w:basedOn w:val="1"/>
    <w:qFormat/>
    <w:uiPriority w:val="0"/>
    <w:pPr>
      <w:spacing w:line="360" w:lineRule="auto"/>
    </w:pPr>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1">
    <w:name w:val="样式3"/>
    <w:basedOn w:val="32"/>
    <w:next w:val="1"/>
    <w:qFormat/>
    <w:uiPriority w:val="0"/>
    <w:pPr>
      <w:tabs>
        <w:tab w:val="left" w:pos="2790"/>
        <w:tab w:val="left" w:pos="4230"/>
      </w:tabs>
      <w:spacing w:before="312" w:beforeLines="100"/>
      <w:jc w:val="left"/>
    </w:pPr>
  </w:style>
  <w:style w:type="paragraph" w:customStyle="1" w:styleId="462">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sz w:val="24"/>
    </w:rPr>
  </w:style>
  <w:style w:type="paragraph" w:customStyle="1" w:styleId="46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line="360" w:lineRule="auto"/>
      <w:ind w:firstLine="510" w:firstLineChars="200"/>
    </w:pPr>
    <w:rPr>
      <w:sz w:val="24"/>
      <w:szCs w:val="20"/>
    </w:rPr>
  </w:style>
  <w:style w:type="paragraph" w:customStyle="1" w:styleId="468">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spacing w:before="0" w:after="0"/>
      <w:outlineLvl w:val="5"/>
    </w:pPr>
  </w:style>
  <w:style w:type="paragraph" w:customStyle="1" w:styleId="476">
    <w:name w:val="5级标题"/>
    <w:basedOn w:val="477"/>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7">
    <w:name w:val="4级标题"/>
    <w:basedOn w:val="26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 w:val="24"/>
      <w:szCs w:val="20"/>
    </w:rPr>
  </w:style>
  <w:style w:type="paragraph" w:customStyle="1" w:styleId="480">
    <w:name w:val="_Style 11"/>
    <w:basedOn w:val="1"/>
    <w:qFormat/>
    <w:uiPriority w:val="34"/>
    <w:pPr>
      <w:adjustRightInd/>
      <w:ind w:firstLine="420" w:firstLineChars="20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 w:val="24"/>
      <w:szCs w:val="20"/>
    </w:rPr>
  </w:style>
  <w:style w:type="paragraph" w:customStyle="1" w:styleId="483">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5">
    <w:name w:val="No Spacing"/>
    <w:basedOn w:val="1"/>
    <w:link w:val="932"/>
    <w:qFormat/>
    <w:uiPriority w:val="99"/>
    <w:rPr>
      <w:szCs w:val="22"/>
    </w:rPr>
  </w:style>
  <w:style w:type="paragraph" w:customStyle="1" w:styleId="4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7">
    <w:name w:val="Char Char Char Char Char Char Char Char Char Char Char Char1 Char1"/>
    <w:basedOn w:val="1"/>
    <w:qFormat/>
    <w:uiPriority w:val="6"/>
    <w:rPr>
      <w:rFonts w:ascii="Tahoma" w:hAnsi="Tahoma" w:cs="仿宋_GB2312"/>
      <w:sz w:val="24"/>
      <w:szCs w:val="20"/>
    </w:rPr>
  </w:style>
  <w:style w:type="paragraph" w:customStyle="1" w:styleId="48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4"/>
    <w:qFormat/>
    <w:uiPriority w:val="0"/>
    <w:pPr>
      <w:tabs>
        <w:tab w:val="left" w:pos="1260"/>
      </w:tabs>
      <w:ind w:left="1260" w:hanging="420"/>
    </w:pPr>
    <w:rPr>
      <w:rFonts w:ascii="Arial" w:hAnsi="Arial" w:eastAsia="黑体"/>
      <w:lang w:val="en-US"/>
    </w:rPr>
  </w:style>
  <w:style w:type="paragraph" w:customStyle="1" w:styleId="492">
    <w:name w:val="五级无标题条"/>
    <w:basedOn w:val="1"/>
    <w:qFormat/>
    <w:uiPriority w:val="0"/>
    <w:pPr>
      <w:adjustRightInd/>
    </w:pPr>
  </w:style>
  <w:style w:type="paragraph" w:customStyle="1" w:styleId="493">
    <w:name w:val="Char5"/>
    <w:basedOn w:val="1"/>
    <w:qFormat/>
    <w:uiPriority w:val="0"/>
    <w:rPr>
      <w:rFonts w:ascii="仿宋_GB2312" w:eastAsia="仿宋_GB2312"/>
      <w:b/>
      <w:sz w:val="32"/>
      <w:szCs w:val="32"/>
    </w:rPr>
  </w:style>
  <w:style w:type="paragraph" w:customStyle="1" w:styleId="494">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0"/>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7">
    <w:name w:val="Char2"/>
    <w:basedOn w:val="1"/>
    <w:qFormat/>
    <w:uiPriority w:val="0"/>
    <w:rPr>
      <w:rFonts w:ascii="仿宋_GB2312" w:eastAsia="仿宋_GB2312"/>
      <w:b/>
      <w:sz w:val="32"/>
      <w:szCs w:val="32"/>
    </w:rPr>
  </w:style>
  <w:style w:type="paragraph" w:customStyle="1" w:styleId="498">
    <w:name w:val="数字标题3"/>
    <w:basedOn w:val="5"/>
    <w:next w:val="1"/>
    <w:qFormat/>
    <w:uiPriority w:val="0"/>
    <w:pPr>
      <w:spacing w:line="240" w:lineRule="auto"/>
    </w:pPr>
    <w:rPr>
      <w:sz w:val="28"/>
      <w:szCs w:val="28"/>
    </w:rPr>
  </w:style>
  <w:style w:type="paragraph" w:customStyle="1" w:styleId="499">
    <w:name w:val="FA正文"/>
    <w:basedOn w:val="1"/>
    <w:qFormat/>
    <w:uiPriority w:val="0"/>
    <w:pPr>
      <w:spacing w:line="360" w:lineRule="auto"/>
      <w:ind w:firstLine="480" w:firstLineChars="200"/>
    </w:pPr>
    <w:rPr>
      <w:rFonts w:hAnsi="宋体"/>
      <w:sz w:val="24"/>
      <w:szCs w:val="20"/>
    </w:rPr>
  </w:style>
  <w:style w:type="paragraph" w:customStyle="1" w:styleId="500">
    <w:name w:val="MM Topic 5"/>
    <w:basedOn w:val="8"/>
    <w:qFormat/>
    <w:uiPriority w:val="0"/>
    <w:pPr>
      <w:tabs>
        <w:tab w:val="left" w:pos="2520"/>
      </w:tabs>
      <w:adjustRightInd/>
      <w:ind w:left="2520" w:hanging="420"/>
    </w:pPr>
  </w:style>
  <w:style w:type="paragraph" w:customStyle="1" w:styleId="501">
    <w:name w:val="Char Char Char Char Char Char Char Char Char Char1"/>
    <w:basedOn w:val="1"/>
    <w:qFormat/>
    <w:uiPriority w:val="0"/>
    <w:rPr>
      <w:rFonts w:ascii="仿宋_GB2312" w:eastAsia="仿宋_GB2312"/>
      <w:b/>
      <w:sz w:val="32"/>
      <w:szCs w:val="32"/>
    </w:rPr>
  </w:style>
  <w:style w:type="paragraph" w:customStyle="1" w:styleId="50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3"/>
    <w:rPr>
      <w:rFonts w:ascii="Times New Roman" w:hAnsi="Times New Roman" w:eastAsia="宋体" w:cs="Times New Roman"/>
      <w:color w:val="000000"/>
      <w:kern w:val="1"/>
      <w:sz w:val="21"/>
      <w:lang w:val="en-US" w:eastAsia="zh-CN" w:bidi="ar-SA"/>
    </w:rPr>
  </w:style>
  <w:style w:type="paragraph" w:customStyle="1" w:styleId="504">
    <w:name w:val="Char2 Char Char Char"/>
    <w:basedOn w:val="1"/>
    <w:qFormat/>
    <w:uiPriority w:val="0"/>
    <w:rPr>
      <w:rFonts w:ascii="仿宋_GB2312" w:eastAsia="仿宋_GB2312"/>
      <w:b/>
      <w:sz w:val="32"/>
      <w:szCs w:val="32"/>
    </w:rPr>
  </w:style>
  <w:style w:type="paragraph" w:customStyle="1" w:styleId="505">
    <w:name w:val="Char2 Char Char Char1"/>
    <w:basedOn w:val="1"/>
    <w:qFormat/>
    <w:uiPriority w:val="6"/>
    <w:rPr>
      <w:rFonts w:ascii="仿宋_GB2312" w:eastAsia="仿宋_GB2312"/>
      <w:b/>
      <w:sz w:val="32"/>
      <w:szCs w:val="32"/>
    </w:rPr>
  </w:style>
  <w:style w:type="paragraph" w:customStyle="1" w:styleId="506">
    <w:name w:val="默认段落样式"/>
    <w:basedOn w:val="133"/>
    <w:qFormat/>
    <w:uiPriority w:val="0"/>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0"/>
    <w:pPr>
      <w:snapToGrid w:val="0"/>
      <w:spacing w:line="0" w:lineRule="atLeast"/>
      <w:ind w:firstLine="200" w:firstLineChars="200"/>
      <w:jc w:val="center"/>
    </w:pPr>
    <w:rPr>
      <w:sz w:val="24"/>
      <w:szCs w:val="20"/>
    </w:rPr>
  </w:style>
  <w:style w:type="paragraph" w:customStyle="1" w:styleId="5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5"/>
    <w:qFormat/>
    <w:uiPriority w:val="0"/>
    <w:pPr>
      <w:tabs>
        <w:tab w:val="left" w:pos="1680"/>
      </w:tabs>
      <w:adjustRightInd/>
      <w:ind w:left="1680" w:hanging="420"/>
    </w:pPr>
  </w:style>
  <w:style w:type="paragraph" w:customStyle="1" w:styleId="510">
    <w:name w:val="标准小四"/>
    <w:basedOn w:val="1"/>
    <w:qFormat/>
    <w:uiPriority w:val="0"/>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0"/>
    <w:pPr>
      <w:adjustRightInd/>
      <w:snapToGrid w:val="0"/>
      <w:spacing w:line="300" w:lineRule="auto"/>
    </w:pPr>
    <w:rPr>
      <w:rFonts w:eastAsia="仿宋"/>
      <w:szCs w:val="21"/>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6"/>
    <w:pPr>
      <w:adjustRightInd/>
    </w:pPr>
    <w:rPr>
      <w:rFonts w:ascii="Tahoma" w:hAnsi="Tahoma"/>
      <w:sz w:val="24"/>
      <w:szCs w:val="20"/>
    </w:rPr>
  </w:style>
  <w:style w:type="paragraph" w:customStyle="1" w:styleId="515">
    <w:name w:val="列出段落5"/>
    <w:basedOn w:val="1"/>
    <w:qFormat/>
    <w:uiPriority w:val="0"/>
    <w:pPr>
      <w:spacing w:line="360" w:lineRule="auto"/>
      <w:ind w:firstLine="200" w:firstLineChars="200"/>
    </w:pPr>
    <w:rPr>
      <w:rFonts w:eastAsia="楷体_GB2312" w:cs="Lucida Sans"/>
      <w:sz w:val="24"/>
    </w:rPr>
  </w:style>
  <w:style w:type="paragraph" w:customStyle="1" w:styleId="51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2"/>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7"/>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7"/>
    <w:next w:val="237"/>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7"/>
    <w:next w:val="237"/>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7"/>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3"/>
    <w:qFormat/>
    <w:uiPriority w:val="0"/>
    <w:pPr>
      <w:tabs>
        <w:tab w:val="left" w:pos="840"/>
      </w:tabs>
      <w:adjustRightInd/>
      <w:ind w:left="840" w:hanging="420"/>
    </w:pPr>
  </w:style>
  <w:style w:type="paragraph" w:customStyle="1" w:styleId="626">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2"/>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7"/>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5"/>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5"/>
    <w:next w:val="54"/>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40"/>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5"/>
    <w:next w:val="640"/>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4"/>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42"/>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19"/>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60"/>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2"/>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8"/>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9"/>
    <w:qFormat/>
    <w:uiPriority w:val="0"/>
    <w:rPr>
      <w:b w:val="0"/>
      <w:sz w:val="20"/>
    </w:rPr>
  </w:style>
  <w:style w:type="paragraph" w:customStyle="1" w:styleId="893">
    <w:name w:val="正文首行缩进1"/>
    <w:basedOn w:val="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8"/>
    <w:next w:val="1"/>
    <w:qFormat/>
    <w:uiPriority w:val="0"/>
    <w:pPr>
      <w:tabs>
        <w:tab w:val="left" w:pos="1080"/>
      </w:tabs>
      <w:ind w:left="1080" w:hanging="1080"/>
    </w:pPr>
  </w:style>
  <w:style w:type="paragraph" w:customStyle="1" w:styleId="896">
    <w:name w:val="数字标题1"/>
    <w:basedOn w:val="3"/>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5"/>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2"/>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Char"/>
    <w:link w:val="37"/>
    <w:qFormat/>
    <w:uiPriority w:val="0"/>
    <w:rPr>
      <w:kern w:val="2"/>
      <w:sz w:val="21"/>
      <w:szCs w:val="24"/>
      <w:lang w:val="zh-CN"/>
    </w:rPr>
  </w:style>
  <w:style w:type="character" w:customStyle="1" w:styleId="932">
    <w:name w:val="无间隔 Char"/>
    <w:link w:val="485"/>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60"/>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71"/>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4">
    <w:name w:val="WPSOffice手动目录 1"/>
    <w:qFormat/>
    <w:uiPriority w:val="0"/>
    <w:rPr>
      <w:rFonts w:ascii="Times New Roman" w:hAnsi="Times New Roman" w:eastAsia="宋体" w:cs="Times New Roman"/>
      <w:lang w:val="en-US" w:eastAsia="zh-CN" w:bidi="ar-SA"/>
    </w:rPr>
  </w:style>
  <w:style w:type="paragraph" w:customStyle="1" w:styleId="96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66">
    <w:name w:val="DAS正文"/>
    <w:basedOn w:val="1"/>
    <w:qFormat/>
    <w:uiPriority w:val="0"/>
    <w:pPr>
      <w:tabs>
        <w:tab w:val="left" w:pos="1200"/>
      </w:tabs>
      <w:spacing w:line="360" w:lineRule="exact"/>
      <w:ind w:left="-17" w:leftChars="-8" w:right="181" w:firstLine="632" w:firstLineChars="300"/>
    </w:pPr>
    <w:rPr>
      <w:rFonts w:ascii="Verdana" w:hAnsi="Verdana"/>
      <w:b/>
      <w:bCs/>
      <w:szCs w:val="21"/>
    </w:rPr>
  </w:style>
  <w:style w:type="character" w:customStyle="1" w:styleId="967">
    <w:name w:val="NormalCharacter"/>
    <w:qFormat/>
    <w:uiPriority w:val="0"/>
  </w:style>
  <w:style w:type="paragraph" w:customStyle="1" w:styleId="968">
    <w:name w:val="p18"/>
    <w:basedOn w:val="1"/>
    <w:qFormat/>
    <w:uiPriority w:val="0"/>
    <w:pPr>
      <w:widowControl/>
    </w:pPr>
    <w:rPr>
      <w:kern w:val="0"/>
      <w:sz w:val="24"/>
    </w:rPr>
  </w:style>
  <w:style w:type="paragraph" w:customStyle="1" w:styleId="969">
    <w:name w:val="UserStyle_66"/>
    <w:basedOn w:val="1"/>
    <w:qFormat/>
    <w:uiPriority w:val="0"/>
    <w:rPr>
      <w:kern w:val="0"/>
    </w:rPr>
  </w:style>
  <w:style w:type="paragraph" w:customStyle="1" w:styleId="970">
    <w:name w:val="正文缩进2字符"/>
    <w:basedOn w:val="1"/>
    <w:qFormat/>
    <w:uiPriority w:val="0"/>
    <w:pPr>
      <w:ind w:firstLine="480" w:firstLineChars="200"/>
    </w:pPr>
    <w:rPr>
      <w:rFonts w:ascii="Times New Roman" w:hAnsi="Times New Roman"/>
      <w:szCs w:val="20"/>
    </w:rPr>
  </w:style>
  <w:style w:type="paragraph" w:customStyle="1" w:styleId="971">
    <w:name w:val="_Style 7"/>
    <w:basedOn w:val="1"/>
    <w:qFormat/>
    <w:uiPriority w:val="99"/>
    <w:pPr>
      <w:ind w:firstLine="420" w:firstLineChars="200"/>
    </w:pPr>
  </w:style>
  <w:style w:type="paragraph" w:customStyle="1" w:styleId="972">
    <w:name w:val="表"/>
    <w:basedOn w:val="1"/>
    <w:qFormat/>
    <w:uiPriority w:val="0"/>
    <w:pPr>
      <w:spacing w:line="240" w:lineRule="auto"/>
      <w:jc w:val="center"/>
    </w:pPr>
    <w:rPr>
      <w:rFonts w:hint="eastAsia"/>
      <w:bCs/>
      <w:sz w:val="21"/>
    </w:rPr>
  </w:style>
  <w:style w:type="paragraph" w:customStyle="1" w:styleId="97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2366</Words>
  <Characters>2781</Characters>
  <Lines>46</Lines>
  <Paragraphs>63</Paragraphs>
  <TotalTime>3</TotalTime>
  <ScaleCrop>false</ScaleCrop>
  <LinksUpToDate>false</LinksUpToDate>
  <CharactersWithSpaces>3002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DELL</dc:creator>
  <cp:lastModifiedBy>宁波中基</cp:lastModifiedBy>
  <cp:lastPrinted>2025-07-15T06:30:00Z</cp:lastPrinted>
  <dcterms:modified xsi:type="dcterms:W3CDTF">2026-03-31T03:28:56Z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2046F90F4EA1422ABDE57B734C133539_13</vt:lpwstr>
  </property>
  <property fmtid="{D5CDD505-2E9C-101B-9397-08002B2CF9AE}" pid="5" name="KSOTemplateDocerSaveRecord">
    <vt:lpwstr>eyJoZGlkIjoiMzlmMmVhMmE0ZGQ5NzU1YzRiZjMwZjk2YTNhNzQ1MGUiLCJ1c2VySWQiOiIyNTM4NzI1MzQifQ==</vt:lpwstr>
  </property>
</Properties>
</file>