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B31C2">
      <w:pPr>
        <w:spacing w:line="360" w:lineRule="auto"/>
        <w:jc w:val="left"/>
        <w:rPr>
          <w:rFonts w:ascii="仿宋" w:hAnsi="仿宋" w:eastAsia="仿宋" w:cs="仿宋"/>
          <w:sz w:val="24"/>
        </w:rPr>
      </w:pPr>
    </w:p>
    <w:p w14:paraId="47C08EAE">
      <w:pPr>
        <w:spacing w:line="360" w:lineRule="auto"/>
        <w:jc w:val="center"/>
        <w:rPr>
          <w:rFonts w:ascii="仿宋" w:hAnsi="仿宋" w:eastAsia="仿宋" w:cs="仿宋"/>
          <w:sz w:val="24"/>
        </w:rPr>
      </w:pPr>
    </w:p>
    <w:p w14:paraId="412E93AF">
      <w:pPr>
        <w:adjustRightInd/>
        <w:spacing w:line="360" w:lineRule="auto"/>
        <w:jc w:val="center"/>
        <w:rPr>
          <w:rFonts w:ascii="仿宋" w:hAnsi="仿宋" w:eastAsia="仿宋" w:cs="仿宋"/>
          <w:b/>
          <w:sz w:val="44"/>
          <w:szCs w:val="44"/>
        </w:rPr>
      </w:pPr>
      <w:r>
        <w:rPr>
          <w:rFonts w:hint="eastAsia" w:ascii="仿宋" w:hAnsi="仿宋" w:eastAsia="仿宋" w:cs="仿宋"/>
          <w:b/>
          <w:sz w:val="44"/>
          <w:szCs w:val="44"/>
        </w:rPr>
        <w:t>温州市龙湾中学教学综合楼建设项目第三方工程质量检测服务</w:t>
      </w:r>
    </w:p>
    <w:p w14:paraId="32E47EAF">
      <w:pPr>
        <w:adjustRightInd/>
        <w:spacing w:line="360" w:lineRule="auto"/>
        <w:jc w:val="center"/>
        <w:rPr>
          <w:rFonts w:ascii="仿宋" w:hAnsi="仿宋" w:eastAsia="仿宋" w:cs="仿宋"/>
          <w:b/>
          <w:sz w:val="48"/>
          <w:szCs w:val="48"/>
        </w:rPr>
      </w:pPr>
      <w:r>
        <w:rPr>
          <w:rFonts w:hint="eastAsia" w:ascii="仿宋" w:hAnsi="仿宋" w:eastAsia="仿宋" w:cs="仿宋"/>
          <w:b/>
          <w:sz w:val="48"/>
          <w:szCs w:val="48"/>
        </w:rPr>
        <w:t>采购文件</w:t>
      </w:r>
    </w:p>
    <w:p w14:paraId="02DCDED0">
      <w:pPr>
        <w:adjustRightInd/>
        <w:spacing w:line="360" w:lineRule="auto"/>
        <w:jc w:val="center"/>
        <w:rPr>
          <w:rFonts w:ascii="仿宋" w:hAnsi="仿宋" w:eastAsia="仿宋" w:cs="仿宋"/>
          <w:b/>
          <w:sz w:val="44"/>
          <w:szCs w:val="44"/>
        </w:rPr>
      </w:pPr>
    </w:p>
    <w:p w14:paraId="6E5C7FDE">
      <w:pPr>
        <w:adjustRightInd/>
        <w:spacing w:line="360" w:lineRule="auto"/>
        <w:jc w:val="center"/>
        <w:rPr>
          <w:rFonts w:ascii="仿宋" w:hAnsi="仿宋" w:eastAsia="仿宋" w:cs="仿宋"/>
          <w:b/>
          <w:sz w:val="44"/>
          <w:szCs w:val="44"/>
        </w:rPr>
      </w:pPr>
      <w:r>
        <w:rPr>
          <w:rFonts w:hint="eastAsia" w:ascii="仿宋" w:hAnsi="仿宋" w:eastAsia="仿宋" w:cs="仿宋"/>
          <w:b/>
          <w:sz w:val="44"/>
          <w:szCs w:val="44"/>
        </w:rPr>
        <w:t>（电子招投标）</w:t>
      </w:r>
    </w:p>
    <w:p w14:paraId="6DA24B3A">
      <w:pPr>
        <w:snapToGrid w:val="0"/>
        <w:spacing w:line="360" w:lineRule="auto"/>
        <w:ind w:firstLine="1800" w:firstLineChars="600"/>
        <w:jc w:val="left"/>
        <w:rPr>
          <w:rFonts w:ascii="仿宋" w:hAnsi="仿宋" w:eastAsia="仿宋" w:cs="仿宋"/>
          <w:sz w:val="30"/>
          <w:szCs w:val="30"/>
        </w:rPr>
      </w:pPr>
    </w:p>
    <w:p w14:paraId="062CF047">
      <w:pPr>
        <w:snapToGrid w:val="0"/>
        <w:spacing w:line="360" w:lineRule="auto"/>
        <w:ind w:firstLine="1800" w:firstLineChars="600"/>
        <w:jc w:val="left"/>
        <w:rPr>
          <w:rFonts w:ascii="仿宋" w:hAnsi="仿宋" w:eastAsia="仿宋" w:cs="仿宋"/>
          <w:sz w:val="30"/>
          <w:szCs w:val="30"/>
        </w:rPr>
      </w:pPr>
    </w:p>
    <w:p w14:paraId="050A7F2E">
      <w:pPr>
        <w:snapToGrid w:val="0"/>
        <w:spacing w:line="360" w:lineRule="auto"/>
        <w:ind w:firstLine="1800" w:firstLineChars="600"/>
        <w:jc w:val="left"/>
        <w:rPr>
          <w:rFonts w:ascii="仿宋" w:hAnsi="仿宋" w:eastAsia="仿宋" w:cs="仿宋"/>
          <w:sz w:val="30"/>
          <w:szCs w:val="30"/>
        </w:rPr>
      </w:pPr>
    </w:p>
    <w:p w14:paraId="7EBDC1B4">
      <w:pPr>
        <w:snapToGrid w:val="0"/>
        <w:spacing w:line="360" w:lineRule="auto"/>
        <w:ind w:firstLine="1800" w:firstLineChars="600"/>
        <w:jc w:val="left"/>
        <w:rPr>
          <w:rFonts w:hint="eastAsia" w:ascii="仿宋" w:hAnsi="仿宋" w:eastAsia="仿宋" w:cs="仿宋"/>
          <w:sz w:val="30"/>
          <w:szCs w:val="30"/>
          <w:lang w:eastAsia="zh-CN"/>
        </w:rPr>
      </w:pPr>
      <w:r>
        <w:rPr>
          <w:rFonts w:hint="eastAsia" w:ascii="仿宋" w:hAnsi="仿宋" w:eastAsia="仿宋" w:cs="仿宋"/>
          <w:sz w:val="30"/>
          <w:szCs w:val="30"/>
        </w:rPr>
        <w:t>编号:</w:t>
      </w:r>
      <w:r>
        <w:rPr>
          <w:rFonts w:hint="eastAsia" w:ascii="仿宋" w:hAnsi="仿宋" w:eastAsia="仿宋" w:cs="仿宋"/>
          <w:sz w:val="30"/>
          <w:szCs w:val="30"/>
          <w:lang w:eastAsia="zh-CN"/>
        </w:rPr>
        <w:t>330300261700160000006-ZZJS-2026041501</w:t>
      </w:r>
    </w:p>
    <w:p w14:paraId="50BD06DB">
      <w:pPr>
        <w:snapToGrid w:val="0"/>
        <w:spacing w:line="360" w:lineRule="auto"/>
        <w:ind w:firstLine="1800" w:firstLineChars="600"/>
        <w:jc w:val="left"/>
        <w:rPr>
          <w:rFonts w:ascii="仿宋" w:hAnsi="仿宋" w:eastAsia="仿宋" w:cs="仿宋"/>
          <w:sz w:val="30"/>
          <w:szCs w:val="30"/>
        </w:rPr>
      </w:pPr>
      <w:r>
        <w:rPr>
          <w:rFonts w:hint="eastAsia" w:ascii="仿宋" w:hAnsi="仿宋" w:eastAsia="仿宋" w:cs="仿宋"/>
          <w:sz w:val="30"/>
          <w:szCs w:val="30"/>
        </w:rPr>
        <w:t>采购方式：竞争性磋商</w:t>
      </w:r>
    </w:p>
    <w:p w14:paraId="7EBCF21F">
      <w:pPr>
        <w:spacing w:line="360" w:lineRule="auto"/>
        <w:jc w:val="center"/>
        <w:rPr>
          <w:rFonts w:ascii="仿宋" w:hAnsi="仿宋" w:eastAsia="仿宋" w:cs="仿宋"/>
          <w:sz w:val="24"/>
        </w:rPr>
      </w:pPr>
    </w:p>
    <w:p w14:paraId="31A1850D">
      <w:pPr>
        <w:spacing w:line="360" w:lineRule="auto"/>
        <w:jc w:val="center"/>
        <w:rPr>
          <w:rFonts w:ascii="仿宋" w:hAnsi="仿宋" w:eastAsia="仿宋" w:cs="仿宋"/>
          <w:sz w:val="24"/>
        </w:rPr>
      </w:pPr>
    </w:p>
    <w:p w14:paraId="1C7A0BE2">
      <w:pPr>
        <w:spacing w:line="360" w:lineRule="auto"/>
        <w:jc w:val="center"/>
        <w:rPr>
          <w:rFonts w:ascii="仿宋" w:hAnsi="仿宋" w:eastAsia="仿宋" w:cs="仿宋"/>
          <w:sz w:val="24"/>
        </w:rPr>
      </w:pPr>
    </w:p>
    <w:p w14:paraId="11268D82">
      <w:pPr>
        <w:spacing w:line="360" w:lineRule="auto"/>
        <w:jc w:val="center"/>
        <w:rPr>
          <w:rFonts w:ascii="仿宋" w:hAnsi="仿宋" w:eastAsia="仿宋" w:cs="仿宋"/>
          <w:sz w:val="24"/>
        </w:rPr>
      </w:pPr>
    </w:p>
    <w:p w14:paraId="0F0F74BE">
      <w:pPr>
        <w:spacing w:line="360" w:lineRule="auto"/>
        <w:jc w:val="center"/>
        <w:rPr>
          <w:rFonts w:ascii="仿宋" w:hAnsi="仿宋" w:eastAsia="仿宋" w:cs="仿宋"/>
          <w:sz w:val="24"/>
        </w:rPr>
      </w:pPr>
    </w:p>
    <w:p w14:paraId="5EFE5F8F">
      <w:pPr>
        <w:spacing w:line="360" w:lineRule="auto"/>
        <w:jc w:val="center"/>
        <w:rPr>
          <w:rFonts w:ascii="仿宋" w:hAnsi="仿宋" w:eastAsia="仿宋" w:cs="仿宋"/>
          <w:sz w:val="24"/>
        </w:rPr>
      </w:pPr>
    </w:p>
    <w:p w14:paraId="5FA4D62D">
      <w:pPr>
        <w:spacing w:line="360" w:lineRule="auto"/>
        <w:jc w:val="center"/>
        <w:rPr>
          <w:rFonts w:ascii="仿宋" w:hAnsi="仿宋" w:eastAsia="仿宋" w:cs="仿宋"/>
          <w:sz w:val="24"/>
        </w:rPr>
      </w:pPr>
    </w:p>
    <w:p w14:paraId="51B96565">
      <w:pPr>
        <w:spacing w:line="360" w:lineRule="auto"/>
        <w:jc w:val="center"/>
        <w:rPr>
          <w:rFonts w:ascii="仿宋" w:hAnsi="仿宋" w:eastAsia="仿宋" w:cs="仿宋"/>
          <w:sz w:val="24"/>
        </w:rPr>
      </w:pPr>
    </w:p>
    <w:p w14:paraId="5073C6DB">
      <w:pPr>
        <w:snapToGrid w:val="0"/>
        <w:spacing w:line="360" w:lineRule="auto"/>
        <w:ind w:firstLine="1280" w:firstLineChars="400"/>
        <w:jc w:val="left"/>
        <w:rPr>
          <w:rFonts w:ascii="仿宋" w:hAnsi="仿宋" w:eastAsia="仿宋" w:cs="仿宋"/>
          <w:sz w:val="32"/>
          <w:szCs w:val="32"/>
        </w:rPr>
      </w:pPr>
      <w:r>
        <w:rPr>
          <w:rFonts w:hint="eastAsia" w:ascii="仿宋" w:hAnsi="仿宋" w:eastAsia="仿宋" w:cs="仿宋"/>
          <w:sz w:val="32"/>
          <w:szCs w:val="32"/>
        </w:rPr>
        <w:t xml:space="preserve">采购人：温州市龙湾中学 </w:t>
      </w:r>
    </w:p>
    <w:p w14:paraId="04A0A05F">
      <w:pPr>
        <w:snapToGrid w:val="0"/>
        <w:spacing w:line="360" w:lineRule="auto"/>
        <w:ind w:firstLine="1280" w:firstLineChars="400"/>
        <w:jc w:val="left"/>
        <w:rPr>
          <w:rFonts w:ascii="仿宋" w:hAnsi="仿宋" w:eastAsia="仿宋" w:cs="仿宋"/>
          <w:bCs/>
          <w:sz w:val="32"/>
          <w:szCs w:val="32"/>
        </w:rPr>
      </w:pPr>
      <w:r>
        <w:rPr>
          <w:rFonts w:hint="eastAsia" w:ascii="仿宋" w:hAnsi="仿宋" w:eastAsia="仿宋" w:cs="仿宋"/>
          <w:bCs/>
          <w:sz w:val="32"/>
          <w:szCs w:val="32"/>
        </w:rPr>
        <w:t>采购代理机构：</w:t>
      </w:r>
      <w:r>
        <w:rPr>
          <w:rFonts w:hint="eastAsia" w:ascii="仿宋" w:hAnsi="仿宋" w:eastAsia="仿宋" w:cs="仿宋"/>
          <w:sz w:val="32"/>
          <w:szCs w:val="32"/>
        </w:rPr>
        <w:t xml:space="preserve">正展建设管理集团有限公司 </w:t>
      </w:r>
    </w:p>
    <w:p w14:paraId="213503B4">
      <w:pPr>
        <w:snapToGrid w:val="0"/>
        <w:spacing w:line="360" w:lineRule="auto"/>
        <w:jc w:val="center"/>
        <w:rPr>
          <w:rFonts w:ascii="仿宋" w:hAnsi="仿宋" w:eastAsia="仿宋" w:cs="仿宋"/>
          <w:bCs/>
          <w:sz w:val="32"/>
          <w:szCs w:val="32"/>
        </w:rPr>
      </w:pPr>
      <w:r>
        <w:rPr>
          <w:rFonts w:hint="eastAsia" w:ascii="仿宋" w:hAnsi="仿宋" w:eastAsia="仿宋" w:cs="仿宋"/>
          <w:bCs/>
          <w:sz w:val="32"/>
          <w:szCs w:val="32"/>
        </w:rPr>
        <w:t>二〇二六年三月</w:t>
      </w:r>
    </w:p>
    <w:p w14:paraId="09DBC3CC">
      <w:pPr>
        <w:spacing w:line="360" w:lineRule="auto"/>
        <w:jc w:val="center"/>
        <w:rPr>
          <w:rFonts w:ascii="仿宋" w:hAnsi="仿宋" w:eastAsia="仿宋" w:cs="仿宋"/>
          <w:sz w:val="24"/>
        </w:rPr>
        <w:sectPr>
          <w:headerReference r:id="rId3" w:type="default"/>
          <w:footerReference r:id="rId4" w:type="default"/>
          <w:pgSz w:w="11906" w:h="16838"/>
          <w:pgMar w:top="1020" w:right="1800" w:bottom="1440" w:left="1800" w:header="851" w:footer="992" w:gutter="0"/>
          <w:cols w:space="425" w:num="1"/>
          <w:docGrid w:type="lines" w:linePitch="312" w:charSpace="0"/>
        </w:sectPr>
      </w:pPr>
    </w:p>
    <w:p w14:paraId="4EF30D73">
      <w:pPr>
        <w:spacing w:line="360" w:lineRule="auto"/>
        <w:jc w:val="center"/>
        <w:rPr>
          <w:rFonts w:ascii="仿宋" w:hAnsi="仿宋" w:eastAsia="仿宋" w:cs="仿宋"/>
          <w:sz w:val="24"/>
        </w:rPr>
      </w:pPr>
    </w:p>
    <w:p w14:paraId="5D57D249">
      <w:pPr>
        <w:spacing w:line="360" w:lineRule="auto"/>
        <w:jc w:val="center"/>
        <w:rPr>
          <w:rFonts w:ascii="仿宋" w:hAnsi="仿宋" w:eastAsia="仿宋" w:cs="仿宋"/>
          <w:sz w:val="24"/>
        </w:rPr>
      </w:pPr>
    </w:p>
    <w:p w14:paraId="0D2B2EBD">
      <w:pPr>
        <w:spacing w:line="360" w:lineRule="auto"/>
        <w:jc w:val="center"/>
        <w:rPr>
          <w:rFonts w:ascii="仿宋" w:hAnsi="仿宋" w:eastAsia="仿宋" w:cs="仿宋"/>
          <w:b/>
          <w:sz w:val="48"/>
          <w:szCs w:val="48"/>
        </w:rPr>
      </w:pPr>
      <w:r>
        <w:rPr>
          <w:rFonts w:hint="eastAsia" w:ascii="仿宋" w:hAnsi="仿宋" w:eastAsia="仿宋" w:cs="仿宋"/>
          <w:b/>
          <w:sz w:val="48"/>
          <w:szCs w:val="48"/>
        </w:rPr>
        <w:t>目  录</w:t>
      </w:r>
    </w:p>
    <w:p w14:paraId="4CACB192">
      <w:pPr>
        <w:spacing w:line="360" w:lineRule="auto"/>
        <w:rPr>
          <w:rFonts w:ascii="仿宋" w:hAnsi="仿宋" w:eastAsia="仿宋" w:cs="仿宋"/>
          <w:sz w:val="32"/>
          <w:szCs w:val="32"/>
        </w:rPr>
      </w:pPr>
    </w:p>
    <w:p w14:paraId="18250EA0">
      <w:pPr>
        <w:spacing w:line="360" w:lineRule="auto"/>
        <w:rPr>
          <w:rFonts w:ascii="仿宋" w:hAnsi="仿宋" w:eastAsia="仿宋" w:cs="仿宋"/>
          <w:sz w:val="32"/>
          <w:szCs w:val="32"/>
        </w:rPr>
      </w:pPr>
    </w:p>
    <w:p w14:paraId="60AEC8C5">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第一部分  采购公告</w:t>
      </w:r>
    </w:p>
    <w:p w14:paraId="2C5913B2">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第二部分  供应商须知</w:t>
      </w:r>
    </w:p>
    <w:p w14:paraId="70555D3E">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第三部分  采购需求</w:t>
      </w:r>
    </w:p>
    <w:p w14:paraId="15E6FB9A">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第四部分  拟签订的合同文本</w:t>
      </w:r>
    </w:p>
    <w:p w14:paraId="594F01F5">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第五部分  应提交的有关格式范例</w:t>
      </w:r>
    </w:p>
    <w:p w14:paraId="470B0AFD">
      <w:pPr>
        <w:spacing w:line="360" w:lineRule="auto"/>
        <w:ind w:firstLine="1280" w:firstLineChars="400"/>
        <w:rPr>
          <w:rFonts w:ascii="仿宋" w:hAnsi="仿宋" w:eastAsia="仿宋" w:cs="仿宋"/>
          <w:sz w:val="32"/>
          <w:szCs w:val="32"/>
        </w:rPr>
      </w:pPr>
      <w:bookmarkStart w:id="0" w:name="_Hlt91233176"/>
      <w:bookmarkEnd w:id="0"/>
      <w:r>
        <w:rPr>
          <w:rFonts w:hint="eastAsia" w:ascii="仿宋" w:hAnsi="仿宋" w:eastAsia="仿宋" w:cs="仿宋"/>
          <w:sz w:val="32"/>
          <w:szCs w:val="32"/>
        </w:rPr>
        <w:t>第六部分  评审办法</w:t>
      </w:r>
    </w:p>
    <w:p w14:paraId="0DB176D6">
      <w:pPr>
        <w:spacing w:line="360" w:lineRule="auto"/>
        <w:ind w:firstLine="549" w:firstLineChars="229"/>
        <w:rPr>
          <w:rFonts w:ascii="仿宋" w:hAnsi="仿宋" w:eastAsia="仿宋" w:cs="仿宋"/>
          <w:sz w:val="24"/>
        </w:rPr>
      </w:pPr>
    </w:p>
    <w:p w14:paraId="6C28AAEF">
      <w:pPr>
        <w:spacing w:line="360" w:lineRule="auto"/>
        <w:ind w:firstLine="549" w:firstLineChars="229"/>
        <w:rPr>
          <w:rFonts w:ascii="仿宋" w:hAnsi="仿宋" w:eastAsia="仿宋" w:cs="仿宋"/>
          <w:sz w:val="24"/>
        </w:rPr>
      </w:pPr>
    </w:p>
    <w:p w14:paraId="6F327FB1">
      <w:pPr>
        <w:spacing w:line="360" w:lineRule="auto"/>
        <w:ind w:firstLine="549" w:firstLineChars="229"/>
        <w:rPr>
          <w:rFonts w:ascii="仿宋" w:hAnsi="仿宋" w:eastAsia="仿宋" w:cs="仿宋"/>
          <w:sz w:val="24"/>
        </w:rPr>
      </w:pPr>
    </w:p>
    <w:p w14:paraId="7F59A6A7">
      <w:pPr>
        <w:spacing w:line="360" w:lineRule="auto"/>
        <w:ind w:firstLine="549" w:firstLineChars="229"/>
        <w:rPr>
          <w:rFonts w:ascii="仿宋" w:hAnsi="仿宋" w:eastAsia="仿宋" w:cs="仿宋"/>
          <w:sz w:val="24"/>
        </w:rPr>
      </w:pPr>
    </w:p>
    <w:p w14:paraId="2D5B5087">
      <w:pPr>
        <w:spacing w:line="360" w:lineRule="auto"/>
        <w:ind w:firstLine="549" w:firstLineChars="229"/>
        <w:rPr>
          <w:rFonts w:ascii="仿宋" w:hAnsi="仿宋" w:eastAsia="仿宋" w:cs="仿宋"/>
          <w:sz w:val="24"/>
        </w:rPr>
      </w:pPr>
    </w:p>
    <w:p w14:paraId="232D0843">
      <w:pPr>
        <w:spacing w:line="360" w:lineRule="auto"/>
        <w:ind w:firstLine="549" w:firstLineChars="229"/>
        <w:rPr>
          <w:rFonts w:ascii="仿宋" w:hAnsi="仿宋" w:eastAsia="仿宋" w:cs="仿宋"/>
          <w:sz w:val="24"/>
        </w:rPr>
      </w:pPr>
    </w:p>
    <w:p w14:paraId="11A2B52E">
      <w:pPr>
        <w:adjustRightInd/>
        <w:spacing w:line="360" w:lineRule="auto"/>
        <w:jc w:val="center"/>
        <w:outlineLvl w:val="0"/>
        <w:rPr>
          <w:rFonts w:ascii="仿宋" w:hAnsi="仿宋" w:eastAsia="仿宋" w:cs="仿宋"/>
          <w:b/>
          <w:sz w:val="36"/>
          <w:szCs w:val="20"/>
        </w:rPr>
        <w:sectPr>
          <w:footerReference r:id="rId5" w:type="default"/>
          <w:pgSz w:w="11906" w:h="16838"/>
          <w:pgMar w:top="1020" w:right="1800" w:bottom="1440" w:left="1800" w:header="851" w:footer="992" w:gutter="0"/>
          <w:pgNumType w:start="1"/>
          <w:cols w:space="425" w:num="1"/>
          <w:docGrid w:type="lines" w:linePitch="312" w:charSpace="0"/>
        </w:sectPr>
      </w:pPr>
    </w:p>
    <w:p w14:paraId="2A0D5A16">
      <w:pPr>
        <w:adjustRightInd/>
        <w:spacing w:line="360" w:lineRule="auto"/>
        <w:jc w:val="center"/>
        <w:outlineLvl w:val="0"/>
        <w:rPr>
          <w:rFonts w:ascii="仿宋" w:hAnsi="仿宋" w:eastAsia="仿宋" w:cs="仿宋"/>
          <w:b/>
          <w:sz w:val="36"/>
          <w:szCs w:val="20"/>
        </w:rPr>
      </w:pPr>
      <w:r>
        <w:rPr>
          <w:rFonts w:hint="eastAsia" w:ascii="仿宋" w:hAnsi="仿宋" w:eastAsia="仿宋" w:cs="仿宋"/>
          <w:b/>
          <w:sz w:val="36"/>
          <w:szCs w:val="20"/>
        </w:rPr>
        <w:t>第一部分  采购公告</w:t>
      </w:r>
    </w:p>
    <w:p w14:paraId="5D45D68E">
      <w:pPr>
        <w:widowControl/>
        <w:snapToGrid w:val="0"/>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u w:val="single"/>
        </w:rPr>
        <w:t>正展建设管理集团有限公司</w:t>
      </w:r>
      <w:r>
        <w:rPr>
          <w:rFonts w:hint="eastAsia" w:ascii="仿宋" w:hAnsi="仿宋" w:eastAsia="仿宋" w:cs="仿宋"/>
          <w:b/>
          <w:bCs/>
          <w:kern w:val="0"/>
          <w:sz w:val="28"/>
          <w:szCs w:val="28"/>
        </w:rPr>
        <w:t>关于</w:t>
      </w:r>
      <w:r>
        <w:rPr>
          <w:rFonts w:hint="eastAsia" w:ascii="仿宋" w:hAnsi="仿宋" w:eastAsia="仿宋" w:cs="仿宋"/>
          <w:b/>
          <w:bCs/>
          <w:kern w:val="0"/>
          <w:sz w:val="28"/>
          <w:szCs w:val="28"/>
          <w:u w:val="single"/>
        </w:rPr>
        <w:t>温州市龙湾中学教学综合楼建设项目第三方工程质量检测服务</w:t>
      </w:r>
      <w:r>
        <w:rPr>
          <w:rFonts w:hint="eastAsia" w:ascii="仿宋" w:hAnsi="仿宋" w:eastAsia="仿宋" w:cs="仿宋"/>
          <w:b/>
          <w:bCs/>
          <w:kern w:val="0"/>
          <w:sz w:val="28"/>
          <w:szCs w:val="28"/>
        </w:rPr>
        <w:t>的竞争性磋商公告</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80"/>
      </w:tblGrid>
      <w:tr w14:paraId="61A68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4" w:hRule="atLeast"/>
        </w:trPr>
        <w:tc>
          <w:tcPr>
            <w:tcW w:w="9680" w:type="dxa"/>
          </w:tcPr>
          <w:p w14:paraId="5B44FA3F">
            <w:pPr>
              <w:widowControl/>
              <w:snapToGrid w:val="0"/>
              <w:spacing w:before="156" w:beforeLines="50" w:line="360" w:lineRule="auto"/>
              <w:jc w:val="left"/>
              <w:rPr>
                <w:rFonts w:ascii="仿宋" w:hAnsi="仿宋" w:eastAsia="仿宋" w:cs="仿宋"/>
                <w:kern w:val="0"/>
                <w:sz w:val="24"/>
              </w:rPr>
            </w:pPr>
            <w:r>
              <w:rPr>
                <w:rFonts w:hint="eastAsia" w:ascii="仿宋" w:hAnsi="仿宋" w:eastAsia="仿宋" w:cs="仿宋"/>
                <w:kern w:val="0"/>
                <w:sz w:val="24"/>
              </w:rPr>
              <w:t>项目概况</w:t>
            </w:r>
          </w:p>
          <w:p w14:paraId="00413BFA">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u w:val="single"/>
              </w:rPr>
              <w:t>温州市龙湾中学教学综合楼建设项目第三方工程质量检测服务</w:t>
            </w:r>
            <w:r>
              <w:rPr>
                <w:rFonts w:hint="eastAsia" w:ascii="仿宋" w:hAnsi="仿宋" w:eastAsia="仿宋" w:cs="仿宋"/>
                <w:kern w:val="0"/>
                <w:sz w:val="24"/>
              </w:rPr>
              <w:t>的潜在供应商应在浙江政采云平台http://www.zcygov.cn/获取（下载）采购文件，并于2026年3月</w:t>
            </w:r>
            <w:r>
              <w:rPr>
                <w:rFonts w:ascii="仿宋" w:hAnsi="仿宋" w:eastAsia="仿宋" w:cs="仿宋"/>
                <w:kern w:val="0"/>
                <w:sz w:val="24"/>
                <w:u w:val="single"/>
              </w:rPr>
              <w:t xml:space="preserve">  </w:t>
            </w:r>
            <w:r>
              <w:rPr>
                <w:rFonts w:hint="eastAsia" w:ascii="仿宋" w:hAnsi="仿宋" w:eastAsia="仿宋" w:cs="仿宋"/>
                <w:kern w:val="0"/>
                <w:sz w:val="24"/>
                <w:u w:val="single"/>
              </w:rPr>
              <w:t xml:space="preserve">日 14 </w:t>
            </w:r>
            <w:r>
              <w:rPr>
                <w:rFonts w:hint="eastAsia" w:ascii="仿宋" w:hAnsi="仿宋" w:eastAsia="仿宋" w:cs="仿宋"/>
                <w:kern w:val="0"/>
                <w:sz w:val="24"/>
              </w:rPr>
              <w:t>:</w:t>
            </w:r>
            <w:r>
              <w:rPr>
                <w:rFonts w:hint="eastAsia" w:ascii="仿宋" w:hAnsi="仿宋" w:eastAsia="仿宋" w:cs="仿宋"/>
                <w:kern w:val="0"/>
                <w:sz w:val="24"/>
                <w:u w:val="single"/>
              </w:rPr>
              <w:t xml:space="preserve"> 30 </w:t>
            </w:r>
            <w:r>
              <w:rPr>
                <w:rFonts w:hint="eastAsia" w:ascii="仿宋" w:hAnsi="仿宋" w:eastAsia="仿宋" w:cs="仿宋"/>
                <w:kern w:val="0"/>
                <w:sz w:val="24"/>
              </w:rPr>
              <w:t>（北京时间）前提交（上传）响应文件。</w:t>
            </w:r>
          </w:p>
        </w:tc>
      </w:tr>
    </w:tbl>
    <w:p w14:paraId="4CA1E952">
      <w:pPr>
        <w:widowControl/>
        <w:snapToGrid w:val="0"/>
        <w:spacing w:line="360" w:lineRule="auto"/>
        <w:rPr>
          <w:rFonts w:ascii="仿宋" w:hAnsi="仿宋" w:eastAsia="仿宋" w:cs="仿宋"/>
          <w:kern w:val="0"/>
          <w:sz w:val="24"/>
        </w:rPr>
      </w:pPr>
      <w:r>
        <w:rPr>
          <w:rFonts w:hint="eastAsia" w:ascii="仿宋" w:hAnsi="仿宋" w:eastAsia="仿宋" w:cs="仿宋"/>
          <w:b/>
          <w:bCs/>
          <w:kern w:val="0"/>
          <w:sz w:val="24"/>
        </w:rPr>
        <w:t>一、项目基本情况</w:t>
      </w:r>
    </w:p>
    <w:p w14:paraId="7A80CE2B">
      <w:pPr>
        <w:widowControl/>
        <w:snapToGrid w:val="0"/>
        <w:spacing w:line="360" w:lineRule="auto"/>
        <w:jc w:val="left"/>
        <w:rPr>
          <w:rFonts w:ascii="仿宋" w:hAnsi="仿宋" w:eastAsia="仿宋" w:cs="仿宋"/>
          <w:kern w:val="0"/>
          <w:sz w:val="24"/>
          <w:u w:val="single"/>
        </w:rPr>
      </w:pPr>
      <w:r>
        <w:rPr>
          <w:rFonts w:hint="eastAsia" w:ascii="仿宋" w:hAnsi="仿宋" w:eastAsia="仿宋" w:cs="仿宋"/>
          <w:kern w:val="0"/>
          <w:sz w:val="24"/>
        </w:rPr>
        <w:t xml:space="preserve">项目编号： </w:t>
      </w:r>
      <w:r>
        <w:rPr>
          <w:rFonts w:hint="eastAsia" w:ascii="仿宋" w:hAnsi="仿宋" w:eastAsia="仿宋" w:cs="仿宋"/>
          <w:kern w:val="0"/>
          <w:sz w:val="24"/>
          <w:lang w:eastAsia="zh-CN"/>
        </w:rPr>
        <w:t>330300261700160000006-ZZJS-2026041501</w:t>
      </w:r>
      <w:r>
        <w:rPr>
          <w:rFonts w:hint="eastAsia" w:ascii="仿宋" w:hAnsi="仿宋" w:eastAsia="仿宋" w:cs="仿宋"/>
          <w:kern w:val="0"/>
          <w:sz w:val="24"/>
        </w:rPr>
        <w:t xml:space="preserve">   </w:t>
      </w:r>
    </w:p>
    <w:p w14:paraId="3A725097">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项目名称：温州市龙湾中学教学综合楼建设项目第三方工程质量检测服务</w:t>
      </w:r>
    </w:p>
    <w:p w14:paraId="4E8A8C31">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预算金额（元）：</w:t>
      </w:r>
      <w:r>
        <w:rPr>
          <w:rFonts w:ascii="仿宋" w:hAnsi="仿宋" w:eastAsia="仿宋" w:cs="仿宋"/>
          <w:kern w:val="0"/>
          <w:sz w:val="24"/>
        </w:rPr>
        <w:t>65</w:t>
      </w:r>
      <w:r>
        <w:rPr>
          <w:rFonts w:hint="eastAsia" w:ascii="仿宋" w:hAnsi="仿宋" w:eastAsia="仿宋" w:cs="仿宋"/>
          <w:kern w:val="0"/>
          <w:sz w:val="24"/>
        </w:rPr>
        <w:t>0000</w:t>
      </w:r>
    </w:p>
    <w:p w14:paraId="34311DC0">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最高限价（元）：</w:t>
      </w:r>
      <w:r>
        <w:rPr>
          <w:rFonts w:ascii="仿宋" w:hAnsi="仿宋" w:eastAsia="仿宋" w:cs="仿宋"/>
          <w:kern w:val="0"/>
          <w:sz w:val="24"/>
        </w:rPr>
        <w:t>65</w:t>
      </w:r>
      <w:r>
        <w:rPr>
          <w:rFonts w:hint="eastAsia" w:ascii="仿宋" w:hAnsi="仿宋" w:eastAsia="仿宋" w:cs="仿宋"/>
          <w:kern w:val="0"/>
          <w:sz w:val="24"/>
        </w:rPr>
        <w:t>0000</w:t>
      </w:r>
    </w:p>
    <w:p w14:paraId="5B4F2272">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采购需求：</w:t>
      </w:r>
    </w:p>
    <w:p w14:paraId="05E94523">
      <w:pPr>
        <w:widowControl/>
        <w:snapToGrid w:val="0"/>
        <w:spacing w:line="360" w:lineRule="auto"/>
        <w:ind w:left="420" w:leftChars="200"/>
        <w:jc w:val="left"/>
        <w:rPr>
          <w:rFonts w:ascii="仿宋" w:hAnsi="仿宋" w:eastAsia="仿宋" w:cs="仿宋"/>
          <w:kern w:val="0"/>
          <w:sz w:val="24"/>
        </w:rPr>
      </w:pPr>
      <w:r>
        <w:rPr>
          <w:rFonts w:hint="eastAsia" w:ascii="仿宋" w:hAnsi="仿宋" w:eastAsia="仿宋" w:cs="仿宋"/>
          <w:kern w:val="0"/>
          <w:sz w:val="24"/>
        </w:rPr>
        <w:t>标项名称:温州市龙湾中学教学综合楼建设项目第三方工程质量检测服务</w:t>
      </w:r>
    </w:p>
    <w:p w14:paraId="610DFB65">
      <w:pPr>
        <w:widowControl/>
        <w:snapToGrid w:val="0"/>
        <w:spacing w:line="360" w:lineRule="auto"/>
        <w:ind w:left="420" w:leftChars="200"/>
        <w:jc w:val="left"/>
        <w:rPr>
          <w:rFonts w:ascii="仿宋" w:hAnsi="仿宋" w:eastAsia="仿宋" w:cs="仿宋"/>
          <w:kern w:val="0"/>
          <w:sz w:val="24"/>
        </w:rPr>
      </w:pPr>
      <w:r>
        <w:rPr>
          <w:rFonts w:hint="eastAsia" w:ascii="仿宋" w:hAnsi="仿宋" w:eastAsia="仿宋" w:cs="仿宋"/>
          <w:kern w:val="0"/>
          <w:sz w:val="24"/>
        </w:rPr>
        <w:t xml:space="preserve">数量:  1  </w:t>
      </w:r>
    </w:p>
    <w:p w14:paraId="70724DEB">
      <w:pPr>
        <w:widowControl/>
        <w:snapToGrid w:val="0"/>
        <w:spacing w:line="360" w:lineRule="auto"/>
        <w:ind w:left="420" w:leftChars="200"/>
        <w:jc w:val="left"/>
        <w:rPr>
          <w:rFonts w:ascii="仿宋" w:hAnsi="仿宋" w:eastAsia="仿宋" w:cs="仿宋"/>
          <w:kern w:val="0"/>
          <w:sz w:val="24"/>
        </w:rPr>
      </w:pPr>
      <w:r>
        <w:rPr>
          <w:rFonts w:hint="eastAsia" w:ascii="仿宋" w:hAnsi="仿宋" w:eastAsia="仿宋" w:cs="仿宋"/>
          <w:kern w:val="0"/>
          <w:sz w:val="24"/>
        </w:rPr>
        <w:t>预算金额（元）:</w:t>
      </w:r>
      <w:r>
        <w:rPr>
          <w:rFonts w:ascii="仿宋" w:hAnsi="仿宋" w:eastAsia="仿宋" w:cs="仿宋"/>
          <w:kern w:val="0"/>
          <w:sz w:val="24"/>
        </w:rPr>
        <w:t>65</w:t>
      </w:r>
      <w:r>
        <w:rPr>
          <w:rFonts w:hint="eastAsia" w:ascii="仿宋" w:hAnsi="仿宋" w:eastAsia="仿宋" w:cs="仿宋"/>
          <w:kern w:val="0"/>
          <w:sz w:val="24"/>
        </w:rPr>
        <w:t xml:space="preserve">0000 </w:t>
      </w:r>
    </w:p>
    <w:p w14:paraId="6C2436B7">
      <w:pPr>
        <w:widowControl/>
        <w:snapToGrid w:val="0"/>
        <w:spacing w:line="360" w:lineRule="auto"/>
        <w:ind w:left="420" w:leftChars="200"/>
        <w:jc w:val="left"/>
        <w:rPr>
          <w:rFonts w:ascii="仿宋" w:hAnsi="仿宋" w:eastAsia="仿宋" w:cs="仿宋"/>
          <w:kern w:val="0"/>
          <w:sz w:val="24"/>
        </w:rPr>
      </w:pPr>
      <w:r>
        <w:rPr>
          <w:rFonts w:hint="eastAsia" w:ascii="仿宋" w:hAnsi="仿宋" w:eastAsia="仿宋" w:cs="仿宋"/>
          <w:kern w:val="0"/>
          <w:sz w:val="24"/>
        </w:rPr>
        <w:t>简要规格描述或项目基本概况介绍、用途：温州市龙湾中学教学综合楼建设项目第三方工程质量检测服务，具体见采购人需求。</w:t>
      </w:r>
    </w:p>
    <w:p w14:paraId="4453FE8B">
      <w:pPr>
        <w:widowControl/>
        <w:snapToGrid w:val="0"/>
        <w:spacing w:line="360" w:lineRule="auto"/>
        <w:ind w:left="420" w:leftChars="200"/>
        <w:jc w:val="left"/>
        <w:rPr>
          <w:rFonts w:ascii="仿宋" w:hAnsi="仿宋" w:eastAsia="仿宋" w:cs="仿宋"/>
          <w:kern w:val="0"/>
          <w:sz w:val="24"/>
        </w:rPr>
      </w:pPr>
      <w:r>
        <w:rPr>
          <w:rFonts w:hint="eastAsia" w:ascii="仿宋" w:hAnsi="仿宋" w:eastAsia="仿宋" w:cs="仿宋"/>
          <w:kern w:val="0"/>
          <w:sz w:val="24"/>
        </w:rPr>
        <w:t xml:space="preserve">备注：  /  </w:t>
      </w:r>
    </w:p>
    <w:p w14:paraId="65590245">
      <w:pPr>
        <w:widowControl/>
        <w:snapToGrid w:val="0"/>
        <w:spacing w:line="360" w:lineRule="auto"/>
        <w:ind w:left="420" w:leftChars="200"/>
        <w:jc w:val="left"/>
        <w:rPr>
          <w:rFonts w:ascii="仿宋" w:hAnsi="仿宋" w:eastAsia="仿宋" w:cs="仿宋"/>
          <w:kern w:val="0"/>
          <w:sz w:val="24"/>
        </w:rPr>
      </w:pPr>
      <w:r>
        <w:rPr>
          <w:rFonts w:hint="eastAsia" w:ascii="仿宋" w:hAnsi="仿宋" w:eastAsia="仿宋" w:cs="仿宋"/>
          <w:kern w:val="0"/>
          <w:sz w:val="24"/>
        </w:rPr>
        <w:t>合同履约期限：标项1，根据采购人要求的内容进场检测，实际检测工作完成后</w:t>
      </w:r>
      <w:r>
        <w:rPr>
          <w:rFonts w:ascii="仿宋" w:hAnsi="仿宋" w:eastAsia="仿宋" w:cs="仿宋"/>
          <w:kern w:val="0"/>
          <w:sz w:val="24"/>
        </w:rPr>
        <w:t>3</w:t>
      </w:r>
      <w:r>
        <w:rPr>
          <w:rFonts w:hint="eastAsia" w:ascii="仿宋" w:hAnsi="仿宋" w:eastAsia="仿宋" w:cs="仿宋"/>
          <w:kern w:val="0"/>
          <w:sz w:val="24"/>
        </w:rPr>
        <w:t>日内提交检测成果报告；具体见采购人需求。</w:t>
      </w:r>
    </w:p>
    <w:p w14:paraId="22B900DD">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本项目（是）接受联合体投标，联合体投标的，联合体成员数量（含牵头人）不超过2个。</w:t>
      </w:r>
    </w:p>
    <w:p w14:paraId="2E62D210">
      <w:pPr>
        <w:widowControl/>
        <w:snapToGrid w:val="0"/>
        <w:spacing w:line="360" w:lineRule="auto"/>
        <w:rPr>
          <w:rFonts w:ascii="仿宋" w:hAnsi="仿宋" w:eastAsia="仿宋" w:cs="仿宋"/>
          <w:kern w:val="0"/>
          <w:sz w:val="24"/>
        </w:rPr>
      </w:pPr>
      <w:r>
        <w:rPr>
          <w:rFonts w:hint="eastAsia" w:ascii="仿宋" w:hAnsi="仿宋" w:eastAsia="仿宋" w:cs="仿宋"/>
          <w:b/>
          <w:bCs/>
          <w:kern w:val="0"/>
          <w:sz w:val="24"/>
        </w:rPr>
        <w:t>二、申请人的资格要求：</w:t>
      </w:r>
    </w:p>
    <w:p w14:paraId="202176FF">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3EDEDD8B">
      <w:pPr>
        <w:widowControl/>
        <w:snapToGrid w:val="0"/>
        <w:spacing w:line="360" w:lineRule="auto"/>
        <w:ind w:firstLine="480" w:firstLineChars="200"/>
        <w:jc w:val="left"/>
        <w:rPr>
          <w:rFonts w:ascii="仿宋" w:hAnsi="仿宋" w:eastAsia="仿宋" w:cs="仿宋"/>
          <w:kern w:val="0"/>
          <w:sz w:val="24"/>
          <w:u w:val="single"/>
        </w:rPr>
      </w:pPr>
      <w:r>
        <w:rPr>
          <w:rFonts w:hint="eastAsia" w:ascii="仿宋" w:hAnsi="仿宋" w:eastAsia="仿宋" w:cs="仿宋"/>
          <w:kern w:val="0"/>
          <w:sz w:val="24"/>
        </w:rPr>
        <w:t>2.落实政府采购政策需满足的资格要求：</w:t>
      </w:r>
      <w:r>
        <w:rPr>
          <w:rFonts w:hint="eastAsia" w:ascii="仿宋" w:hAnsi="仿宋" w:eastAsia="仿宋" w:cs="仿宋"/>
          <w:b/>
          <w:bCs/>
          <w:kern w:val="0"/>
          <w:sz w:val="24"/>
          <w:u w:val="single"/>
        </w:rPr>
        <w:t>本项目整体专门面向中小企业采购（残疾人福利性单位和监狱企业视同小微企业）；如组成联合体的，联合体各方均需为中小企业</w:t>
      </w:r>
      <w:r>
        <w:rPr>
          <w:rFonts w:hint="eastAsia" w:ascii="仿宋" w:hAnsi="仿宋" w:eastAsia="仿宋" w:cs="仿宋"/>
          <w:kern w:val="0"/>
          <w:sz w:val="24"/>
        </w:rPr>
        <w:t>。</w:t>
      </w:r>
    </w:p>
    <w:p w14:paraId="06E5ED39">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3.本项目的特定资格要求：</w:t>
      </w:r>
    </w:p>
    <w:p w14:paraId="3DCA6160">
      <w:pPr>
        <w:widowControl/>
        <w:tabs>
          <w:tab w:val="center" w:pos="4873"/>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（1）投标供应商应满足以下资格要求</w:t>
      </w:r>
      <w:r>
        <w:rPr>
          <w:rFonts w:hint="eastAsia" w:ascii="仿宋" w:hAnsi="仿宋" w:eastAsia="仿宋" w:cs="仿宋"/>
          <w:kern w:val="0"/>
          <w:sz w:val="24"/>
        </w:rPr>
        <w:tab/>
      </w:r>
    </w:p>
    <w:p w14:paraId="18066629">
      <w:pPr>
        <w:widowControl/>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①投标供应商具备建设行政主管部门颁发的检测机构综合资质或专项资质（包括：建筑材料及构配件、主体结构及装饰装修、钢结构、地基基础、建筑节能、市政工程材料）；</w:t>
      </w:r>
    </w:p>
    <w:p w14:paraId="4889F4E8">
      <w:pPr>
        <w:widowControl/>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②投标供应商具有有效期内的省级及以上市场监督管理部门（或质量技术监督部门）颁发的资质认定计量认证证书；</w:t>
      </w:r>
    </w:p>
    <w:p w14:paraId="6F854317">
      <w:pPr>
        <w:widowControl/>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③具备工程勘察综合资质或工程勘察岩土工程专业乙级及以上资质或岩土工程物探测试检测监测乙级及以上资质；</w:t>
      </w:r>
    </w:p>
    <w:p w14:paraId="666BCF40">
      <w:pPr>
        <w:widowControl/>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④浙江省外投标供应商必须持有省外企业进浙承接业务备案证明且在有效期内。</w:t>
      </w:r>
    </w:p>
    <w:p w14:paraId="50FABADE">
      <w:pPr>
        <w:widowControl/>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三、获取（下载）采购文件</w:t>
      </w:r>
    </w:p>
    <w:p w14:paraId="3DDFB0B6">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时间：</w:t>
      </w:r>
      <w:r>
        <w:rPr>
          <w:rFonts w:hint="eastAsia" w:ascii="仿宋" w:hAnsi="仿宋" w:eastAsia="仿宋" w:cs="仿宋"/>
          <w:kern w:val="0"/>
          <w:sz w:val="24"/>
          <w:u w:val="single"/>
        </w:rPr>
        <w:t>公告发出之日</w:t>
      </w:r>
      <w:r>
        <w:rPr>
          <w:rFonts w:hint="eastAsia" w:ascii="仿宋" w:hAnsi="仿宋" w:eastAsia="仿宋" w:cs="仿宋"/>
          <w:kern w:val="0"/>
          <w:sz w:val="24"/>
        </w:rPr>
        <w:t>至</w:t>
      </w:r>
      <w:r>
        <w:rPr>
          <w:rFonts w:hint="eastAsia" w:ascii="仿宋" w:hAnsi="仿宋" w:eastAsia="仿宋" w:cs="仿宋"/>
          <w:kern w:val="0"/>
          <w:sz w:val="24"/>
          <w:u w:val="single"/>
        </w:rPr>
        <w:t>响应文件提交截止时间</w:t>
      </w:r>
      <w:r>
        <w:rPr>
          <w:rFonts w:hint="eastAsia" w:ascii="仿宋" w:hAnsi="仿宋" w:eastAsia="仿宋" w:cs="仿宋"/>
          <w:kern w:val="0"/>
          <w:sz w:val="24"/>
        </w:rPr>
        <w:t>，每天上午00:00至12:00，下午12:00至23:59（北京时间，线上获取法定节假日均可，线下获取文件法定节假日除外）</w:t>
      </w:r>
    </w:p>
    <w:p w14:paraId="498B1CB2">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地点（网址）：浙江政府采购云平台（http://www.zcygov.cn/）。</w:t>
      </w:r>
    </w:p>
    <w:p w14:paraId="78D8A5B0">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方式：供应商登录政采云平台https://www.zcygov.cn/在线申请获取采购文件（进入“项目采购”应用，在获取采购文件菜单中选择项目，申请获取采购文件）</w:t>
      </w:r>
    </w:p>
    <w:p w14:paraId="2A5946A7">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售价（元）：0 </w:t>
      </w:r>
    </w:p>
    <w:p w14:paraId="3DF835EE">
      <w:pPr>
        <w:widowControl/>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四、响应文件提交（上传）</w:t>
      </w:r>
    </w:p>
    <w:p w14:paraId="7639CD50">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u w:val="single"/>
        </w:rPr>
        <w:t>2026</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4</w:t>
      </w:r>
      <w:r>
        <w:rPr>
          <w:rFonts w:hint="eastAsia" w:ascii="仿宋" w:hAnsi="仿宋" w:eastAsia="仿宋" w:cs="仿宋"/>
          <w:kern w:val="0"/>
          <w:sz w:val="24"/>
          <w:u w:val="single"/>
        </w:rPr>
        <w:t>月</w:t>
      </w:r>
      <w:r>
        <w:rPr>
          <w:rFonts w:hint="eastAsia" w:ascii="仿宋" w:hAnsi="仿宋" w:eastAsia="仿宋" w:cs="仿宋"/>
          <w:kern w:val="0"/>
          <w:sz w:val="24"/>
          <w:u w:val="single"/>
          <w:lang w:val="en-US" w:eastAsia="zh-CN"/>
        </w:rPr>
        <w:t>27</w:t>
      </w:r>
      <w:r>
        <w:rPr>
          <w:rFonts w:hint="eastAsia" w:ascii="仿宋" w:hAnsi="仿宋" w:eastAsia="仿宋" w:cs="仿宋"/>
          <w:kern w:val="0"/>
          <w:sz w:val="24"/>
          <w:u w:val="single"/>
        </w:rPr>
        <w:t xml:space="preserve">日14 </w:t>
      </w:r>
      <w:r>
        <w:rPr>
          <w:rFonts w:hint="eastAsia" w:ascii="仿宋" w:hAnsi="仿宋" w:eastAsia="仿宋" w:cs="仿宋"/>
          <w:kern w:val="0"/>
          <w:sz w:val="24"/>
        </w:rPr>
        <w:t>:</w:t>
      </w:r>
      <w:r>
        <w:rPr>
          <w:rFonts w:hint="eastAsia" w:ascii="仿宋" w:hAnsi="仿宋" w:eastAsia="仿宋" w:cs="仿宋"/>
          <w:kern w:val="0"/>
          <w:sz w:val="24"/>
          <w:u w:val="single"/>
        </w:rPr>
        <w:t xml:space="preserve"> 30 </w:t>
      </w:r>
      <w:r>
        <w:rPr>
          <w:rFonts w:hint="eastAsia" w:ascii="仿宋" w:hAnsi="仿宋" w:eastAsia="仿宋" w:cs="仿宋"/>
          <w:kern w:val="0"/>
          <w:sz w:val="24"/>
        </w:rPr>
        <w:t>（北京时间）</w:t>
      </w:r>
    </w:p>
    <w:p w14:paraId="22867ECF">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地点（网址）：在政采云平台（https://www.zcygov.cn/）在线递交。</w:t>
      </w:r>
    </w:p>
    <w:p w14:paraId="1CBB91B6">
      <w:pPr>
        <w:widowControl/>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五、响应文件开启</w:t>
      </w:r>
    </w:p>
    <w:p w14:paraId="62D1A3AB">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开启时间：</w:t>
      </w:r>
      <w:r>
        <w:rPr>
          <w:rFonts w:hint="eastAsia" w:ascii="仿宋" w:hAnsi="仿宋" w:eastAsia="仿宋" w:cs="仿宋"/>
          <w:kern w:val="0"/>
          <w:sz w:val="24"/>
          <w:u w:val="single"/>
        </w:rPr>
        <w:t>2026</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4</w:t>
      </w:r>
      <w:r>
        <w:rPr>
          <w:rFonts w:hint="eastAsia" w:ascii="仿宋" w:hAnsi="仿宋" w:eastAsia="仿宋" w:cs="仿宋"/>
          <w:kern w:val="0"/>
          <w:sz w:val="24"/>
          <w:u w:val="single"/>
        </w:rPr>
        <w:t>月</w:t>
      </w:r>
      <w:r>
        <w:rPr>
          <w:rFonts w:hint="eastAsia" w:ascii="仿宋" w:hAnsi="仿宋" w:eastAsia="仿宋" w:cs="仿宋"/>
          <w:kern w:val="0"/>
          <w:sz w:val="24"/>
          <w:u w:val="single"/>
          <w:lang w:val="en-US" w:eastAsia="zh-CN"/>
        </w:rPr>
        <w:t>27</w:t>
      </w:r>
      <w:r>
        <w:rPr>
          <w:rFonts w:hint="eastAsia" w:ascii="仿宋" w:hAnsi="仿宋" w:eastAsia="仿宋" w:cs="仿宋"/>
          <w:kern w:val="0"/>
          <w:sz w:val="24"/>
          <w:u w:val="single"/>
        </w:rPr>
        <w:t xml:space="preserve">日 14 </w:t>
      </w:r>
      <w:r>
        <w:rPr>
          <w:rFonts w:hint="eastAsia" w:ascii="仿宋" w:hAnsi="仿宋" w:eastAsia="仿宋" w:cs="仿宋"/>
          <w:kern w:val="0"/>
          <w:sz w:val="24"/>
        </w:rPr>
        <w:t>:</w:t>
      </w:r>
      <w:r>
        <w:rPr>
          <w:rFonts w:hint="eastAsia" w:ascii="仿宋" w:hAnsi="仿宋" w:eastAsia="仿宋" w:cs="仿宋"/>
          <w:kern w:val="0"/>
          <w:sz w:val="24"/>
          <w:u w:val="single"/>
        </w:rPr>
        <w:t xml:space="preserve"> 30 </w:t>
      </w:r>
      <w:r>
        <w:rPr>
          <w:rFonts w:hint="eastAsia" w:ascii="仿宋" w:hAnsi="仿宋" w:eastAsia="仿宋" w:cs="仿宋"/>
          <w:kern w:val="0"/>
          <w:sz w:val="24"/>
        </w:rPr>
        <w:t>（北京时间）</w:t>
      </w:r>
    </w:p>
    <w:p w14:paraId="1F80CBF0">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地点（网址）：在政采云平台（https://www.zcygov.cn/）线上开标。</w:t>
      </w:r>
    </w:p>
    <w:p w14:paraId="2B1C707C">
      <w:pPr>
        <w:widowControl/>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六、公告期限</w:t>
      </w:r>
    </w:p>
    <w:p w14:paraId="7D1404A8">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自本公告发布之日起3个工作日。</w:t>
      </w:r>
    </w:p>
    <w:p w14:paraId="0403A968">
      <w:pPr>
        <w:widowControl/>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七、其他补充事宜</w:t>
      </w:r>
    </w:p>
    <w:p w14:paraId="1B869E60">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1.供应商认为采购文件使自己的权益受到损害的，可以自获取采购文件之日或者采购文件公告期限届满之日（公告期限届满后获取采购文件的，以公告期限届满之日为准）起7个工作日内，</w:t>
      </w:r>
      <w:r>
        <w:rPr>
          <w:rFonts w:hint="eastAsia" w:ascii="仿宋" w:hAnsi="仿宋" w:eastAsia="仿宋" w:cs="仿宋"/>
          <w:kern w:val="0"/>
          <w:sz w:val="24"/>
          <w:shd w:val="clear" w:color="auto" w:fill="FFFFFF"/>
        </w:rPr>
        <w:t>对采购文件需求的以书面形式向采购人提出质疑，对其他内容的以书面形式向采购人和采购代理机构提出质疑。</w:t>
      </w:r>
      <w:r>
        <w:rPr>
          <w:rFonts w:hint="eastAsia" w:ascii="仿宋" w:hAnsi="仿宋" w:eastAsia="仿宋" w:cs="仿宋"/>
          <w:kern w:val="0"/>
          <w:sz w:val="24"/>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6768711">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浙江省财政厅关于进一步加大政府采购支持中小企业力度助力扎实稳住经济的通知》(浙财采监〔2022〕8号)、《浙江省财政厅关于进一步发挥政府采购政策功能全力推动经济稳进提质的通知》（浙财采监（2022）3号）、《浙江省财政厅关于进一步促进政府采购公平竞争打造最优营商环境的通知》（浙财采监（2021）22号）已分别于2022年7月1日、2022年1月29日和2022年2月1日开始实施，此前有关规定与上述文件内容不一致的，按上述文件要求执行。</w:t>
      </w:r>
    </w:p>
    <w:p w14:paraId="5C2867DF">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525C7E8">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kern w:val="0"/>
          <w:sz w:val="24"/>
        </w:rPr>
        <w:t>4.其他事项：</w:t>
      </w:r>
      <w:r>
        <w:rPr>
          <w:rFonts w:hint="eastAsia" w:ascii="仿宋" w:hAnsi="仿宋" w:eastAsia="仿宋" w:cs="仿宋"/>
          <w:iCs/>
          <w:kern w:val="0"/>
          <w:sz w:val="24"/>
          <w:u w:val="single"/>
        </w:rPr>
        <w:t>（1）电子招投标：本项目以数据电文形式，依托“政采云平台（www.zcygov.cn）”进行招投标活动，各供应商应按照本项目采购文件和政采云平台的要求编制、加密并递交投标文件，不接受纸质投标文件。</w:t>
      </w:r>
    </w:p>
    <w:p w14:paraId="6572C65A">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（2）投标准备：</w:t>
      </w:r>
    </w:p>
    <w:p w14:paraId="7F3057F0">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1)注册账号--点击“商家入驻”，进行政府采购供应商资料填写，通过审核后可成为正式供应商；</w:t>
      </w:r>
    </w:p>
    <w:p w14:paraId="7CAA8BF1">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2)申领CA数字证书---申领流程详见“浙江政府采购网-下载专区-电子交易客户端-CA驱动和申领流程”：供应商应在开标前完成CA数字证书办理，完成CA数字证书办理预计1-2周左右，各供应商应充分考虑办理时间等因素。</w:t>
      </w:r>
    </w:p>
    <w:p w14:paraId="35C7A333">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办理流程详见:《CA证书办理操作指南》https://helpcenter.zcygov.cn/document/#/document/detail?siteCode=beijing&amp;manualId=795&amp;topicId=4081</w:t>
      </w:r>
    </w:p>
    <w:p w14:paraId="46CC9EBD">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3)安装“政采云电子交易客户端”----供应商通过政采云平台电子投标工具制作投标文件，前往“浙江政府采购网-下载专区-电子交易客户端”进行下载并安装。政采云电子交易客户端：https://customer.zcygov.cn/CA-driver-download</w:t>
      </w:r>
    </w:p>
    <w:p w14:paraId="32F28FE1">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（3）招标文件的获取：使用账号登录或者使用CA登录政采云平台（非政府采购）；进入“项目采购”应用，在获取采购文件菜单中选择项目，获取招标文件。</w:t>
      </w:r>
    </w:p>
    <w:p w14:paraId="1E866EB3">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（4）投标文件的制作：在“政采云电子交易客户端”中完成“填写基本信息”、“导入投标文件”、“标书关联”、“标书检查”、“电子签名”、“生成电子标书”等操作。</w:t>
      </w:r>
    </w:p>
    <w:p w14:paraId="26519934">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（5）投标文件的传输递交：供应商在投标截止时间前将加密的投标文件上传至政采云平台。</w:t>
      </w:r>
    </w:p>
    <w:p w14:paraId="236F2101">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（6）投标文件的解密：供应商按照平台提示和采购文件的规定的时间内完成在线解密。</w:t>
      </w:r>
    </w:p>
    <w:p w14:paraId="7951F748">
      <w:pPr>
        <w:widowControl/>
        <w:snapToGrid w:val="0"/>
        <w:spacing w:line="360" w:lineRule="auto"/>
        <w:ind w:firstLine="480" w:firstLineChars="200"/>
        <w:jc w:val="left"/>
        <w:rPr>
          <w:rFonts w:ascii="仿宋" w:hAnsi="仿宋" w:eastAsia="仿宋" w:cs="仿宋"/>
          <w:iCs/>
          <w:kern w:val="0"/>
          <w:sz w:val="24"/>
          <w:u w:val="single"/>
        </w:rPr>
      </w:pPr>
      <w:r>
        <w:rPr>
          <w:rFonts w:hint="eastAsia" w:ascii="仿宋" w:hAnsi="仿宋" w:eastAsia="仿宋" w:cs="仿宋"/>
          <w:iCs/>
          <w:kern w:val="0"/>
          <w:sz w:val="24"/>
          <w:u w:val="single"/>
        </w:rPr>
        <w:t>（7）具体操作指南：详见政采云平台“服务中心-帮助文档-项目采购-操作流程-电子招投标-政府采购项目电子交易管理操作指南-供应商”：浙江省政府采购项目政采云平台学习专题https://edu.zcygov.cn/luban/e-biding。</w:t>
      </w:r>
    </w:p>
    <w:p w14:paraId="58886FC7">
      <w:pPr>
        <w:widowControl/>
        <w:snapToGrid w:val="0"/>
        <w:spacing w:line="336"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八、凡对本次采购提出询问、质疑、投诉，请按以下方式联系</w:t>
      </w:r>
    </w:p>
    <w:p w14:paraId="0535116B">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1.采购人信息</w:t>
      </w:r>
    </w:p>
    <w:p w14:paraId="5FE9ED77">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 xml:space="preserve">名称：温州市龙湾中学 </w:t>
      </w:r>
    </w:p>
    <w:p w14:paraId="2C47E5E4">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地址：温州市龙湾区永中街道高新大道777号</w:t>
      </w:r>
    </w:p>
    <w:p w14:paraId="5D4B38BD">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项目联系人（询问）：黄老师</w:t>
      </w:r>
    </w:p>
    <w:p w14:paraId="29CC8D7E">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 xml:space="preserve">项目联系方式（询问）：0577-86913256 </w:t>
      </w:r>
    </w:p>
    <w:p w14:paraId="275CE4A8">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质疑联系人：</w:t>
      </w:r>
      <w:r>
        <w:rPr>
          <w:rFonts w:hint="eastAsia" w:ascii="仿宋" w:hAnsi="仿宋" w:eastAsia="仿宋" w:cs="仿宋"/>
          <w:kern w:val="0"/>
          <w:sz w:val="24"/>
          <w:lang w:val="en-US" w:eastAsia="zh-CN"/>
        </w:rPr>
        <w:t>黄先生</w:t>
      </w:r>
      <w:r>
        <w:rPr>
          <w:rFonts w:hint="eastAsia" w:ascii="仿宋" w:hAnsi="仿宋" w:eastAsia="仿宋" w:cs="仿宋"/>
          <w:kern w:val="0"/>
          <w:sz w:val="24"/>
        </w:rPr>
        <w:t xml:space="preserve">  </w:t>
      </w:r>
    </w:p>
    <w:p w14:paraId="31BCB841">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质疑联系方式：0577-86913256</w:t>
      </w:r>
      <w:r>
        <w:rPr>
          <w:rFonts w:ascii="仿宋" w:hAnsi="仿宋" w:eastAsia="仿宋" w:cs="仿宋"/>
          <w:kern w:val="0"/>
          <w:sz w:val="24"/>
        </w:rPr>
        <w:t xml:space="preserve"> </w:t>
      </w:r>
    </w:p>
    <w:p w14:paraId="2FF56A6F">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2.采购代理机构信息</w:t>
      </w:r>
    </w:p>
    <w:p w14:paraId="7500EF79">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名称：正展建设管理集团有限公司</w:t>
      </w:r>
    </w:p>
    <w:p w14:paraId="3FEFFC47">
      <w:pPr>
        <w:widowControl/>
        <w:snapToGrid w:val="0"/>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地址：</w:t>
      </w:r>
      <w:r>
        <w:rPr>
          <w:rFonts w:hint="eastAsia" w:ascii="仿宋" w:hAnsi="仿宋" w:eastAsia="仿宋" w:cs="仿宋"/>
          <w:kern w:val="0"/>
          <w:sz w:val="24"/>
          <w:lang w:eastAsia="zh-CN"/>
        </w:rPr>
        <w:t>温州市龙湾区永中街道繁青路208号龙和大厦东首9楼</w:t>
      </w:r>
    </w:p>
    <w:p w14:paraId="74AE0B6D">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项目联系人（询问）：林侃</w:t>
      </w:r>
    </w:p>
    <w:p w14:paraId="53F95A6B">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项目联系方式（询问）：13566249118</w:t>
      </w:r>
    </w:p>
    <w:p w14:paraId="6CCD405F">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质疑联系人：王先生</w:t>
      </w:r>
    </w:p>
    <w:p w14:paraId="192B5E98">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质疑联系方式：</w:t>
      </w:r>
      <w:r>
        <w:rPr>
          <w:rFonts w:ascii="仿宋" w:hAnsi="仿宋" w:eastAsia="仿宋" w:cs="仿宋"/>
          <w:kern w:val="0"/>
          <w:sz w:val="24"/>
        </w:rPr>
        <w:t>13957705225</w:t>
      </w:r>
    </w:p>
    <w:p w14:paraId="2FD8BE38">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3.同级政府采购监督管理部门</w:t>
      </w:r>
    </w:p>
    <w:p w14:paraId="29062B62">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名称：温州市财政局【浙江省政府采购行政裁决服务中心（温州）】</w:t>
      </w:r>
    </w:p>
    <w:p w14:paraId="6CBB1B8D">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地址：温州市鹿城区滨江街道瓯江路展银大厦1606室</w:t>
      </w:r>
    </w:p>
    <w:p w14:paraId="611CDEF7">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 xml:space="preserve">传真：  /  </w:t>
      </w:r>
    </w:p>
    <w:p w14:paraId="2BA2958E">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联系人：李老师、王老师</w:t>
      </w:r>
    </w:p>
    <w:p w14:paraId="17502AAD">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监督投诉电话：0577-85501561，0577-85501562</w:t>
      </w:r>
    </w:p>
    <w:p w14:paraId="7981EA43">
      <w:pPr>
        <w:widowControl/>
        <w:snapToGrid w:val="0"/>
        <w:spacing w:line="360" w:lineRule="auto"/>
        <w:ind w:firstLine="440" w:firstLineChars="200"/>
        <w:jc w:val="left"/>
        <w:rPr>
          <w:rFonts w:ascii="仿宋" w:hAnsi="仿宋" w:eastAsia="仿宋" w:cs="仿宋"/>
          <w:kern w:val="0"/>
          <w:sz w:val="22"/>
          <w:szCs w:val="22"/>
        </w:rPr>
      </w:pPr>
      <w:r>
        <w:rPr>
          <w:rFonts w:hint="eastAsia" w:ascii="仿宋" w:hAnsi="仿宋" w:eastAsia="仿宋" w:cs="仿宋"/>
          <w:kern w:val="0"/>
          <w:sz w:val="22"/>
          <w:szCs w:val="22"/>
        </w:rPr>
        <w:t>若对项目采购电子交易系统操作有疑问，可登录政采云（</w:t>
      </w:r>
      <w:r>
        <w:fldChar w:fldCharType="begin"/>
      </w:r>
      <w:r>
        <w:instrText xml:space="preserve"> HYPERLINK "https://www.zcygov.cn/" </w:instrText>
      </w:r>
      <w:r>
        <w:fldChar w:fldCharType="separate"/>
      </w:r>
      <w:r>
        <w:rPr>
          <w:rStyle w:val="19"/>
          <w:rFonts w:hint="eastAsia" w:ascii="仿宋" w:hAnsi="仿宋" w:eastAsia="仿宋" w:cs="仿宋"/>
          <w:color w:val="auto"/>
          <w:kern w:val="0"/>
          <w:sz w:val="22"/>
          <w:szCs w:val="22"/>
        </w:rPr>
        <w:t>https://www.zcygov.cn/</w:t>
      </w:r>
      <w:r>
        <w:rPr>
          <w:rStyle w:val="19"/>
          <w:rFonts w:hint="eastAsia" w:ascii="仿宋" w:hAnsi="仿宋" w:eastAsia="仿宋" w:cs="仿宋"/>
          <w:color w:val="auto"/>
          <w:kern w:val="0"/>
          <w:sz w:val="22"/>
          <w:szCs w:val="22"/>
        </w:rPr>
        <w:fldChar w:fldCharType="end"/>
      </w:r>
      <w:r>
        <w:rPr>
          <w:rFonts w:hint="eastAsia" w:ascii="仿宋" w:hAnsi="仿宋" w:eastAsia="仿宋" w:cs="仿宋"/>
          <w:kern w:val="0"/>
          <w:sz w:val="22"/>
          <w:szCs w:val="22"/>
        </w:rPr>
        <w:t>），点击右侧咨询小采，获取采小蜜智能服务管家帮助，或拨打政采云服务热线95763获取热线服务帮助。</w:t>
      </w:r>
    </w:p>
    <w:p w14:paraId="08050E1F">
      <w:pPr>
        <w:widowControl/>
        <w:snapToGrid w:val="0"/>
        <w:spacing w:line="360" w:lineRule="auto"/>
        <w:ind w:firstLine="440" w:firstLineChars="200"/>
        <w:jc w:val="left"/>
        <w:rPr>
          <w:rFonts w:ascii="仿宋" w:hAnsi="仿宋" w:eastAsia="仿宋" w:cs="仿宋"/>
          <w:sz w:val="24"/>
        </w:rPr>
      </w:pPr>
      <w:r>
        <w:rPr>
          <w:rFonts w:hint="eastAsia" w:ascii="仿宋" w:hAnsi="仿宋" w:eastAsia="仿宋" w:cs="仿宋"/>
          <w:kern w:val="0"/>
          <w:sz w:val="22"/>
          <w:szCs w:val="22"/>
        </w:rPr>
        <w:t>CA问题联系电话（人工）：汇信CA400-888-4636；天谷CA400-087-8198。</w:t>
      </w:r>
      <w:r>
        <w:rPr>
          <w:rFonts w:hint="eastAsia" w:ascii="仿宋" w:hAnsi="仿宋" w:eastAsia="仿宋" w:cs="仿宋"/>
          <w:sz w:val="24"/>
        </w:rPr>
        <w:br w:type="page"/>
      </w:r>
    </w:p>
    <w:p w14:paraId="44FB5F74">
      <w:pPr>
        <w:widowControl/>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第二部分 供应商须知</w:t>
      </w:r>
    </w:p>
    <w:p w14:paraId="7A89B4B6">
      <w:pPr>
        <w:widowControl/>
        <w:snapToGrid w:val="0"/>
        <w:spacing w:line="360" w:lineRule="auto"/>
        <w:jc w:val="center"/>
        <w:outlineLvl w:val="1"/>
        <w:rPr>
          <w:rFonts w:ascii="仿宋" w:hAnsi="仿宋" w:eastAsia="仿宋" w:cs="仿宋"/>
          <w:b/>
          <w:sz w:val="28"/>
          <w:szCs w:val="28"/>
        </w:rPr>
      </w:pPr>
      <w:bookmarkStart w:id="1" w:name="_Toc221356883"/>
      <w:bookmarkStart w:id="2" w:name="_Toc222114876"/>
      <w:bookmarkStart w:id="3" w:name="_Toc34508130"/>
      <w:bookmarkStart w:id="4" w:name="_Toc265529380"/>
      <w:bookmarkStart w:id="5" w:name="_Toc221423616"/>
      <w:bookmarkStart w:id="6" w:name="_Toc239145351"/>
      <w:bookmarkStart w:id="7" w:name="_Toc221356948"/>
      <w:bookmarkStart w:id="8" w:name="_Toc241404199"/>
      <w:bookmarkStart w:id="9" w:name="_Toc221374623"/>
      <w:bookmarkStart w:id="10" w:name="_Toc223715995"/>
      <w:r>
        <w:rPr>
          <w:rFonts w:hint="eastAsia" w:ascii="仿宋" w:hAnsi="仿宋" w:eastAsia="仿宋" w:cs="仿宋"/>
          <w:b/>
          <w:sz w:val="28"/>
          <w:szCs w:val="28"/>
        </w:rPr>
        <w:t>供应商须知前附表</w:t>
      </w:r>
    </w:p>
    <w:tbl>
      <w:tblPr>
        <w:tblStyle w:val="16"/>
        <w:tblW w:w="8996" w:type="dxa"/>
        <w:jc w:val="center"/>
        <w:tblLayout w:type="fixed"/>
        <w:tblCellMar>
          <w:top w:w="0" w:type="dxa"/>
          <w:left w:w="108" w:type="dxa"/>
          <w:bottom w:w="0" w:type="dxa"/>
          <w:right w:w="108" w:type="dxa"/>
        </w:tblCellMar>
      </w:tblPr>
      <w:tblGrid>
        <w:gridCol w:w="1048"/>
        <w:gridCol w:w="1687"/>
        <w:gridCol w:w="826"/>
        <w:gridCol w:w="670"/>
        <w:gridCol w:w="889"/>
        <w:gridCol w:w="782"/>
        <w:gridCol w:w="1200"/>
        <w:gridCol w:w="1179"/>
        <w:gridCol w:w="715"/>
      </w:tblGrid>
      <w:tr w14:paraId="5DB35EF4">
        <w:tblPrEx>
          <w:tblCellMar>
            <w:top w:w="0" w:type="dxa"/>
            <w:left w:w="108" w:type="dxa"/>
            <w:bottom w:w="0" w:type="dxa"/>
            <w:right w:w="108" w:type="dxa"/>
          </w:tblCellMar>
        </w:tblPrEx>
        <w:trPr>
          <w:trHeight w:val="680" w:hRule="atLeast"/>
          <w:tblHeader/>
          <w:jc w:val="center"/>
        </w:trPr>
        <w:tc>
          <w:tcPr>
            <w:tcW w:w="1048" w:type="dxa"/>
            <w:tcBorders>
              <w:top w:val="single" w:color="auto" w:sz="4" w:space="0"/>
              <w:left w:val="single" w:color="auto" w:sz="4" w:space="0"/>
              <w:bottom w:val="single" w:color="auto" w:sz="4" w:space="0"/>
              <w:right w:val="single" w:color="auto" w:sz="4" w:space="0"/>
            </w:tcBorders>
            <w:vAlign w:val="center"/>
          </w:tcPr>
          <w:p w14:paraId="0FE6A694">
            <w:pPr>
              <w:snapToGrid w:val="0"/>
              <w:jc w:val="center"/>
              <w:rPr>
                <w:rFonts w:ascii="仿宋" w:hAnsi="仿宋" w:eastAsia="仿宋" w:cs="仿宋"/>
                <w:kern w:val="0"/>
                <w:sz w:val="24"/>
              </w:rPr>
            </w:pPr>
            <w:r>
              <w:rPr>
                <w:rFonts w:hint="eastAsia" w:ascii="仿宋" w:hAnsi="仿宋" w:eastAsia="仿宋" w:cs="仿宋"/>
                <w:kern w:val="0"/>
                <w:sz w:val="24"/>
              </w:rPr>
              <w:t>条款号</w:t>
            </w:r>
          </w:p>
        </w:tc>
        <w:tc>
          <w:tcPr>
            <w:tcW w:w="1687" w:type="dxa"/>
            <w:tcBorders>
              <w:top w:val="single" w:color="auto" w:sz="4" w:space="0"/>
              <w:left w:val="single" w:color="auto" w:sz="4" w:space="0"/>
              <w:bottom w:val="single" w:color="auto" w:sz="4" w:space="0"/>
              <w:right w:val="single" w:color="auto" w:sz="4" w:space="0"/>
            </w:tcBorders>
            <w:vAlign w:val="center"/>
          </w:tcPr>
          <w:p w14:paraId="1E912401">
            <w:pPr>
              <w:snapToGrid w:val="0"/>
              <w:jc w:val="center"/>
              <w:rPr>
                <w:rFonts w:ascii="仿宋" w:hAnsi="仿宋" w:eastAsia="仿宋" w:cs="仿宋"/>
                <w:kern w:val="0"/>
                <w:sz w:val="24"/>
              </w:rPr>
            </w:pPr>
            <w:r>
              <w:rPr>
                <w:rFonts w:hint="eastAsia" w:ascii="仿宋" w:hAnsi="仿宋" w:eastAsia="仿宋" w:cs="仿宋"/>
                <w:kern w:val="0"/>
                <w:sz w:val="24"/>
              </w:rPr>
              <w:t>条款名称</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411F0298">
            <w:pPr>
              <w:snapToGrid w:val="0"/>
              <w:jc w:val="center"/>
              <w:rPr>
                <w:rFonts w:ascii="仿宋" w:hAnsi="仿宋" w:eastAsia="仿宋" w:cs="仿宋"/>
                <w:kern w:val="0"/>
                <w:sz w:val="24"/>
              </w:rPr>
            </w:pPr>
            <w:r>
              <w:rPr>
                <w:rFonts w:hint="eastAsia" w:ascii="仿宋" w:hAnsi="仿宋" w:eastAsia="仿宋" w:cs="仿宋"/>
                <w:kern w:val="0"/>
                <w:sz w:val="24"/>
              </w:rPr>
              <w:t>编列内容</w:t>
            </w:r>
          </w:p>
        </w:tc>
      </w:tr>
      <w:tr w14:paraId="3B3DDD07">
        <w:tblPrEx>
          <w:tblCellMar>
            <w:top w:w="0" w:type="dxa"/>
            <w:left w:w="108" w:type="dxa"/>
            <w:bottom w:w="0" w:type="dxa"/>
            <w:right w:w="108" w:type="dxa"/>
          </w:tblCellMar>
        </w:tblPrEx>
        <w:trPr>
          <w:trHeight w:val="808" w:hRule="atLeast"/>
          <w:jc w:val="center"/>
        </w:trPr>
        <w:tc>
          <w:tcPr>
            <w:tcW w:w="1048" w:type="dxa"/>
            <w:vMerge w:val="restart"/>
            <w:tcBorders>
              <w:top w:val="single" w:color="auto" w:sz="4" w:space="0"/>
              <w:left w:val="single" w:color="auto" w:sz="4" w:space="0"/>
              <w:right w:val="single" w:color="auto" w:sz="4" w:space="0"/>
            </w:tcBorders>
            <w:vAlign w:val="center"/>
          </w:tcPr>
          <w:p w14:paraId="454E9965">
            <w:pPr>
              <w:snapToGrid w:val="0"/>
              <w:jc w:val="center"/>
              <w:rPr>
                <w:rFonts w:ascii="仿宋" w:hAnsi="仿宋" w:eastAsia="仿宋" w:cs="仿宋"/>
                <w:kern w:val="0"/>
                <w:sz w:val="24"/>
              </w:rPr>
            </w:pPr>
            <w:r>
              <w:rPr>
                <w:rFonts w:hint="eastAsia" w:ascii="仿宋" w:hAnsi="仿宋" w:eastAsia="仿宋" w:cs="仿宋"/>
                <w:kern w:val="0"/>
                <w:sz w:val="24"/>
              </w:rPr>
              <w:t>2.1</w:t>
            </w:r>
          </w:p>
        </w:tc>
        <w:tc>
          <w:tcPr>
            <w:tcW w:w="1687" w:type="dxa"/>
            <w:vMerge w:val="restart"/>
            <w:tcBorders>
              <w:top w:val="single" w:color="auto" w:sz="4" w:space="0"/>
              <w:left w:val="single" w:color="auto" w:sz="4" w:space="0"/>
              <w:right w:val="single" w:color="auto" w:sz="4" w:space="0"/>
            </w:tcBorders>
            <w:vAlign w:val="center"/>
          </w:tcPr>
          <w:p w14:paraId="735FA0F6">
            <w:pPr>
              <w:snapToGrid w:val="0"/>
              <w:jc w:val="center"/>
              <w:rPr>
                <w:rFonts w:ascii="仿宋" w:hAnsi="仿宋" w:eastAsia="仿宋" w:cs="仿宋"/>
                <w:kern w:val="0"/>
                <w:sz w:val="24"/>
              </w:rPr>
            </w:pPr>
            <w:r>
              <w:rPr>
                <w:rFonts w:hint="eastAsia" w:ascii="仿宋" w:hAnsi="仿宋" w:eastAsia="仿宋" w:cs="仿宋"/>
                <w:kern w:val="0"/>
                <w:sz w:val="24"/>
              </w:rPr>
              <w:t>行业划分</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36AF0570">
            <w:pPr>
              <w:snapToGrid w:val="0"/>
              <w:rPr>
                <w:rFonts w:ascii="仿宋" w:hAnsi="仿宋" w:eastAsia="仿宋" w:cs="仿宋"/>
                <w:kern w:val="0"/>
                <w:sz w:val="24"/>
              </w:rPr>
            </w:pPr>
            <w:r>
              <w:rPr>
                <w:rFonts w:hint="eastAsia" w:ascii="仿宋" w:hAnsi="仿宋" w:eastAsia="仿宋" w:cs="仿宋"/>
                <w:kern w:val="0"/>
                <w:sz w:val="24"/>
              </w:rPr>
              <w:t>采购标的对应的中小企业划分标准所属行业：</w:t>
            </w:r>
          </w:p>
          <w:p w14:paraId="73706E21">
            <w:pPr>
              <w:snapToGrid w:val="0"/>
              <w:ind w:firstLine="240" w:firstLineChars="100"/>
              <w:rPr>
                <w:rFonts w:ascii="仿宋" w:hAnsi="仿宋" w:eastAsia="仿宋" w:cs="仿宋"/>
                <w:kern w:val="0"/>
                <w:sz w:val="24"/>
              </w:rPr>
            </w:pPr>
            <w:r>
              <w:rPr>
                <w:rFonts w:hint="eastAsia" w:ascii="仿宋" w:hAnsi="仿宋" w:eastAsia="仿宋" w:cs="仿宋"/>
                <w:kern w:val="0"/>
                <w:sz w:val="24"/>
              </w:rPr>
              <w:t>（1）标的：</w:t>
            </w:r>
            <w:r>
              <w:rPr>
                <w:rFonts w:hint="eastAsia" w:ascii="仿宋" w:hAnsi="仿宋" w:eastAsia="仿宋" w:cs="仿宋"/>
                <w:kern w:val="0"/>
                <w:sz w:val="24"/>
                <w:u w:val="single"/>
              </w:rPr>
              <w:t>温州市龙湾中学教学综合楼建设项目第三方工程质量检测服务</w:t>
            </w:r>
            <w:r>
              <w:rPr>
                <w:rFonts w:hint="eastAsia" w:ascii="仿宋" w:hAnsi="仿宋" w:eastAsia="仿宋" w:cs="仿宋"/>
                <w:kern w:val="0"/>
                <w:sz w:val="24"/>
              </w:rPr>
              <w:t>，属于</w:t>
            </w:r>
            <w:r>
              <w:rPr>
                <w:rFonts w:hint="eastAsia" w:ascii="仿宋" w:hAnsi="仿宋" w:eastAsia="仿宋" w:cs="仿宋"/>
                <w:kern w:val="0"/>
                <w:sz w:val="24"/>
                <w:u w:val="single"/>
              </w:rPr>
              <w:t xml:space="preserve"> </w:t>
            </w:r>
            <w:r>
              <w:rPr>
                <w:rFonts w:hint="eastAsia" w:ascii="黑体" w:hAnsi="黑体" w:eastAsia="黑体" w:cs="仿宋"/>
                <w:b/>
                <w:bCs/>
                <w:kern w:val="0"/>
                <w:sz w:val="24"/>
                <w:u w:val="single"/>
              </w:rPr>
              <w:t>其他未列明行业</w:t>
            </w:r>
            <w:r>
              <w:rPr>
                <w:rFonts w:hint="eastAsia" w:ascii="仿宋" w:hAnsi="仿宋" w:eastAsia="仿宋" w:cs="仿宋"/>
                <w:kern w:val="0"/>
                <w:sz w:val="24"/>
                <w:u w:val="single"/>
              </w:rPr>
              <w:t xml:space="preserve"> </w:t>
            </w:r>
            <w:r>
              <w:rPr>
                <w:rFonts w:hint="eastAsia" w:ascii="仿宋" w:hAnsi="仿宋" w:eastAsia="仿宋" w:cs="仿宋"/>
                <w:kern w:val="0"/>
                <w:sz w:val="24"/>
              </w:rPr>
              <w:t>行业；中小企业划型标准如下：</w:t>
            </w:r>
          </w:p>
        </w:tc>
      </w:tr>
      <w:tr w14:paraId="475AD50B">
        <w:tblPrEx>
          <w:tblCellMar>
            <w:top w:w="0" w:type="dxa"/>
            <w:left w:w="108" w:type="dxa"/>
            <w:bottom w:w="0" w:type="dxa"/>
            <w:right w:w="108" w:type="dxa"/>
          </w:tblCellMar>
        </w:tblPrEx>
        <w:trPr>
          <w:trHeight w:val="185" w:hRule="atLeast"/>
          <w:jc w:val="center"/>
        </w:trPr>
        <w:tc>
          <w:tcPr>
            <w:tcW w:w="1048" w:type="dxa"/>
            <w:vMerge w:val="continue"/>
            <w:tcBorders>
              <w:left w:val="single" w:color="auto" w:sz="4" w:space="0"/>
              <w:bottom w:val="single" w:color="auto" w:sz="4" w:space="0"/>
              <w:right w:val="single" w:color="auto" w:sz="4" w:space="0"/>
            </w:tcBorders>
            <w:vAlign w:val="center"/>
          </w:tcPr>
          <w:p w14:paraId="4F5524E4">
            <w:pPr>
              <w:snapToGrid w:val="0"/>
              <w:jc w:val="center"/>
              <w:rPr>
                <w:rFonts w:ascii="仿宋" w:hAnsi="仿宋" w:eastAsia="仿宋" w:cs="仿宋"/>
                <w:kern w:val="0"/>
                <w:sz w:val="24"/>
              </w:rPr>
            </w:pPr>
          </w:p>
        </w:tc>
        <w:tc>
          <w:tcPr>
            <w:tcW w:w="1687" w:type="dxa"/>
            <w:vMerge w:val="continue"/>
            <w:tcBorders>
              <w:left w:val="single" w:color="auto" w:sz="4" w:space="0"/>
              <w:bottom w:val="single" w:color="auto" w:sz="4" w:space="0"/>
              <w:right w:val="single" w:color="auto" w:sz="4" w:space="0"/>
            </w:tcBorders>
            <w:vAlign w:val="center"/>
          </w:tcPr>
          <w:p w14:paraId="10752662">
            <w:pPr>
              <w:snapToGrid w:val="0"/>
              <w:jc w:val="center"/>
              <w:rPr>
                <w:rFonts w:ascii="仿宋" w:hAnsi="仿宋" w:eastAsia="仿宋" w:cs="仿宋"/>
                <w:kern w:val="0"/>
                <w:sz w:val="24"/>
              </w:rPr>
            </w:pPr>
          </w:p>
        </w:tc>
        <w:tc>
          <w:tcPr>
            <w:tcW w:w="826" w:type="dxa"/>
            <w:tcBorders>
              <w:top w:val="single" w:color="auto" w:sz="4" w:space="0"/>
              <w:left w:val="single" w:color="auto" w:sz="4" w:space="0"/>
              <w:bottom w:val="single" w:color="auto" w:sz="4" w:space="0"/>
              <w:right w:val="single" w:color="auto" w:sz="4" w:space="0"/>
            </w:tcBorders>
            <w:vAlign w:val="center"/>
          </w:tcPr>
          <w:p w14:paraId="794E3220">
            <w:pPr>
              <w:pStyle w:val="6"/>
              <w:spacing w:after="0" w:line="320" w:lineRule="exact"/>
              <w:ind w:firstLine="0" w:firstLineChars="0"/>
              <w:jc w:val="center"/>
              <w:rPr>
                <w:rFonts w:ascii="仿宋" w:hAnsi="仿宋" w:eastAsia="仿宋" w:cs="仿宋"/>
                <w:kern w:val="0"/>
                <w:szCs w:val="21"/>
              </w:rPr>
            </w:pPr>
            <w:r>
              <w:rPr>
                <w:rFonts w:hint="eastAsia" w:ascii="仿宋" w:hAnsi="仿宋" w:eastAsia="仿宋" w:cs="仿宋"/>
                <w:bCs/>
                <w:szCs w:val="21"/>
              </w:rPr>
              <w:t>行业名称</w:t>
            </w:r>
          </w:p>
        </w:tc>
        <w:tc>
          <w:tcPr>
            <w:tcW w:w="670" w:type="dxa"/>
            <w:tcBorders>
              <w:top w:val="single" w:color="auto" w:sz="4" w:space="0"/>
              <w:left w:val="single" w:color="auto" w:sz="4" w:space="0"/>
              <w:bottom w:val="single" w:color="auto" w:sz="4" w:space="0"/>
              <w:right w:val="single" w:color="auto" w:sz="4" w:space="0"/>
            </w:tcBorders>
            <w:vAlign w:val="center"/>
          </w:tcPr>
          <w:p w14:paraId="47E5DC20">
            <w:pPr>
              <w:pStyle w:val="6"/>
              <w:spacing w:after="0" w:line="320" w:lineRule="exact"/>
              <w:ind w:firstLine="0" w:firstLineChars="0"/>
              <w:jc w:val="center"/>
              <w:rPr>
                <w:rFonts w:ascii="仿宋" w:hAnsi="仿宋" w:eastAsia="仿宋" w:cs="仿宋"/>
                <w:kern w:val="0"/>
                <w:szCs w:val="21"/>
              </w:rPr>
            </w:pPr>
            <w:r>
              <w:rPr>
                <w:rFonts w:hint="eastAsia" w:ascii="仿宋" w:hAnsi="仿宋" w:eastAsia="仿宋" w:cs="仿宋"/>
                <w:bCs/>
                <w:szCs w:val="21"/>
              </w:rPr>
              <w:t>指标名称</w:t>
            </w:r>
          </w:p>
        </w:tc>
        <w:tc>
          <w:tcPr>
            <w:tcW w:w="889" w:type="dxa"/>
            <w:tcBorders>
              <w:top w:val="single" w:color="auto" w:sz="4" w:space="0"/>
              <w:left w:val="single" w:color="auto" w:sz="4" w:space="0"/>
              <w:bottom w:val="single" w:color="auto" w:sz="4" w:space="0"/>
              <w:right w:val="single" w:color="auto" w:sz="4" w:space="0"/>
            </w:tcBorders>
            <w:vAlign w:val="center"/>
          </w:tcPr>
          <w:p w14:paraId="583AA40C">
            <w:pPr>
              <w:pStyle w:val="6"/>
              <w:spacing w:after="0" w:line="320" w:lineRule="exact"/>
              <w:ind w:firstLine="0" w:firstLineChars="0"/>
              <w:jc w:val="center"/>
              <w:rPr>
                <w:rFonts w:ascii="仿宋" w:hAnsi="仿宋" w:eastAsia="仿宋" w:cs="仿宋"/>
                <w:kern w:val="0"/>
                <w:szCs w:val="21"/>
              </w:rPr>
            </w:pPr>
            <w:r>
              <w:rPr>
                <w:rFonts w:hint="eastAsia" w:ascii="仿宋" w:hAnsi="仿宋" w:eastAsia="仿宋" w:cs="仿宋"/>
                <w:bCs/>
                <w:szCs w:val="21"/>
              </w:rPr>
              <w:t>计量单位</w:t>
            </w:r>
          </w:p>
        </w:tc>
        <w:tc>
          <w:tcPr>
            <w:tcW w:w="782" w:type="dxa"/>
            <w:tcBorders>
              <w:top w:val="single" w:color="auto" w:sz="4" w:space="0"/>
              <w:left w:val="single" w:color="auto" w:sz="4" w:space="0"/>
              <w:bottom w:val="single" w:color="auto" w:sz="4" w:space="0"/>
              <w:right w:val="single" w:color="auto" w:sz="4" w:space="0"/>
            </w:tcBorders>
            <w:vAlign w:val="center"/>
          </w:tcPr>
          <w:p w14:paraId="5CB433D4">
            <w:pPr>
              <w:pStyle w:val="6"/>
              <w:spacing w:after="0" w:line="320" w:lineRule="exact"/>
              <w:ind w:firstLine="0" w:firstLineChars="0"/>
              <w:jc w:val="center"/>
              <w:rPr>
                <w:rFonts w:ascii="仿宋" w:hAnsi="仿宋" w:eastAsia="仿宋" w:cs="仿宋"/>
                <w:kern w:val="0"/>
                <w:szCs w:val="21"/>
              </w:rPr>
            </w:pPr>
            <w:r>
              <w:rPr>
                <w:rFonts w:hint="eastAsia" w:ascii="仿宋" w:hAnsi="仿宋" w:eastAsia="仿宋" w:cs="仿宋"/>
                <w:bCs/>
                <w:szCs w:val="21"/>
              </w:rPr>
              <w:t>大型</w:t>
            </w:r>
          </w:p>
        </w:tc>
        <w:tc>
          <w:tcPr>
            <w:tcW w:w="1200" w:type="dxa"/>
            <w:tcBorders>
              <w:top w:val="single" w:color="auto" w:sz="4" w:space="0"/>
              <w:left w:val="single" w:color="auto" w:sz="4" w:space="0"/>
              <w:bottom w:val="single" w:color="auto" w:sz="4" w:space="0"/>
              <w:right w:val="single" w:color="auto" w:sz="4" w:space="0"/>
            </w:tcBorders>
            <w:vAlign w:val="center"/>
          </w:tcPr>
          <w:p w14:paraId="08353332">
            <w:pPr>
              <w:pStyle w:val="6"/>
              <w:spacing w:after="0" w:line="320" w:lineRule="exact"/>
              <w:ind w:firstLine="0" w:firstLineChars="0"/>
              <w:jc w:val="center"/>
              <w:rPr>
                <w:rFonts w:ascii="黑体" w:hAnsi="黑体" w:eastAsia="黑体" w:cs="仿宋"/>
                <w:b/>
                <w:kern w:val="0"/>
                <w:szCs w:val="21"/>
              </w:rPr>
            </w:pPr>
            <w:r>
              <w:rPr>
                <w:rFonts w:hint="eastAsia" w:ascii="黑体" w:hAnsi="黑体" w:eastAsia="黑体" w:cs="仿宋"/>
                <w:b/>
                <w:szCs w:val="21"/>
              </w:rPr>
              <w:t>中型</w:t>
            </w:r>
          </w:p>
        </w:tc>
        <w:tc>
          <w:tcPr>
            <w:tcW w:w="1179" w:type="dxa"/>
            <w:tcBorders>
              <w:top w:val="single" w:color="auto" w:sz="4" w:space="0"/>
              <w:left w:val="single" w:color="auto" w:sz="4" w:space="0"/>
              <w:bottom w:val="single" w:color="auto" w:sz="4" w:space="0"/>
              <w:right w:val="single" w:color="auto" w:sz="4" w:space="0"/>
            </w:tcBorders>
            <w:vAlign w:val="center"/>
          </w:tcPr>
          <w:p w14:paraId="7BF9BD35">
            <w:pPr>
              <w:pStyle w:val="6"/>
              <w:spacing w:after="0" w:line="320" w:lineRule="exact"/>
              <w:ind w:firstLine="0" w:firstLineChars="0"/>
              <w:jc w:val="center"/>
              <w:rPr>
                <w:rFonts w:ascii="黑体" w:hAnsi="黑体" w:eastAsia="黑体" w:cs="仿宋"/>
                <w:b/>
                <w:kern w:val="0"/>
                <w:szCs w:val="21"/>
              </w:rPr>
            </w:pPr>
            <w:r>
              <w:rPr>
                <w:rFonts w:hint="eastAsia" w:ascii="黑体" w:hAnsi="黑体" w:eastAsia="黑体" w:cs="仿宋"/>
                <w:b/>
                <w:szCs w:val="21"/>
              </w:rPr>
              <w:t>小型</w:t>
            </w:r>
          </w:p>
        </w:tc>
        <w:tc>
          <w:tcPr>
            <w:tcW w:w="715" w:type="dxa"/>
            <w:tcBorders>
              <w:top w:val="single" w:color="auto" w:sz="4" w:space="0"/>
              <w:left w:val="single" w:color="auto" w:sz="4" w:space="0"/>
              <w:bottom w:val="single" w:color="auto" w:sz="4" w:space="0"/>
              <w:right w:val="single" w:color="auto" w:sz="4" w:space="0"/>
            </w:tcBorders>
            <w:vAlign w:val="center"/>
          </w:tcPr>
          <w:p w14:paraId="36DC955D">
            <w:pPr>
              <w:pStyle w:val="6"/>
              <w:spacing w:after="0" w:line="320" w:lineRule="exact"/>
              <w:ind w:firstLine="0" w:firstLineChars="0"/>
              <w:jc w:val="center"/>
              <w:rPr>
                <w:rFonts w:ascii="黑体" w:hAnsi="黑体" w:eastAsia="黑体" w:cs="仿宋"/>
                <w:b/>
                <w:kern w:val="0"/>
                <w:szCs w:val="21"/>
              </w:rPr>
            </w:pPr>
            <w:r>
              <w:rPr>
                <w:rFonts w:hint="eastAsia" w:ascii="黑体" w:hAnsi="黑体" w:eastAsia="黑体" w:cs="仿宋"/>
                <w:b/>
                <w:szCs w:val="21"/>
              </w:rPr>
              <w:t>微型</w:t>
            </w:r>
          </w:p>
        </w:tc>
      </w:tr>
      <w:tr w14:paraId="2D8E39ED">
        <w:tblPrEx>
          <w:tblCellMar>
            <w:top w:w="0" w:type="dxa"/>
            <w:left w:w="108" w:type="dxa"/>
            <w:bottom w:w="0" w:type="dxa"/>
            <w:right w:w="108" w:type="dxa"/>
          </w:tblCellMar>
        </w:tblPrEx>
        <w:trPr>
          <w:trHeight w:val="272" w:hRule="atLeast"/>
          <w:jc w:val="center"/>
        </w:trPr>
        <w:tc>
          <w:tcPr>
            <w:tcW w:w="1048" w:type="dxa"/>
            <w:vMerge w:val="continue"/>
            <w:tcBorders>
              <w:left w:val="single" w:color="auto" w:sz="4" w:space="0"/>
              <w:bottom w:val="single" w:color="auto" w:sz="4" w:space="0"/>
              <w:right w:val="single" w:color="auto" w:sz="4" w:space="0"/>
            </w:tcBorders>
            <w:vAlign w:val="center"/>
          </w:tcPr>
          <w:p w14:paraId="02ABF30C">
            <w:pPr>
              <w:snapToGrid w:val="0"/>
              <w:jc w:val="center"/>
              <w:rPr>
                <w:rFonts w:ascii="仿宋" w:hAnsi="仿宋" w:eastAsia="仿宋" w:cs="仿宋"/>
                <w:kern w:val="0"/>
                <w:sz w:val="24"/>
              </w:rPr>
            </w:pPr>
          </w:p>
        </w:tc>
        <w:tc>
          <w:tcPr>
            <w:tcW w:w="1687" w:type="dxa"/>
            <w:vMerge w:val="continue"/>
            <w:tcBorders>
              <w:left w:val="single" w:color="auto" w:sz="4" w:space="0"/>
              <w:bottom w:val="single" w:color="auto" w:sz="4" w:space="0"/>
              <w:right w:val="single" w:color="auto" w:sz="4" w:space="0"/>
            </w:tcBorders>
            <w:vAlign w:val="center"/>
          </w:tcPr>
          <w:p w14:paraId="1997C3FE">
            <w:pPr>
              <w:snapToGrid w:val="0"/>
              <w:jc w:val="center"/>
              <w:rPr>
                <w:rFonts w:ascii="仿宋" w:hAnsi="仿宋" w:eastAsia="仿宋" w:cs="仿宋"/>
                <w:kern w:val="0"/>
                <w:sz w:val="24"/>
              </w:rPr>
            </w:pPr>
          </w:p>
        </w:tc>
        <w:tc>
          <w:tcPr>
            <w:tcW w:w="826" w:type="dxa"/>
            <w:tcBorders>
              <w:top w:val="single" w:color="auto" w:sz="4" w:space="0"/>
              <w:left w:val="single" w:color="auto" w:sz="4" w:space="0"/>
              <w:bottom w:val="single" w:color="auto" w:sz="4" w:space="0"/>
              <w:right w:val="single" w:color="auto" w:sz="4" w:space="0"/>
            </w:tcBorders>
            <w:vAlign w:val="center"/>
          </w:tcPr>
          <w:p w14:paraId="6E469654">
            <w:pPr>
              <w:pStyle w:val="6"/>
              <w:spacing w:after="0" w:line="320" w:lineRule="exact"/>
              <w:ind w:firstLine="0" w:firstLineChars="0"/>
              <w:jc w:val="center"/>
              <w:rPr>
                <w:rFonts w:ascii="仿宋" w:hAnsi="仿宋" w:eastAsia="仿宋" w:cs="仿宋"/>
                <w:kern w:val="0"/>
                <w:sz w:val="18"/>
                <w:szCs w:val="18"/>
              </w:rPr>
            </w:pPr>
            <w:r>
              <w:rPr>
                <w:rFonts w:hint="eastAsia" w:ascii="仿宋" w:hAnsi="仿宋" w:eastAsia="仿宋" w:cs="仿宋"/>
                <w:sz w:val="18"/>
                <w:szCs w:val="18"/>
              </w:rPr>
              <w:t>其他未列明行业</w:t>
            </w:r>
          </w:p>
        </w:tc>
        <w:tc>
          <w:tcPr>
            <w:tcW w:w="670" w:type="dxa"/>
            <w:tcBorders>
              <w:top w:val="single" w:color="auto" w:sz="4" w:space="0"/>
              <w:left w:val="single" w:color="auto" w:sz="4" w:space="0"/>
              <w:bottom w:val="single" w:color="auto" w:sz="4" w:space="0"/>
              <w:right w:val="single" w:color="auto" w:sz="4" w:space="0"/>
            </w:tcBorders>
            <w:vAlign w:val="center"/>
          </w:tcPr>
          <w:p w14:paraId="2502080F">
            <w:pPr>
              <w:widowControl/>
              <w:spacing w:line="32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89" w:type="dxa"/>
            <w:tcBorders>
              <w:top w:val="single" w:color="auto" w:sz="4" w:space="0"/>
              <w:left w:val="single" w:color="auto" w:sz="4" w:space="0"/>
              <w:bottom w:val="single" w:color="auto" w:sz="4" w:space="0"/>
              <w:right w:val="single" w:color="auto" w:sz="4" w:space="0"/>
            </w:tcBorders>
            <w:vAlign w:val="center"/>
          </w:tcPr>
          <w:p w14:paraId="59FBDE85">
            <w:pPr>
              <w:widowControl/>
              <w:spacing w:line="32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782" w:type="dxa"/>
            <w:tcBorders>
              <w:top w:val="single" w:color="auto" w:sz="4" w:space="0"/>
              <w:left w:val="single" w:color="auto" w:sz="4" w:space="0"/>
              <w:bottom w:val="single" w:color="auto" w:sz="4" w:space="0"/>
              <w:right w:val="single" w:color="auto" w:sz="4" w:space="0"/>
            </w:tcBorders>
            <w:vAlign w:val="center"/>
          </w:tcPr>
          <w:p w14:paraId="2E948190">
            <w:pPr>
              <w:widowControl/>
              <w:spacing w:line="320" w:lineRule="exact"/>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200" w:type="dxa"/>
            <w:tcBorders>
              <w:top w:val="single" w:color="auto" w:sz="4" w:space="0"/>
              <w:left w:val="single" w:color="auto" w:sz="4" w:space="0"/>
              <w:bottom w:val="single" w:color="auto" w:sz="4" w:space="0"/>
              <w:right w:val="single" w:color="auto" w:sz="4" w:space="0"/>
            </w:tcBorders>
            <w:vAlign w:val="center"/>
          </w:tcPr>
          <w:p w14:paraId="123B44B6">
            <w:pPr>
              <w:widowControl/>
              <w:spacing w:line="320" w:lineRule="exact"/>
              <w:ind w:left="1" w:leftChars="-51" w:hanging="108" w:hangingChars="60"/>
              <w:jc w:val="center"/>
              <w:rPr>
                <w:rFonts w:ascii="黑体" w:hAnsi="黑体" w:eastAsia="黑体" w:cs="仿宋"/>
                <w:b/>
                <w:kern w:val="0"/>
                <w:sz w:val="18"/>
                <w:szCs w:val="18"/>
              </w:rPr>
            </w:pPr>
            <w:r>
              <w:rPr>
                <w:rFonts w:hint="eastAsia" w:ascii="黑体" w:hAnsi="黑体" w:eastAsia="黑体" w:cs="仿宋"/>
                <w:b/>
                <w:kern w:val="0"/>
                <w:sz w:val="18"/>
                <w:szCs w:val="18"/>
              </w:rPr>
              <w:t>100≤X＜300</w:t>
            </w:r>
          </w:p>
        </w:tc>
        <w:tc>
          <w:tcPr>
            <w:tcW w:w="1179" w:type="dxa"/>
            <w:tcBorders>
              <w:top w:val="single" w:color="auto" w:sz="4" w:space="0"/>
              <w:left w:val="single" w:color="auto" w:sz="4" w:space="0"/>
              <w:bottom w:val="single" w:color="auto" w:sz="4" w:space="0"/>
              <w:right w:val="single" w:color="auto" w:sz="4" w:space="0"/>
            </w:tcBorders>
            <w:vAlign w:val="center"/>
          </w:tcPr>
          <w:p w14:paraId="06C7B3F7">
            <w:pPr>
              <w:widowControl/>
              <w:spacing w:line="320" w:lineRule="exact"/>
              <w:jc w:val="center"/>
              <w:rPr>
                <w:rFonts w:ascii="黑体" w:hAnsi="黑体" w:eastAsia="黑体" w:cs="仿宋"/>
                <w:b/>
                <w:kern w:val="0"/>
                <w:sz w:val="18"/>
                <w:szCs w:val="18"/>
              </w:rPr>
            </w:pPr>
            <w:r>
              <w:rPr>
                <w:rFonts w:hint="eastAsia" w:ascii="黑体" w:hAnsi="黑体" w:eastAsia="黑体" w:cs="仿宋"/>
                <w:b/>
                <w:kern w:val="0"/>
                <w:sz w:val="18"/>
                <w:szCs w:val="18"/>
              </w:rPr>
              <w:t>10≤X＜100</w:t>
            </w:r>
          </w:p>
        </w:tc>
        <w:tc>
          <w:tcPr>
            <w:tcW w:w="715" w:type="dxa"/>
            <w:tcBorders>
              <w:top w:val="single" w:color="auto" w:sz="4" w:space="0"/>
              <w:left w:val="single" w:color="auto" w:sz="4" w:space="0"/>
              <w:bottom w:val="single" w:color="auto" w:sz="4" w:space="0"/>
              <w:right w:val="single" w:color="auto" w:sz="4" w:space="0"/>
            </w:tcBorders>
            <w:vAlign w:val="center"/>
          </w:tcPr>
          <w:p w14:paraId="364FC6E6">
            <w:pPr>
              <w:widowControl/>
              <w:spacing w:line="320" w:lineRule="exact"/>
              <w:jc w:val="center"/>
              <w:rPr>
                <w:rFonts w:ascii="黑体" w:hAnsi="黑体" w:eastAsia="黑体" w:cs="仿宋"/>
                <w:b/>
                <w:kern w:val="0"/>
                <w:sz w:val="18"/>
                <w:szCs w:val="18"/>
              </w:rPr>
            </w:pPr>
            <w:r>
              <w:rPr>
                <w:rFonts w:hint="eastAsia" w:ascii="黑体" w:hAnsi="黑体" w:eastAsia="黑体" w:cs="仿宋"/>
                <w:b/>
                <w:kern w:val="0"/>
                <w:sz w:val="18"/>
                <w:szCs w:val="18"/>
              </w:rPr>
              <w:t>X＜10</w:t>
            </w:r>
          </w:p>
        </w:tc>
      </w:tr>
      <w:tr w14:paraId="403A494B">
        <w:tblPrEx>
          <w:tblCellMar>
            <w:top w:w="0" w:type="dxa"/>
            <w:left w:w="108" w:type="dxa"/>
            <w:bottom w:w="0" w:type="dxa"/>
            <w:right w:w="108" w:type="dxa"/>
          </w:tblCellMar>
        </w:tblPrEx>
        <w:trPr>
          <w:trHeight w:val="466"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445100CE">
            <w:pPr>
              <w:snapToGrid w:val="0"/>
              <w:jc w:val="center"/>
              <w:rPr>
                <w:rFonts w:ascii="仿宋" w:hAnsi="仿宋" w:eastAsia="仿宋" w:cs="仿宋"/>
                <w:kern w:val="0"/>
                <w:sz w:val="24"/>
              </w:rPr>
            </w:pPr>
            <w:r>
              <w:rPr>
                <w:rFonts w:hint="eastAsia" w:ascii="仿宋" w:hAnsi="仿宋" w:eastAsia="仿宋" w:cs="仿宋"/>
                <w:kern w:val="0"/>
                <w:sz w:val="24"/>
              </w:rPr>
              <w:t>2.1</w:t>
            </w:r>
          </w:p>
        </w:tc>
        <w:tc>
          <w:tcPr>
            <w:tcW w:w="1687" w:type="dxa"/>
            <w:tcBorders>
              <w:top w:val="single" w:color="auto" w:sz="4" w:space="0"/>
              <w:left w:val="single" w:color="auto" w:sz="4" w:space="0"/>
              <w:bottom w:val="single" w:color="auto" w:sz="4" w:space="0"/>
              <w:right w:val="single" w:color="auto" w:sz="4" w:space="0"/>
            </w:tcBorders>
            <w:vAlign w:val="center"/>
          </w:tcPr>
          <w:p w14:paraId="7298B227">
            <w:pPr>
              <w:snapToGrid w:val="0"/>
              <w:jc w:val="center"/>
              <w:rPr>
                <w:rFonts w:ascii="仿宋" w:hAnsi="仿宋" w:eastAsia="仿宋" w:cs="仿宋"/>
                <w:sz w:val="24"/>
              </w:rPr>
            </w:pPr>
            <w:r>
              <w:rPr>
                <w:rFonts w:hint="eastAsia" w:ascii="仿宋" w:hAnsi="仿宋" w:eastAsia="仿宋" w:cs="仿宋"/>
                <w:sz w:val="24"/>
              </w:rPr>
              <w:t>项目属性</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66F781C5">
            <w:pPr>
              <w:snapToGrid w:val="0"/>
              <w:rPr>
                <w:rFonts w:ascii="仿宋" w:hAnsi="仿宋" w:eastAsia="仿宋" w:cs="仿宋"/>
                <w:sz w:val="24"/>
              </w:rPr>
            </w:pPr>
            <w:r>
              <w:rPr>
                <w:rFonts w:hint="eastAsia" w:ascii="仿宋" w:hAnsi="仿宋" w:eastAsia="仿宋" w:cs="仿宋"/>
                <w:kern w:val="0"/>
                <w:sz w:val="24"/>
              </w:rPr>
              <w:sym w:font="Wingdings" w:char="00FE"/>
            </w:r>
            <w:r>
              <w:rPr>
                <w:rFonts w:hint="eastAsia" w:ascii="仿宋" w:hAnsi="仿宋" w:eastAsia="仿宋" w:cs="仿宋"/>
                <w:kern w:val="0"/>
                <w:sz w:val="24"/>
              </w:rPr>
              <w:t>服务类</w:t>
            </w:r>
          </w:p>
        </w:tc>
      </w:tr>
      <w:tr w14:paraId="733E2B12">
        <w:tblPrEx>
          <w:tblCellMar>
            <w:top w:w="0" w:type="dxa"/>
            <w:left w:w="108" w:type="dxa"/>
            <w:bottom w:w="0" w:type="dxa"/>
            <w:right w:w="108" w:type="dxa"/>
          </w:tblCellMar>
        </w:tblPrEx>
        <w:trPr>
          <w:trHeight w:val="52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171A9D36">
            <w:pPr>
              <w:snapToGrid w:val="0"/>
              <w:jc w:val="center"/>
              <w:rPr>
                <w:rFonts w:ascii="仿宋" w:hAnsi="仿宋" w:eastAsia="仿宋" w:cs="仿宋"/>
                <w:kern w:val="0"/>
                <w:sz w:val="24"/>
              </w:rPr>
            </w:pPr>
            <w:r>
              <w:rPr>
                <w:rFonts w:hint="eastAsia" w:ascii="仿宋" w:hAnsi="仿宋" w:eastAsia="仿宋" w:cs="仿宋"/>
                <w:kern w:val="0"/>
                <w:sz w:val="24"/>
              </w:rPr>
              <w:t>2.1</w:t>
            </w:r>
          </w:p>
        </w:tc>
        <w:tc>
          <w:tcPr>
            <w:tcW w:w="1687" w:type="dxa"/>
            <w:tcBorders>
              <w:top w:val="single" w:color="auto" w:sz="4" w:space="0"/>
              <w:left w:val="single" w:color="auto" w:sz="4" w:space="0"/>
              <w:bottom w:val="single" w:color="auto" w:sz="4" w:space="0"/>
              <w:right w:val="single" w:color="auto" w:sz="4" w:space="0"/>
            </w:tcBorders>
            <w:vAlign w:val="center"/>
          </w:tcPr>
          <w:p w14:paraId="730DE7B9">
            <w:pPr>
              <w:snapToGrid w:val="0"/>
              <w:jc w:val="center"/>
              <w:rPr>
                <w:rFonts w:ascii="仿宋" w:hAnsi="仿宋" w:eastAsia="仿宋" w:cs="仿宋"/>
                <w:sz w:val="24"/>
              </w:rPr>
            </w:pPr>
            <w:r>
              <w:rPr>
                <w:rFonts w:hint="eastAsia" w:ascii="仿宋" w:hAnsi="仿宋" w:eastAsia="仿宋" w:cs="仿宋"/>
                <w:kern w:val="0"/>
                <w:sz w:val="24"/>
              </w:rPr>
              <w:t>分包</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777F8C81">
            <w:pPr>
              <w:snapToGrid w:val="0"/>
              <w:rPr>
                <w:rFonts w:ascii="仿宋" w:hAnsi="仿宋" w:eastAsia="仿宋" w:cs="仿宋"/>
                <w:kern w:val="0"/>
                <w:sz w:val="24"/>
              </w:rPr>
            </w:pPr>
            <w:r>
              <w:rPr>
                <w:rFonts w:hint="eastAsia" w:ascii="仿宋" w:hAnsi="仿宋" w:eastAsia="仿宋" w:cs="仿宋"/>
                <w:kern w:val="0"/>
                <w:sz w:val="24"/>
              </w:rPr>
              <w:t>☑允许：部分检测项目，中标人不具备相应检测参数或资质的，经采购人同意后允许单项分包。</w:t>
            </w:r>
          </w:p>
        </w:tc>
      </w:tr>
      <w:tr w14:paraId="5DC7A126">
        <w:tblPrEx>
          <w:tblCellMar>
            <w:top w:w="0" w:type="dxa"/>
            <w:left w:w="108" w:type="dxa"/>
            <w:bottom w:w="0" w:type="dxa"/>
            <w:right w:w="108" w:type="dxa"/>
          </w:tblCellMar>
        </w:tblPrEx>
        <w:trPr>
          <w:trHeight w:val="505"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33073545">
            <w:pPr>
              <w:snapToGrid w:val="0"/>
              <w:jc w:val="center"/>
              <w:rPr>
                <w:rFonts w:ascii="仿宋" w:hAnsi="仿宋" w:eastAsia="仿宋" w:cs="仿宋"/>
                <w:kern w:val="0"/>
                <w:sz w:val="24"/>
              </w:rPr>
            </w:pPr>
            <w:r>
              <w:rPr>
                <w:rFonts w:hint="eastAsia" w:ascii="仿宋" w:hAnsi="仿宋" w:eastAsia="仿宋" w:cs="仿宋"/>
                <w:kern w:val="0"/>
                <w:sz w:val="24"/>
              </w:rPr>
              <w:t>2.1</w:t>
            </w:r>
          </w:p>
        </w:tc>
        <w:tc>
          <w:tcPr>
            <w:tcW w:w="1687" w:type="dxa"/>
            <w:tcBorders>
              <w:top w:val="single" w:color="auto" w:sz="4" w:space="0"/>
              <w:left w:val="single" w:color="auto" w:sz="4" w:space="0"/>
              <w:bottom w:val="single" w:color="auto" w:sz="4" w:space="0"/>
              <w:right w:val="single" w:color="auto" w:sz="4" w:space="0"/>
            </w:tcBorders>
            <w:vAlign w:val="center"/>
          </w:tcPr>
          <w:p w14:paraId="369368EA">
            <w:pPr>
              <w:snapToGrid w:val="0"/>
              <w:jc w:val="center"/>
              <w:rPr>
                <w:rFonts w:ascii="仿宋" w:hAnsi="仿宋" w:eastAsia="仿宋" w:cs="仿宋"/>
                <w:sz w:val="24"/>
              </w:rPr>
            </w:pPr>
            <w:r>
              <w:rPr>
                <w:rFonts w:hint="eastAsia" w:ascii="仿宋" w:hAnsi="仿宋" w:eastAsia="仿宋" w:cs="仿宋"/>
                <w:kern w:val="0"/>
                <w:sz w:val="24"/>
              </w:rPr>
              <w:t>偏离</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502CB279">
            <w:pPr>
              <w:snapToGrid w:val="0"/>
              <w:rPr>
                <w:rFonts w:ascii="仿宋" w:hAnsi="仿宋" w:eastAsia="仿宋" w:cs="仿宋"/>
                <w:kern w:val="0"/>
                <w:sz w:val="24"/>
              </w:rPr>
            </w:pPr>
            <w:r>
              <w:rPr>
                <w:rFonts w:hint="eastAsia" w:ascii="仿宋" w:hAnsi="仿宋" w:eastAsia="仿宋" w:cs="仿宋"/>
                <w:kern w:val="0"/>
                <w:sz w:val="24"/>
              </w:rPr>
              <w:t>偏差允许幅度及其处理方法：允许细微偏差，不允许重大偏差。由评标委员会判断，细微偏差要求投标人在评标结束前予以澄清、说明或补正，不接受要求进行的，评标委员会有权做无效标处理，详见评审办法。</w:t>
            </w:r>
          </w:p>
        </w:tc>
      </w:tr>
      <w:tr w14:paraId="2893955E">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4E7E1CCD">
            <w:pPr>
              <w:snapToGrid w:val="0"/>
              <w:jc w:val="center"/>
              <w:rPr>
                <w:rFonts w:ascii="仿宋" w:hAnsi="仿宋" w:eastAsia="仿宋" w:cs="仿宋"/>
                <w:kern w:val="0"/>
                <w:sz w:val="24"/>
              </w:rPr>
            </w:pPr>
            <w:r>
              <w:rPr>
                <w:rFonts w:hint="eastAsia" w:ascii="仿宋" w:hAnsi="仿宋" w:eastAsia="仿宋" w:cs="仿宋"/>
                <w:kern w:val="0"/>
                <w:sz w:val="24"/>
              </w:rPr>
              <w:t>6.1</w:t>
            </w:r>
          </w:p>
        </w:tc>
        <w:tc>
          <w:tcPr>
            <w:tcW w:w="1687" w:type="dxa"/>
            <w:tcBorders>
              <w:top w:val="single" w:color="auto" w:sz="4" w:space="0"/>
              <w:left w:val="single" w:color="auto" w:sz="4" w:space="0"/>
              <w:bottom w:val="single" w:color="auto" w:sz="4" w:space="0"/>
              <w:right w:val="single" w:color="auto" w:sz="4" w:space="0"/>
            </w:tcBorders>
            <w:vAlign w:val="center"/>
          </w:tcPr>
          <w:p w14:paraId="5723B0D3">
            <w:pPr>
              <w:snapToGrid w:val="0"/>
              <w:jc w:val="center"/>
              <w:rPr>
                <w:rFonts w:ascii="仿宋" w:hAnsi="仿宋" w:eastAsia="仿宋" w:cs="仿宋"/>
                <w:sz w:val="24"/>
              </w:rPr>
            </w:pPr>
            <w:r>
              <w:rPr>
                <w:rFonts w:hint="eastAsia" w:ascii="仿宋" w:hAnsi="仿宋" w:eastAsia="仿宋" w:cs="仿宋"/>
                <w:sz w:val="24"/>
              </w:rPr>
              <w:t>磋商前答疑会或现场考察</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0F436C04">
            <w:pPr>
              <w:snapToGrid w:val="0"/>
              <w:rPr>
                <w:rFonts w:ascii="仿宋" w:hAnsi="仿宋" w:eastAsia="仿宋" w:cs="仿宋"/>
                <w:sz w:val="24"/>
              </w:rPr>
            </w:pPr>
            <w:r>
              <w:rPr>
                <w:rFonts w:hint="eastAsia" w:ascii="仿宋" w:hAnsi="仿宋" w:eastAsia="仿宋" w:cs="仿宋"/>
                <w:kern w:val="0"/>
                <w:sz w:val="24"/>
              </w:rPr>
              <w:t>☑不</w:t>
            </w:r>
            <w:r>
              <w:rPr>
                <w:rFonts w:hint="eastAsia" w:ascii="仿宋" w:hAnsi="仿宋" w:eastAsia="仿宋" w:cs="仿宋"/>
                <w:sz w:val="24"/>
              </w:rPr>
              <w:t>组织。</w:t>
            </w:r>
          </w:p>
        </w:tc>
      </w:tr>
      <w:tr w14:paraId="4DEA8268">
        <w:tblPrEx>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40D60EAA">
            <w:pPr>
              <w:autoSpaceDE w:val="0"/>
              <w:autoSpaceDN w:val="0"/>
              <w:snapToGrid w:val="0"/>
              <w:jc w:val="center"/>
              <w:rPr>
                <w:rFonts w:ascii="仿宋" w:hAnsi="仿宋" w:eastAsia="仿宋" w:cs="仿宋"/>
                <w:kern w:val="0"/>
                <w:sz w:val="24"/>
                <w:lang w:val="zh-CN"/>
              </w:rPr>
            </w:pPr>
            <w:r>
              <w:rPr>
                <w:rFonts w:hint="eastAsia" w:ascii="仿宋" w:hAnsi="仿宋" w:eastAsia="仿宋" w:cs="仿宋"/>
                <w:kern w:val="0"/>
                <w:sz w:val="24"/>
                <w:lang w:val="zh-CN"/>
              </w:rPr>
              <w:t>10.4</w:t>
            </w:r>
          </w:p>
        </w:tc>
        <w:tc>
          <w:tcPr>
            <w:tcW w:w="1687" w:type="dxa"/>
            <w:tcBorders>
              <w:top w:val="single" w:color="auto" w:sz="4" w:space="0"/>
              <w:left w:val="single" w:color="auto" w:sz="4" w:space="0"/>
              <w:bottom w:val="single" w:color="auto" w:sz="4" w:space="0"/>
              <w:right w:val="single" w:color="auto" w:sz="4" w:space="0"/>
            </w:tcBorders>
            <w:vAlign w:val="center"/>
          </w:tcPr>
          <w:p w14:paraId="6EFD6F97">
            <w:pPr>
              <w:snapToGrid w:val="0"/>
              <w:jc w:val="center"/>
              <w:rPr>
                <w:rFonts w:ascii="仿宋" w:hAnsi="仿宋" w:eastAsia="仿宋" w:cs="仿宋"/>
                <w:bCs/>
                <w:sz w:val="24"/>
              </w:rPr>
            </w:pPr>
            <w:r>
              <w:rPr>
                <w:rFonts w:hint="eastAsia" w:ascii="仿宋" w:hAnsi="仿宋" w:eastAsia="仿宋" w:cs="仿宋"/>
                <w:sz w:val="24"/>
              </w:rPr>
              <w:t>讲解或演示</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0BAED9E9">
            <w:pPr>
              <w:snapToGrid w:val="0"/>
              <w:rPr>
                <w:rFonts w:ascii="仿宋" w:hAnsi="仿宋" w:eastAsia="仿宋" w:cs="仿宋"/>
                <w:b/>
                <w:kern w:val="0"/>
                <w:sz w:val="24"/>
                <w:lang w:val="zh-CN"/>
              </w:rPr>
            </w:pPr>
            <w:r>
              <w:rPr>
                <w:rFonts w:hint="eastAsia" w:ascii="仿宋" w:hAnsi="仿宋" w:eastAsia="仿宋" w:cs="仿宋"/>
                <w:kern w:val="0"/>
                <w:sz w:val="24"/>
              </w:rPr>
              <w:t>☑不</w:t>
            </w:r>
            <w:r>
              <w:rPr>
                <w:rFonts w:hint="eastAsia" w:ascii="仿宋" w:hAnsi="仿宋" w:eastAsia="仿宋" w:cs="仿宋"/>
                <w:sz w:val="24"/>
              </w:rPr>
              <w:t>组织</w:t>
            </w:r>
          </w:p>
        </w:tc>
      </w:tr>
      <w:tr w14:paraId="7B829DB0">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3899A38D">
            <w:pPr>
              <w:snapToGrid w:val="0"/>
              <w:jc w:val="center"/>
              <w:rPr>
                <w:rFonts w:ascii="仿宋" w:hAnsi="仿宋" w:eastAsia="仿宋" w:cs="仿宋"/>
                <w:kern w:val="0"/>
                <w:sz w:val="24"/>
              </w:rPr>
            </w:pPr>
            <w:r>
              <w:rPr>
                <w:rFonts w:hint="eastAsia" w:ascii="仿宋" w:hAnsi="仿宋" w:eastAsia="仿宋" w:cs="仿宋"/>
                <w:kern w:val="0"/>
                <w:sz w:val="24"/>
              </w:rPr>
              <w:t>13.3</w:t>
            </w:r>
          </w:p>
        </w:tc>
        <w:tc>
          <w:tcPr>
            <w:tcW w:w="1687" w:type="dxa"/>
            <w:tcBorders>
              <w:top w:val="single" w:color="auto" w:sz="4" w:space="0"/>
              <w:left w:val="single" w:color="auto" w:sz="4" w:space="0"/>
              <w:bottom w:val="single" w:color="auto" w:sz="4" w:space="0"/>
              <w:right w:val="single" w:color="auto" w:sz="4" w:space="0"/>
            </w:tcBorders>
            <w:vAlign w:val="center"/>
          </w:tcPr>
          <w:p w14:paraId="792434E8">
            <w:pPr>
              <w:snapToGrid w:val="0"/>
              <w:jc w:val="center"/>
              <w:rPr>
                <w:rFonts w:ascii="仿宋" w:hAnsi="仿宋" w:eastAsia="仿宋" w:cs="仿宋"/>
                <w:kern w:val="0"/>
                <w:sz w:val="24"/>
              </w:rPr>
            </w:pPr>
            <w:r>
              <w:rPr>
                <w:rFonts w:hint="eastAsia" w:ascii="仿宋" w:hAnsi="仿宋" w:eastAsia="仿宋" w:cs="仿宋"/>
                <w:kern w:val="0"/>
                <w:sz w:val="24"/>
              </w:rPr>
              <w:t>投标报价的其他要求</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7D0E9C91">
            <w:pPr>
              <w:snapToGrid w:val="0"/>
              <w:rPr>
                <w:rFonts w:ascii="仿宋" w:hAnsi="仿宋" w:eastAsia="仿宋" w:cs="仿宋"/>
                <w:kern w:val="0"/>
                <w:sz w:val="24"/>
              </w:rPr>
            </w:pPr>
            <w:r>
              <w:rPr>
                <w:rFonts w:hint="eastAsia" w:ascii="仿宋" w:hAnsi="仿宋" w:eastAsia="仿宋" w:cs="仿宋"/>
                <w:kern w:val="0"/>
                <w:sz w:val="24"/>
              </w:rPr>
              <w:t>投标</w:t>
            </w:r>
            <w:r>
              <w:rPr>
                <w:rFonts w:hint="eastAsia" w:ascii="仿宋" w:hAnsi="仿宋" w:eastAsia="仿宋" w:cs="仿宋"/>
                <w:kern w:val="0"/>
                <w:sz w:val="24"/>
                <w:lang w:val="zh-CN"/>
              </w:rPr>
              <w:t>报价包含的内容：</w:t>
            </w:r>
          </w:p>
          <w:p w14:paraId="34996348">
            <w:pPr>
              <w:snapToGrid w:val="0"/>
              <w:rPr>
                <w:rFonts w:ascii="仿宋" w:hAnsi="仿宋" w:eastAsia="仿宋" w:cs="仿宋"/>
                <w:kern w:val="0"/>
                <w:sz w:val="24"/>
              </w:rPr>
            </w:pPr>
            <w:r>
              <w:rPr>
                <w:rFonts w:hint="eastAsia" w:ascii="仿宋" w:hAnsi="仿宋" w:eastAsia="仿宋" w:cs="仿宋"/>
                <w:kern w:val="0"/>
                <w:sz w:val="24"/>
              </w:rPr>
              <w:t>本项目为总价合同，投标报价应是成交供应商在正确地完全履行合同义务（满足温州市龙湾中学教学综合楼建设项目竣工验收所必需检测服务）后采购人应支付给成交供应商的全部服务费用，本项目以总价包干形式完成所有的服务内容，结算时不做调整，合同总价包括完成该项工程项目的人工费、材料费、施工机械使用费、设备进出场费（包含多次进场）、施工措施费、检测不合格需重新检测、企业管理费、利润、税金、保险、规费、安全施工费、风险费及检验试验费等政策性文件规定及合同包含的所有风险、责任、安全伤亡事故等一切费。供应商在报价时自行考虑风险，结算时不予调整。供应商应结合项目特点，市场行情及供应商自身的技术，管理水平，竞争能力，进行投标报价。</w:t>
            </w:r>
          </w:p>
        </w:tc>
      </w:tr>
      <w:tr w14:paraId="14DC8EF3">
        <w:tblPrEx>
          <w:tblCellMar>
            <w:top w:w="0" w:type="dxa"/>
            <w:left w:w="108" w:type="dxa"/>
            <w:bottom w:w="0" w:type="dxa"/>
            <w:right w:w="108" w:type="dxa"/>
          </w:tblCellMar>
        </w:tblPrEx>
        <w:trPr>
          <w:trHeight w:val="411"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5CE875A7">
            <w:pPr>
              <w:snapToGrid w:val="0"/>
              <w:jc w:val="center"/>
              <w:rPr>
                <w:rFonts w:ascii="仿宋" w:hAnsi="仿宋" w:eastAsia="仿宋" w:cs="仿宋"/>
                <w:kern w:val="0"/>
                <w:sz w:val="24"/>
              </w:rPr>
            </w:pPr>
            <w:r>
              <w:rPr>
                <w:rFonts w:hint="eastAsia" w:ascii="仿宋" w:hAnsi="仿宋" w:eastAsia="仿宋" w:cs="仿宋"/>
                <w:kern w:val="0"/>
                <w:sz w:val="24"/>
              </w:rPr>
              <w:t>14</w:t>
            </w:r>
          </w:p>
        </w:tc>
        <w:tc>
          <w:tcPr>
            <w:tcW w:w="1687" w:type="dxa"/>
            <w:tcBorders>
              <w:top w:val="single" w:color="auto" w:sz="4" w:space="0"/>
              <w:left w:val="single" w:color="auto" w:sz="4" w:space="0"/>
              <w:bottom w:val="single" w:color="auto" w:sz="4" w:space="0"/>
              <w:right w:val="single" w:color="auto" w:sz="4" w:space="0"/>
            </w:tcBorders>
            <w:vAlign w:val="center"/>
          </w:tcPr>
          <w:p w14:paraId="5CF6664D">
            <w:pPr>
              <w:snapToGrid w:val="0"/>
              <w:jc w:val="center"/>
              <w:rPr>
                <w:rFonts w:ascii="仿宋" w:hAnsi="仿宋" w:eastAsia="仿宋" w:cs="仿宋"/>
                <w:kern w:val="0"/>
                <w:sz w:val="24"/>
              </w:rPr>
            </w:pPr>
            <w:r>
              <w:rPr>
                <w:rFonts w:hint="eastAsia" w:ascii="仿宋" w:hAnsi="仿宋" w:eastAsia="仿宋" w:cs="仿宋"/>
                <w:kern w:val="0"/>
                <w:sz w:val="24"/>
              </w:rPr>
              <w:t>磋商保证金</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73BF819E">
            <w:pPr>
              <w:snapToGrid w:val="0"/>
              <w:rPr>
                <w:rFonts w:ascii="仿宋" w:hAnsi="仿宋" w:eastAsia="仿宋" w:cs="仿宋"/>
                <w:kern w:val="0"/>
                <w:sz w:val="24"/>
              </w:rPr>
            </w:pPr>
            <w:r>
              <w:rPr>
                <w:rFonts w:hint="eastAsia" w:ascii="仿宋" w:hAnsi="仿宋" w:eastAsia="仿宋" w:cs="仿宋"/>
                <w:kern w:val="0"/>
                <w:sz w:val="24"/>
              </w:rPr>
              <w:sym w:font="Wingdings" w:char="F0FE"/>
            </w:r>
            <w:r>
              <w:rPr>
                <w:rFonts w:hint="eastAsia" w:ascii="仿宋" w:hAnsi="仿宋" w:eastAsia="仿宋" w:cs="仿宋"/>
                <w:kern w:val="0"/>
                <w:sz w:val="24"/>
              </w:rPr>
              <w:t>无需提交</w:t>
            </w:r>
          </w:p>
        </w:tc>
      </w:tr>
      <w:tr w14:paraId="7822881A">
        <w:tblPrEx>
          <w:tblCellMar>
            <w:top w:w="0" w:type="dxa"/>
            <w:left w:w="108" w:type="dxa"/>
            <w:bottom w:w="0" w:type="dxa"/>
            <w:right w:w="108" w:type="dxa"/>
          </w:tblCellMar>
        </w:tblPrEx>
        <w:trPr>
          <w:trHeight w:val="391"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6C64C030">
            <w:pPr>
              <w:snapToGrid w:val="0"/>
              <w:jc w:val="center"/>
              <w:rPr>
                <w:rFonts w:ascii="仿宋" w:hAnsi="仿宋" w:eastAsia="仿宋" w:cs="仿宋"/>
                <w:kern w:val="0"/>
                <w:sz w:val="24"/>
              </w:rPr>
            </w:pPr>
            <w:r>
              <w:rPr>
                <w:rFonts w:hint="eastAsia" w:ascii="仿宋" w:hAnsi="仿宋" w:eastAsia="仿宋" w:cs="仿宋"/>
                <w:kern w:val="0"/>
                <w:sz w:val="24"/>
              </w:rPr>
              <w:t>15</w:t>
            </w:r>
          </w:p>
        </w:tc>
        <w:tc>
          <w:tcPr>
            <w:tcW w:w="1687" w:type="dxa"/>
            <w:tcBorders>
              <w:top w:val="single" w:color="auto" w:sz="4" w:space="0"/>
              <w:left w:val="single" w:color="auto" w:sz="4" w:space="0"/>
              <w:bottom w:val="single" w:color="auto" w:sz="4" w:space="0"/>
              <w:right w:val="single" w:color="auto" w:sz="4" w:space="0"/>
            </w:tcBorders>
            <w:vAlign w:val="center"/>
          </w:tcPr>
          <w:p w14:paraId="702DEF50">
            <w:pPr>
              <w:snapToGrid w:val="0"/>
              <w:jc w:val="center"/>
              <w:rPr>
                <w:rFonts w:ascii="仿宋" w:hAnsi="仿宋" w:eastAsia="仿宋" w:cs="仿宋"/>
                <w:kern w:val="0"/>
                <w:sz w:val="24"/>
              </w:rPr>
            </w:pPr>
            <w:r>
              <w:rPr>
                <w:rFonts w:hint="eastAsia" w:ascii="仿宋" w:hAnsi="仿宋" w:eastAsia="仿宋" w:cs="仿宋"/>
                <w:kern w:val="0"/>
                <w:sz w:val="24"/>
              </w:rPr>
              <w:t>投标有效期</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2D42D643">
            <w:pPr>
              <w:snapToGrid w:val="0"/>
              <w:rPr>
                <w:rFonts w:ascii="仿宋" w:hAnsi="仿宋" w:eastAsia="仿宋" w:cs="仿宋"/>
                <w:kern w:val="0"/>
                <w:sz w:val="24"/>
              </w:rPr>
            </w:pPr>
            <w:r>
              <w:rPr>
                <w:rFonts w:hint="eastAsia" w:ascii="仿宋" w:hAnsi="仿宋" w:eastAsia="仿宋" w:cs="仿宋"/>
                <w:kern w:val="0"/>
                <w:sz w:val="24"/>
              </w:rPr>
              <w:t>90天</w:t>
            </w:r>
          </w:p>
        </w:tc>
      </w:tr>
      <w:tr w14:paraId="2A8347A0">
        <w:tblPrEx>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5FCC3D63">
            <w:pPr>
              <w:snapToGrid w:val="0"/>
              <w:jc w:val="center"/>
              <w:rPr>
                <w:rFonts w:ascii="仿宋" w:hAnsi="仿宋" w:eastAsia="仿宋" w:cs="仿宋"/>
                <w:kern w:val="0"/>
                <w:sz w:val="24"/>
              </w:rPr>
            </w:pPr>
            <w:r>
              <w:rPr>
                <w:rFonts w:hint="eastAsia" w:ascii="仿宋" w:hAnsi="仿宋" w:eastAsia="仿宋" w:cs="仿宋"/>
                <w:kern w:val="0"/>
                <w:sz w:val="24"/>
              </w:rPr>
              <w:t>17</w:t>
            </w:r>
          </w:p>
        </w:tc>
        <w:tc>
          <w:tcPr>
            <w:tcW w:w="1687" w:type="dxa"/>
            <w:tcBorders>
              <w:top w:val="single" w:color="auto" w:sz="4" w:space="0"/>
              <w:left w:val="single" w:color="auto" w:sz="4" w:space="0"/>
              <w:bottom w:val="single" w:color="auto" w:sz="4" w:space="0"/>
              <w:right w:val="single" w:color="auto" w:sz="4" w:space="0"/>
            </w:tcBorders>
            <w:vAlign w:val="center"/>
          </w:tcPr>
          <w:p w14:paraId="395BE731">
            <w:pPr>
              <w:snapToGrid w:val="0"/>
              <w:jc w:val="center"/>
              <w:rPr>
                <w:rFonts w:ascii="仿宋" w:hAnsi="仿宋" w:eastAsia="仿宋" w:cs="仿宋"/>
                <w:kern w:val="0"/>
                <w:sz w:val="24"/>
              </w:rPr>
            </w:pPr>
            <w:r>
              <w:rPr>
                <w:rFonts w:hint="eastAsia" w:ascii="仿宋" w:hAnsi="仿宋" w:eastAsia="仿宋" w:cs="仿宋"/>
                <w:kern w:val="0"/>
                <w:sz w:val="24"/>
              </w:rPr>
              <w:t>备份响应文件的递交地点</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15C10FAE">
            <w:pPr>
              <w:snapToGrid w:val="0"/>
              <w:rPr>
                <w:rFonts w:ascii="仿宋" w:hAnsi="仿宋" w:eastAsia="仿宋" w:cs="仿宋"/>
                <w:kern w:val="0"/>
                <w:sz w:val="24"/>
              </w:rPr>
            </w:pPr>
            <w:r>
              <w:rPr>
                <w:rFonts w:hint="eastAsia" w:ascii="仿宋" w:hAnsi="仿宋" w:eastAsia="仿宋" w:cs="仿宋"/>
                <w:kern w:val="0"/>
                <w:sz w:val="24"/>
              </w:rPr>
              <w:t>不要求</w:t>
            </w:r>
          </w:p>
        </w:tc>
      </w:tr>
      <w:tr w14:paraId="0088B206">
        <w:tblPrEx>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095F8E8F">
            <w:pPr>
              <w:snapToGrid w:val="0"/>
              <w:jc w:val="center"/>
              <w:rPr>
                <w:rFonts w:ascii="仿宋" w:hAnsi="仿宋" w:eastAsia="仿宋" w:cs="仿宋"/>
                <w:kern w:val="0"/>
                <w:sz w:val="24"/>
              </w:rPr>
            </w:pPr>
            <w:r>
              <w:rPr>
                <w:rFonts w:hint="eastAsia" w:ascii="仿宋" w:hAnsi="仿宋" w:eastAsia="仿宋" w:cs="仿宋"/>
                <w:kern w:val="0"/>
                <w:sz w:val="24"/>
              </w:rPr>
              <w:t>21</w:t>
            </w:r>
          </w:p>
        </w:tc>
        <w:tc>
          <w:tcPr>
            <w:tcW w:w="1687" w:type="dxa"/>
            <w:tcBorders>
              <w:top w:val="single" w:color="auto" w:sz="4" w:space="0"/>
              <w:left w:val="single" w:color="auto" w:sz="4" w:space="0"/>
              <w:bottom w:val="single" w:color="auto" w:sz="4" w:space="0"/>
              <w:right w:val="single" w:color="auto" w:sz="4" w:space="0"/>
            </w:tcBorders>
            <w:vAlign w:val="center"/>
          </w:tcPr>
          <w:p w14:paraId="31ECB7BA">
            <w:pPr>
              <w:snapToGrid w:val="0"/>
              <w:jc w:val="center"/>
              <w:rPr>
                <w:rFonts w:ascii="仿宋" w:hAnsi="仿宋" w:eastAsia="仿宋" w:cs="仿宋"/>
                <w:kern w:val="0"/>
                <w:sz w:val="24"/>
              </w:rPr>
            </w:pPr>
            <w:r>
              <w:rPr>
                <w:rFonts w:hint="eastAsia" w:ascii="仿宋" w:hAnsi="仿宋" w:eastAsia="仿宋" w:cs="仿宋"/>
                <w:kern w:val="0"/>
                <w:sz w:val="24"/>
              </w:rPr>
              <w:t>磋商小组</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615121C0">
            <w:pPr>
              <w:snapToGrid w:val="0"/>
              <w:rPr>
                <w:rFonts w:ascii="仿宋" w:hAnsi="仿宋" w:eastAsia="仿宋" w:cs="仿宋"/>
                <w:kern w:val="0"/>
                <w:sz w:val="24"/>
              </w:rPr>
            </w:pPr>
            <w:r>
              <w:rPr>
                <w:rFonts w:hint="eastAsia" w:ascii="仿宋" w:hAnsi="仿宋" w:eastAsia="仿宋" w:cs="仿宋"/>
                <w:kern w:val="0"/>
                <w:sz w:val="24"/>
              </w:rPr>
              <w:t>磋商小组成员由采购人代表和有关技术、经济等方面的专家组成，有关技术、经济等方面的专家成员人数为3人（含）及以上单数，除采购人代表外的专家将在专家库中随机抽取产生。</w:t>
            </w:r>
          </w:p>
        </w:tc>
      </w:tr>
      <w:tr w14:paraId="224A3661">
        <w:tblPrEx>
          <w:tblCellMar>
            <w:top w:w="0" w:type="dxa"/>
            <w:left w:w="108" w:type="dxa"/>
            <w:bottom w:w="0" w:type="dxa"/>
            <w:right w:w="108" w:type="dxa"/>
          </w:tblCellMar>
        </w:tblPrEx>
        <w:trPr>
          <w:trHeight w:val="303"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1722398B">
            <w:pPr>
              <w:snapToGrid w:val="0"/>
              <w:jc w:val="center"/>
              <w:rPr>
                <w:rFonts w:ascii="仿宋" w:hAnsi="仿宋" w:eastAsia="仿宋" w:cs="仿宋"/>
                <w:kern w:val="0"/>
                <w:sz w:val="24"/>
                <w:lang w:val="zh-CN"/>
              </w:rPr>
            </w:pPr>
            <w:r>
              <w:rPr>
                <w:rFonts w:hint="eastAsia" w:ascii="仿宋" w:hAnsi="仿宋" w:eastAsia="仿宋" w:cs="仿宋"/>
                <w:kern w:val="0"/>
                <w:sz w:val="24"/>
              </w:rPr>
              <w:t>29.1</w:t>
            </w:r>
          </w:p>
        </w:tc>
        <w:tc>
          <w:tcPr>
            <w:tcW w:w="1687" w:type="dxa"/>
            <w:tcBorders>
              <w:top w:val="single" w:color="auto" w:sz="4" w:space="0"/>
              <w:left w:val="single" w:color="auto" w:sz="4" w:space="0"/>
              <w:bottom w:val="single" w:color="auto" w:sz="4" w:space="0"/>
              <w:right w:val="single" w:color="auto" w:sz="4" w:space="0"/>
            </w:tcBorders>
            <w:vAlign w:val="center"/>
          </w:tcPr>
          <w:p w14:paraId="1706472B">
            <w:pPr>
              <w:snapToGrid w:val="0"/>
              <w:jc w:val="center"/>
              <w:rPr>
                <w:rFonts w:ascii="仿宋" w:hAnsi="仿宋" w:eastAsia="仿宋" w:cs="仿宋"/>
                <w:kern w:val="0"/>
                <w:sz w:val="24"/>
                <w:lang w:val="zh-CN"/>
              </w:rPr>
            </w:pPr>
            <w:r>
              <w:rPr>
                <w:rFonts w:hint="eastAsia" w:ascii="仿宋" w:hAnsi="仿宋" w:eastAsia="仿宋" w:cs="仿宋"/>
                <w:kern w:val="0"/>
                <w:sz w:val="24"/>
              </w:rPr>
              <w:t>履约保证金</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66E4E80A">
            <w:pPr>
              <w:snapToGrid w:val="0"/>
              <w:jc w:val="left"/>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eq \o\ac(□,√)</w:instrText>
            </w:r>
            <w:r>
              <w:rPr>
                <w:rFonts w:hint="eastAsia" w:ascii="仿宋" w:hAnsi="仿宋" w:eastAsia="仿宋" w:cs="仿宋"/>
                <w:sz w:val="24"/>
              </w:rPr>
              <w:fldChar w:fldCharType="end"/>
            </w:r>
            <w:r>
              <w:rPr>
                <w:rFonts w:hint="eastAsia" w:ascii="仿宋" w:hAnsi="仿宋" w:eastAsia="仿宋" w:cs="仿宋"/>
                <w:sz w:val="24"/>
              </w:rPr>
              <w:t>需要</w:t>
            </w:r>
          </w:p>
          <w:p w14:paraId="76A6BEA7">
            <w:pPr>
              <w:snapToGrid w:val="0"/>
              <w:jc w:val="left"/>
              <w:rPr>
                <w:rFonts w:ascii="仿宋" w:hAnsi="仿宋" w:eastAsia="仿宋" w:cs="仿宋"/>
                <w:sz w:val="24"/>
              </w:rPr>
            </w:pPr>
            <w:r>
              <w:rPr>
                <w:rFonts w:hint="eastAsia" w:ascii="仿宋" w:hAnsi="仿宋" w:eastAsia="仿宋" w:cs="仿宋"/>
                <w:sz w:val="24"/>
              </w:rPr>
              <w:t>1、履约担保金的形式：接受银行转账、支票、汇票、本票或者金融机构、担保机构出具的保函等非现金形式。</w:t>
            </w:r>
          </w:p>
          <w:p w14:paraId="75ED0E4A">
            <w:pPr>
              <w:snapToGrid w:val="0"/>
              <w:jc w:val="left"/>
              <w:rPr>
                <w:rFonts w:ascii="仿宋" w:hAnsi="仿宋" w:eastAsia="仿宋" w:cs="仿宋"/>
                <w:sz w:val="24"/>
              </w:rPr>
            </w:pPr>
            <w:r>
              <w:rPr>
                <w:rFonts w:hint="eastAsia" w:ascii="仿宋" w:hAnsi="仿宋" w:eastAsia="仿宋" w:cs="仿宋"/>
                <w:sz w:val="24"/>
              </w:rPr>
              <w:t>2、履约担保金的金额：合同价1%。</w:t>
            </w:r>
          </w:p>
        </w:tc>
      </w:tr>
      <w:tr w14:paraId="14D8FADB">
        <w:tblPrEx>
          <w:tblCellMar>
            <w:top w:w="0" w:type="dxa"/>
            <w:left w:w="108" w:type="dxa"/>
            <w:bottom w:w="0" w:type="dxa"/>
            <w:right w:w="108" w:type="dxa"/>
          </w:tblCellMar>
        </w:tblPrEx>
        <w:trPr>
          <w:trHeight w:val="1475"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1414E6B5">
            <w:pPr>
              <w:snapToGrid w:val="0"/>
              <w:jc w:val="center"/>
              <w:rPr>
                <w:rFonts w:ascii="仿宋" w:hAnsi="仿宋" w:eastAsia="仿宋" w:cs="仿宋"/>
                <w:kern w:val="0"/>
                <w:sz w:val="24"/>
              </w:rPr>
            </w:pPr>
            <w:r>
              <w:rPr>
                <w:rFonts w:hint="eastAsia" w:ascii="仿宋" w:hAnsi="仿宋" w:eastAsia="仿宋" w:cs="仿宋"/>
                <w:kern w:val="0"/>
                <w:sz w:val="24"/>
              </w:rPr>
              <w:t>34</w:t>
            </w:r>
          </w:p>
        </w:tc>
        <w:tc>
          <w:tcPr>
            <w:tcW w:w="1687" w:type="dxa"/>
            <w:tcBorders>
              <w:top w:val="single" w:color="auto" w:sz="4" w:space="0"/>
              <w:left w:val="single" w:color="auto" w:sz="4" w:space="0"/>
              <w:bottom w:val="single" w:color="auto" w:sz="4" w:space="0"/>
              <w:right w:val="single" w:color="auto" w:sz="4" w:space="0"/>
            </w:tcBorders>
            <w:vAlign w:val="center"/>
          </w:tcPr>
          <w:p w14:paraId="00E35B77">
            <w:pPr>
              <w:snapToGrid w:val="0"/>
              <w:jc w:val="center"/>
              <w:rPr>
                <w:rFonts w:ascii="仿宋" w:hAnsi="仿宋" w:eastAsia="仿宋" w:cs="仿宋"/>
                <w:kern w:val="0"/>
                <w:sz w:val="24"/>
              </w:rPr>
            </w:pPr>
            <w:r>
              <w:rPr>
                <w:rFonts w:hint="eastAsia" w:ascii="仿宋" w:hAnsi="仿宋" w:eastAsia="仿宋" w:cs="仿宋"/>
                <w:kern w:val="0"/>
                <w:sz w:val="24"/>
              </w:rPr>
              <w:t>其他说明</w:t>
            </w:r>
          </w:p>
        </w:tc>
        <w:tc>
          <w:tcPr>
            <w:tcW w:w="6261" w:type="dxa"/>
            <w:gridSpan w:val="7"/>
            <w:tcBorders>
              <w:top w:val="single" w:color="auto" w:sz="4" w:space="0"/>
              <w:left w:val="single" w:color="auto" w:sz="4" w:space="0"/>
              <w:bottom w:val="single" w:color="auto" w:sz="4" w:space="0"/>
              <w:right w:val="single" w:color="auto" w:sz="4" w:space="0"/>
            </w:tcBorders>
            <w:vAlign w:val="center"/>
          </w:tcPr>
          <w:p w14:paraId="2D389011">
            <w:pPr>
              <w:snapToGrid w:val="0"/>
              <w:rPr>
                <w:rFonts w:ascii="仿宋" w:hAnsi="仿宋" w:eastAsia="仿宋" w:cs="仿宋"/>
                <w:sz w:val="24"/>
              </w:rPr>
            </w:pPr>
            <w:r>
              <w:rPr>
                <w:rFonts w:hint="eastAsia" w:ascii="仿宋" w:hAnsi="仿宋" w:eastAsia="仿宋" w:cs="仿宋"/>
                <w:sz w:val="24"/>
              </w:rPr>
              <w:t>1、采购文件各个组成部分中出现的措辞“发包人”和“承包人”，或者“甲方”和“乙方”（或“成交供应商”）等，在采购阶段应当分别按“采购人”和“供应商”进行理解；“磋商文件”即本项目采用竞争性磋商方式的“采购文件”；采购文件各个组成部分中出现的“投标保证金”“投标有效期”“投标截止期”“电子招投标”等措辞中的“投标”系指供应商参加本次磋商采购活动。</w:t>
            </w:r>
          </w:p>
          <w:p w14:paraId="6DFB999E">
            <w:pPr>
              <w:snapToGrid w:val="0"/>
              <w:rPr>
                <w:rFonts w:ascii="仿宋" w:hAnsi="仿宋" w:eastAsia="仿宋" w:cs="仿宋"/>
                <w:sz w:val="24"/>
              </w:rPr>
            </w:pPr>
            <w:r>
              <w:rPr>
                <w:rFonts w:hint="eastAsia" w:ascii="仿宋" w:hAnsi="仿宋" w:eastAsia="仿宋" w:cs="仿宋"/>
                <w:sz w:val="24"/>
              </w:rPr>
              <w:t>2、构成本采购文件的各个组成文件应互为解释，互为说明；如有不明确或不一致，构成合同文件组成内容的，以合同文件约定内容为准，且以专用合同条款约定的合同文件优先顺序解释；仅适用于采购阶段的约定，按采购公告、供应商须知、评审办法、应提交的有关格式范例的先后顺序解释；供应商须知、评审办法及专用合同条款的前附表与正文的约定不一致的，以前附表的约定为准；同一文件中就同一事项的约定不一致的，以逻辑顺序在后者为准；同一文件不同版本之间有不一致的，以形成时间在后者为准。按本款前述约定仍不能形成结论的，由采购人负责解释。</w:t>
            </w:r>
          </w:p>
          <w:p w14:paraId="684125A4">
            <w:pPr>
              <w:snapToGrid w:val="0"/>
              <w:rPr>
                <w:rFonts w:ascii="仿宋" w:hAnsi="仿宋" w:eastAsia="仿宋" w:cs="仿宋"/>
                <w:sz w:val="24"/>
              </w:rPr>
            </w:pPr>
            <w:r>
              <w:rPr>
                <w:rFonts w:hint="eastAsia" w:ascii="仿宋" w:hAnsi="仿宋" w:eastAsia="仿宋" w:cs="仿宋"/>
                <w:sz w:val="24"/>
              </w:rPr>
              <w:t>3、本项目采用电子招投标，开标现场组织人员在政采云平台在线公布响应文件解密情况（响应文件解密结束后，供应商应当在60分钟内完成《政府采购活动现场确认声明书》的提交）；</w:t>
            </w:r>
          </w:p>
          <w:p w14:paraId="264DE1B7">
            <w:pPr>
              <w:snapToGrid w:val="0"/>
              <w:rPr>
                <w:rFonts w:ascii="仿宋" w:hAnsi="仿宋" w:eastAsia="仿宋" w:cs="仿宋"/>
                <w:b/>
                <w:bCs/>
                <w:sz w:val="24"/>
              </w:rPr>
            </w:pPr>
            <w:r>
              <w:rPr>
                <w:rFonts w:hint="eastAsia" w:ascii="仿宋" w:hAnsi="仿宋" w:eastAsia="仿宋" w:cs="仿宋"/>
                <w:sz w:val="24"/>
              </w:rPr>
              <w:t>4、成交供应商在领取中标通知书时应提供与电子响应文件内容一致的纸质响应文件（一正三副）。</w:t>
            </w:r>
          </w:p>
        </w:tc>
      </w:tr>
    </w:tbl>
    <w:p w14:paraId="631C6113">
      <w:pPr>
        <w:rPr>
          <w:rFonts w:ascii="仿宋" w:hAnsi="仿宋" w:eastAsia="仿宋" w:cs="仿宋"/>
        </w:rPr>
      </w:pPr>
      <w:r>
        <w:rPr>
          <w:rFonts w:hint="eastAsia" w:ascii="仿宋" w:hAnsi="仿宋" w:eastAsia="仿宋" w:cs="仿宋"/>
        </w:rPr>
        <w:br w:type="page"/>
      </w:r>
    </w:p>
    <w:p w14:paraId="52C4F49C">
      <w:pPr>
        <w:jc w:val="center"/>
        <w:rPr>
          <w:rFonts w:ascii="仿宋" w:hAnsi="仿宋" w:eastAsia="仿宋" w:cs="仿宋"/>
          <w:b/>
          <w:sz w:val="30"/>
          <w:szCs w:val="30"/>
        </w:rPr>
      </w:pPr>
      <w:r>
        <w:rPr>
          <w:rFonts w:hint="eastAsia" w:ascii="仿宋" w:hAnsi="仿宋" w:eastAsia="仿宋" w:cs="仿宋"/>
          <w:b/>
          <w:sz w:val="30"/>
          <w:szCs w:val="30"/>
        </w:rPr>
        <w:t>政府采购活动现场确认声明书</w:t>
      </w:r>
    </w:p>
    <w:p w14:paraId="68E8F549">
      <w:pPr>
        <w:pStyle w:val="20"/>
        <w:spacing w:line="420" w:lineRule="exact"/>
        <w:rPr>
          <w:rFonts w:ascii="仿宋" w:hAnsi="仿宋" w:eastAsia="仿宋" w:cs="仿宋"/>
          <w:b/>
          <w:bCs/>
          <w:sz w:val="24"/>
          <w:szCs w:val="24"/>
        </w:rPr>
      </w:pPr>
      <w:r>
        <w:rPr>
          <w:rFonts w:hint="eastAsia" w:ascii="仿宋" w:hAnsi="仿宋" w:eastAsia="仿宋" w:cs="仿宋"/>
          <w:b/>
          <w:bCs/>
          <w:sz w:val="24"/>
          <w:szCs w:val="24"/>
        </w:rPr>
        <w:t>温州市龙湾中学：</w:t>
      </w:r>
    </w:p>
    <w:p w14:paraId="4C16F1F2">
      <w:pPr>
        <w:pStyle w:val="20"/>
        <w:spacing w:line="420" w:lineRule="exact"/>
        <w:rPr>
          <w:rFonts w:ascii="仿宋" w:hAnsi="仿宋" w:eastAsia="仿宋" w:cs="仿宋"/>
          <w:b/>
          <w:sz w:val="24"/>
          <w:szCs w:val="24"/>
        </w:rPr>
      </w:pPr>
      <w:r>
        <w:rPr>
          <w:rFonts w:hint="eastAsia" w:ascii="仿宋" w:hAnsi="仿宋" w:eastAsia="仿宋" w:cs="仿宋"/>
          <w:b/>
          <w:bCs/>
          <w:sz w:val="24"/>
          <w:szCs w:val="24"/>
        </w:rPr>
        <w:t>正展建设管理集团有限公司</w:t>
      </w:r>
      <w:r>
        <w:rPr>
          <w:rFonts w:hint="eastAsia" w:ascii="仿宋" w:hAnsi="仿宋" w:eastAsia="仿宋" w:cs="仿宋"/>
          <w:b/>
          <w:kern w:val="0"/>
          <w:sz w:val="24"/>
          <w:szCs w:val="24"/>
        </w:rPr>
        <w:t>：</w:t>
      </w:r>
    </w:p>
    <w:p w14:paraId="274CB77E">
      <w:pPr>
        <w:pStyle w:val="20"/>
        <w:spacing w:line="420" w:lineRule="exact"/>
        <w:ind w:firstLine="504"/>
        <w:rPr>
          <w:rFonts w:ascii="仿宋" w:hAnsi="仿宋" w:eastAsia="仿宋" w:cs="仿宋"/>
          <w:spacing w:val="6"/>
          <w:sz w:val="24"/>
          <w:szCs w:val="24"/>
        </w:rPr>
      </w:pPr>
      <w:r>
        <w:rPr>
          <w:rFonts w:hint="eastAsia" w:ascii="仿宋" w:hAnsi="仿宋" w:eastAsia="仿宋" w:cs="仿宋"/>
          <w:spacing w:val="6"/>
          <w:sz w:val="24"/>
          <w:szCs w:val="24"/>
        </w:rPr>
        <w:t>本人经由</w:t>
      </w:r>
      <w:r>
        <w:rPr>
          <w:rFonts w:hint="eastAsia" w:ascii="仿宋" w:hAnsi="仿宋" w:eastAsia="仿宋" w:cs="仿宋"/>
          <w:spacing w:val="6"/>
          <w:sz w:val="24"/>
          <w:szCs w:val="24"/>
          <w:u w:val="single"/>
        </w:rPr>
        <w:t xml:space="preserve">                  （单位）</w:t>
      </w:r>
      <w:r>
        <w:rPr>
          <w:rFonts w:hint="eastAsia" w:ascii="仿宋" w:hAnsi="仿宋" w:eastAsia="仿宋" w:cs="仿宋"/>
          <w:spacing w:val="6"/>
          <w:sz w:val="24"/>
          <w:szCs w:val="24"/>
        </w:rPr>
        <w:t>负责人</w:t>
      </w:r>
      <w:r>
        <w:rPr>
          <w:rFonts w:hint="eastAsia" w:ascii="仿宋" w:hAnsi="仿宋" w:eastAsia="仿宋" w:cs="仿宋"/>
          <w:spacing w:val="6"/>
          <w:sz w:val="24"/>
          <w:szCs w:val="24"/>
          <w:u w:val="single"/>
        </w:rPr>
        <w:t xml:space="preserve">        （姓名）</w:t>
      </w:r>
      <w:r>
        <w:rPr>
          <w:rFonts w:hint="eastAsia" w:ascii="仿宋" w:hAnsi="仿宋" w:eastAsia="仿宋" w:cs="仿宋"/>
          <w:spacing w:val="6"/>
          <w:sz w:val="24"/>
          <w:szCs w:val="24"/>
        </w:rPr>
        <w:t>合法授权参加项目（编号：</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 xml:space="preserve">）政府采购活动，经与本单位法人代表（负责人）联系确认，现就有关公平竞争事项郑重声明如下： </w:t>
      </w:r>
    </w:p>
    <w:p w14:paraId="452829CD">
      <w:pPr>
        <w:pStyle w:val="21"/>
        <w:numPr>
          <w:ilvl w:val="0"/>
          <w:numId w:val="1"/>
        </w:numPr>
        <w:snapToGrid w:val="0"/>
        <w:spacing w:line="420" w:lineRule="exact"/>
        <w:ind w:firstLine="453" w:firstLineChars="189"/>
        <w:rPr>
          <w:rFonts w:ascii="仿宋" w:hAnsi="仿宋" w:eastAsia="仿宋" w:cs="仿宋"/>
          <w:kern w:val="0"/>
          <w:sz w:val="24"/>
          <w:szCs w:val="24"/>
        </w:rPr>
      </w:pPr>
      <w:r>
        <w:rPr>
          <w:rFonts w:hint="eastAsia" w:ascii="仿宋" w:hAnsi="仿宋" w:eastAsia="仿宋" w:cs="仿宋"/>
          <w:kern w:val="0"/>
          <w:sz w:val="24"/>
          <w:szCs w:val="24"/>
        </w:rPr>
        <w:t xml:space="preserve">本单位与采购人之间 </w:t>
      </w: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不存在利害关系 □存在下列利害关系：</w:t>
      </w:r>
    </w:p>
    <w:p w14:paraId="30D86CD3">
      <w:pPr>
        <w:pStyle w:val="21"/>
        <w:snapToGrid w:val="0"/>
        <w:spacing w:line="420" w:lineRule="exact"/>
        <w:rPr>
          <w:rFonts w:ascii="仿宋" w:hAnsi="仿宋" w:eastAsia="仿宋" w:cs="仿宋"/>
          <w:kern w:val="0"/>
          <w:sz w:val="24"/>
          <w:szCs w:val="24"/>
        </w:rPr>
      </w:pPr>
      <w:r>
        <w:rPr>
          <w:rFonts w:hint="eastAsia" w:ascii="仿宋" w:hAnsi="仿宋" w:eastAsia="仿宋" w:cs="仿宋"/>
          <w:kern w:val="0"/>
          <w:sz w:val="24"/>
          <w:szCs w:val="24"/>
        </w:rPr>
        <w:t xml:space="preserve">  A.投资关系    B.行政隶属关系    C.业务指导关系</w:t>
      </w:r>
    </w:p>
    <w:p w14:paraId="79D39BD6">
      <w:pPr>
        <w:pStyle w:val="21"/>
        <w:snapToGrid w:val="0"/>
        <w:spacing w:line="420" w:lineRule="exact"/>
        <w:rPr>
          <w:rFonts w:ascii="仿宋" w:hAnsi="仿宋" w:eastAsia="仿宋" w:cs="仿宋"/>
          <w:kern w:val="0"/>
          <w:sz w:val="24"/>
          <w:szCs w:val="24"/>
        </w:rPr>
      </w:pPr>
      <w:r>
        <w:rPr>
          <w:rFonts w:hint="eastAsia" w:ascii="仿宋" w:hAnsi="仿宋" w:eastAsia="仿宋" w:cs="仿宋"/>
          <w:kern w:val="0"/>
          <w:sz w:val="24"/>
          <w:szCs w:val="24"/>
        </w:rPr>
        <w:t xml:space="preserve">  D.其他可能</w:t>
      </w:r>
      <w:r>
        <w:rPr>
          <w:rFonts w:hint="eastAsia" w:ascii="仿宋" w:hAnsi="仿宋" w:eastAsia="仿宋" w:cs="仿宋"/>
          <w:sz w:val="24"/>
          <w:szCs w:val="24"/>
        </w:rPr>
        <w:t>影响采购公正的</w:t>
      </w:r>
      <w:r>
        <w:rPr>
          <w:rFonts w:hint="eastAsia" w:ascii="仿宋" w:hAnsi="仿宋" w:eastAsia="仿宋" w:cs="仿宋"/>
          <w:kern w:val="0"/>
          <w:sz w:val="24"/>
          <w:szCs w:val="24"/>
        </w:rPr>
        <w:t>利害关系</w:t>
      </w:r>
      <w:r>
        <w:rPr>
          <w:rFonts w:hint="eastAsia" w:ascii="仿宋" w:hAnsi="仿宋" w:eastAsia="仿宋" w:cs="仿宋"/>
          <w:kern w:val="0"/>
          <w:sz w:val="24"/>
          <w:szCs w:val="24"/>
          <w:u w:val="single"/>
        </w:rPr>
        <w:t xml:space="preserve">（如有，请如实说明）                 </w:t>
      </w:r>
      <w:r>
        <w:rPr>
          <w:rFonts w:hint="eastAsia" w:ascii="仿宋" w:hAnsi="仿宋" w:eastAsia="仿宋" w:cs="仿宋"/>
          <w:kern w:val="0"/>
          <w:sz w:val="24"/>
          <w:szCs w:val="24"/>
        </w:rPr>
        <w:t>。</w:t>
      </w:r>
    </w:p>
    <w:p w14:paraId="460E61FE">
      <w:pPr>
        <w:pStyle w:val="21"/>
        <w:snapToGrid w:val="0"/>
        <w:spacing w:line="420" w:lineRule="exact"/>
        <w:rPr>
          <w:rFonts w:ascii="仿宋" w:hAnsi="仿宋" w:eastAsia="仿宋" w:cs="仿宋"/>
          <w:kern w:val="0"/>
          <w:sz w:val="24"/>
          <w:szCs w:val="24"/>
        </w:rPr>
      </w:pPr>
      <w:r>
        <w:rPr>
          <w:rFonts w:hint="eastAsia" w:ascii="仿宋" w:hAnsi="仿宋" w:eastAsia="仿宋" w:cs="仿宋"/>
          <w:spacing w:val="6"/>
          <w:sz w:val="24"/>
          <w:szCs w:val="24"/>
        </w:rPr>
        <w:t xml:space="preserve">    二、</w:t>
      </w:r>
      <w:r>
        <w:rPr>
          <w:rFonts w:hint="eastAsia" w:ascii="仿宋" w:hAnsi="仿宋" w:eastAsia="仿宋" w:cs="仿宋"/>
          <w:kern w:val="0"/>
          <w:sz w:val="24"/>
          <w:szCs w:val="24"/>
        </w:rPr>
        <w:t xml:space="preserve">现已清楚知道参加本项目采购活动的其他所有供应商名称，本单位 </w:t>
      </w: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 xml:space="preserve">与其他所有供应商之间均不存在利害关系 </w:t>
      </w: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与</w:t>
      </w:r>
      <w:r>
        <w:rPr>
          <w:rFonts w:hint="eastAsia" w:ascii="仿宋" w:hAnsi="仿宋" w:eastAsia="仿宋" w:cs="仿宋"/>
          <w:kern w:val="0"/>
          <w:sz w:val="24"/>
          <w:szCs w:val="24"/>
          <w:u w:val="single"/>
        </w:rPr>
        <w:t xml:space="preserve">           （供应商名称）</w:t>
      </w:r>
      <w:r>
        <w:rPr>
          <w:rFonts w:hint="eastAsia" w:ascii="仿宋" w:hAnsi="仿宋" w:eastAsia="仿宋" w:cs="仿宋"/>
          <w:kern w:val="0"/>
          <w:sz w:val="24"/>
          <w:szCs w:val="24"/>
        </w:rPr>
        <w:t>之间存在下列利害关系：</w:t>
      </w:r>
    </w:p>
    <w:p w14:paraId="30D233DA">
      <w:pPr>
        <w:pStyle w:val="20"/>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 xml:space="preserve">  A.法定代表人或负责人或实际控制人是同一人</w:t>
      </w:r>
    </w:p>
    <w:p w14:paraId="0B1BFF3A">
      <w:pPr>
        <w:pStyle w:val="20"/>
        <w:spacing w:line="420" w:lineRule="exact"/>
        <w:ind w:firstLine="480"/>
        <w:rPr>
          <w:rFonts w:ascii="仿宋" w:hAnsi="仿宋" w:eastAsia="仿宋" w:cs="仿宋"/>
          <w:spacing w:val="6"/>
          <w:sz w:val="24"/>
          <w:szCs w:val="24"/>
        </w:rPr>
      </w:pPr>
      <w:r>
        <w:rPr>
          <w:rFonts w:hint="eastAsia" w:ascii="仿宋" w:hAnsi="仿宋" w:eastAsia="仿宋" w:cs="仿宋"/>
          <w:kern w:val="0"/>
          <w:sz w:val="24"/>
          <w:szCs w:val="24"/>
        </w:rPr>
        <w:t xml:space="preserve">  B.法定代表人或负责人或实际控制人是夫妻关系</w:t>
      </w:r>
    </w:p>
    <w:p w14:paraId="4C1AFD0E">
      <w:pPr>
        <w:pStyle w:val="20"/>
        <w:spacing w:line="420" w:lineRule="exact"/>
        <w:ind w:firstLine="480"/>
        <w:rPr>
          <w:rFonts w:ascii="仿宋" w:hAnsi="仿宋" w:eastAsia="仿宋" w:cs="仿宋"/>
          <w:spacing w:val="6"/>
          <w:sz w:val="24"/>
          <w:szCs w:val="24"/>
        </w:rPr>
      </w:pPr>
      <w:r>
        <w:rPr>
          <w:rFonts w:hint="eastAsia" w:ascii="仿宋" w:hAnsi="仿宋" w:eastAsia="仿宋" w:cs="仿宋"/>
          <w:kern w:val="0"/>
          <w:sz w:val="24"/>
          <w:szCs w:val="24"/>
        </w:rPr>
        <w:t xml:space="preserve">  C.法定代表人或负责人或实际控制人是直系血亲关系</w:t>
      </w:r>
    </w:p>
    <w:p w14:paraId="426AE9A3">
      <w:pPr>
        <w:pStyle w:val="20"/>
        <w:spacing w:line="420" w:lineRule="exact"/>
        <w:ind w:firstLine="480"/>
        <w:rPr>
          <w:rFonts w:ascii="仿宋" w:hAnsi="仿宋" w:eastAsia="仿宋" w:cs="仿宋"/>
          <w:spacing w:val="6"/>
          <w:sz w:val="24"/>
          <w:szCs w:val="24"/>
        </w:rPr>
      </w:pPr>
      <w:r>
        <w:rPr>
          <w:rFonts w:hint="eastAsia" w:ascii="仿宋" w:hAnsi="仿宋" w:eastAsia="仿宋" w:cs="仿宋"/>
          <w:kern w:val="0"/>
          <w:sz w:val="24"/>
          <w:szCs w:val="24"/>
        </w:rPr>
        <w:t xml:space="preserve">  D.法定代表人或负责人或实际控制人存在三代以内旁系血亲关系</w:t>
      </w:r>
    </w:p>
    <w:p w14:paraId="1A91ED1B">
      <w:pPr>
        <w:pStyle w:val="20"/>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 xml:space="preserve">  E.法定代表人或负责人或实际控制人存在近姻亲关系</w:t>
      </w:r>
    </w:p>
    <w:p w14:paraId="6B41E4F2">
      <w:pPr>
        <w:pStyle w:val="20"/>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 xml:space="preserve">  F.法定代表人或负责人或实际控制人存在股份控制或实际控制关系</w:t>
      </w:r>
    </w:p>
    <w:p w14:paraId="59F90456">
      <w:pPr>
        <w:pStyle w:val="20"/>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 xml:space="preserve">  G.存在共同直接或间接投资设立子公司、联营企业和合营企业情况</w:t>
      </w:r>
    </w:p>
    <w:p w14:paraId="41282ACA">
      <w:pPr>
        <w:pStyle w:val="20"/>
        <w:spacing w:line="420" w:lineRule="exact"/>
        <w:ind w:firstLine="480"/>
        <w:rPr>
          <w:rFonts w:ascii="仿宋" w:hAnsi="仿宋" w:eastAsia="仿宋" w:cs="仿宋"/>
          <w:sz w:val="24"/>
          <w:szCs w:val="24"/>
        </w:rPr>
      </w:pPr>
      <w:r>
        <w:rPr>
          <w:rFonts w:hint="eastAsia" w:ascii="仿宋" w:hAnsi="仿宋" w:eastAsia="仿宋" w:cs="仿宋"/>
          <w:kern w:val="0"/>
          <w:sz w:val="24"/>
          <w:szCs w:val="24"/>
        </w:rPr>
        <w:t xml:space="preserve">  H.存在分级代理或代销关系、同一生产制造商关系、</w:t>
      </w:r>
      <w:r>
        <w:rPr>
          <w:rFonts w:hint="eastAsia" w:ascii="仿宋" w:hAnsi="仿宋" w:eastAsia="仿宋" w:cs="仿宋"/>
          <w:sz w:val="24"/>
          <w:szCs w:val="24"/>
        </w:rPr>
        <w:t>管理关系、重要业务（占主营业务收入50%以上）或重要财务往来关系（如融资）等其他实质性控制关系</w:t>
      </w:r>
    </w:p>
    <w:p w14:paraId="3CFE4F2A">
      <w:pPr>
        <w:pStyle w:val="20"/>
        <w:spacing w:line="420" w:lineRule="exact"/>
        <w:ind w:firstLine="480"/>
        <w:rPr>
          <w:rFonts w:ascii="仿宋" w:hAnsi="仿宋" w:eastAsia="仿宋" w:cs="仿宋"/>
          <w:spacing w:val="6"/>
          <w:sz w:val="24"/>
          <w:szCs w:val="24"/>
        </w:rPr>
      </w:pPr>
      <w:r>
        <w:rPr>
          <w:rFonts w:hint="eastAsia" w:ascii="仿宋" w:hAnsi="仿宋" w:eastAsia="仿宋" w:cs="仿宋"/>
          <w:sz w:val="24"/>
          <w:szCs w:val="24"/>
        </w:rPr>
        <w:t xml:space="preserve">    I</w:t>
      </w:r>
      <w:r>
        <w:rPr>
          <w:rFonts w:hint="eastAsia" w:ascii="仿宋" w:hAnsi="仿宋" w:eastAsia="仿宋" w:cs="仿宋"/>
          <w:kern w:val="0"/>
          <w:sz w:val="24"/>
          <w:szCs w:val="24"/>
        </w:rPr>
        <w:t>.</w:t>
      </w:r>
      <w:r>
        <w:rPr>
          <w:rFonts w:hint="eastAsia" w:ascii="仿宋" w:hAnsi="仿宋" w:eastAsia="仿宋" w:cs="仿宋"/>
          <w:sz w:val="24"/>
          <w:szCs w:val="24"/>
        </w:rPr>
        <w:t>其他利害关系情况</w:t>
      </w:r>
      <w:r>
        <w:rPr>
          <w:rFonts w:hint="eastAsia" w:ascii="仿宋" w:hAnsi="仿宋" w:eastAsia="仿宋" w:cs="仿宋"/>
          <w:kern w:val="0"/>
          <w:sz w:val="24"/>
          <w:szCs w:val="24"/>
        </w:rPr>
        <w:t>。</w:t>
      </w:r>
    </w:p>
    <w:p w14:paraId="032FD88D">
      <w:pPr>
        <w:pStyle w:val="21"/>
        <w:numPr>
          <w:ilvl w:val="0"/>
          <w:numId w:val="2"/>
        </w:numPr>
        <w:snapToGrid w:val="0"/>
        <w:spacing w:line="420" w:lineRule="exact"/>
        <w:ind w:firstLine="453" w:firstLineChars="189"/>
        <w:rPr>
          <w:rFonts w:ascii="仿宋" w:hAnsi="仿宋" w:eastAsia="仿宋" w:cs="仿宋"/>
          <w:kern w:val="0"/>
          <w:sz w:val="24"/>
          <w:szCs w:val="24"/>
        </w:rPr>
      </w:pPr>
      <w:r>
        <w:rPr>
          <w:rFonts w:hint="eastAsia" w:ascii="仿宋" w:hAnsi="仿宋" w:eastAsia="仿宋" w:cs="仿宋"/>
          <w:sz w:val="24"/>
          <w:szCs w:val="24"/>
        </w:rPr>
        <w:t>现已清楚知道并</w:t>
      </w:r>
      <w:r>
        <w:rPr>
          <w:rFonts w:hint="eastAsia" w:ascii="仿宋" w:hAnsi="仿宋" w:eastAsia="仿宋" w:cs="仿宋"/>
          <w:kern w:val="0"/>
          <w:sz w:val="24"/>
          <w:szCs w:val="24"/>
        </w:rPr>
        <w:t>严格遵守政府采购法律法规和现场纪律。</w:t>
      </w:r>
    </w:p>
    <w:p w14:paraId="5D9347FA">
      <w:pPr>
        <w:pStyle w:val="21"/>
        <w:numPr>
          <w:ilvl w:val="0"/>
          <w:numId w:val="2"/>
        </w:numPr>
        <w:snapToGrid w:val="0"/>
        <w:spacing w:line="420" w:lineRule="exact"/>
        <w:ind w:firstLine="453" w:firstLineChars="189"/>
        <w:rPr>
          <w:rFonts w:ascii="仿宋" w:hAnsi="仿宋" w:eastAsia="仿宋" w:cs="仿宋"/>
          <w:kern w:val="0"/>
          <w:sz w:val="24"/>
          <w:szCs w:val="24"/>
        </w:rPr>
      </w:pPr>
      <w:r>
        <w:rPr>
          <w:rFonts w:hint="eastAsia" w:ascii="仿宋" w:hAnsi="仿宋" w:eastAsia="仿宋" w:cs="仿宋"/>
          <w:kern w:val="0"/>
          <w:sz w:val="24"/>
          <w:szCs w:val="24"/>
        </w:rPr>
        <w:t>我发现</w:t>
      </w:r>
      <w:r>
        <w:rPr>
          <w:rFonts w:hint="eastAsia" w:ascii="仿宋" w:hAnsi="仿宋" w:eastAsia="仿宋" w:cs="仿宋"/>
          <w:kern w:val="0"/>
          <w:sz w:val="24"/>
          <w:szCs w:val="24"/>
          <w:u w:val="single"/>
        </w:rPr>
        <w:t>             </w:t>
      </w:r>
      <w:r>
        <w:rPr>
          <w:rFonts w:hint="eastAsia" w:ascii="仿宋" w:hAnsi="仿宋" w:eastAsia="仿宋" w:cs="仿宋"/>
          <w:kern w:val="0"/>
          <w:sz w:val="24"/>
          <w:szCs w:val="24"/>
        </w:rPr>
        <w:t>供应商之间存在或可能存在上述第二条第</w:t>
      </w:r>
      <w:r>
        <w:rPr>
          <w:rFonts w:hint="eastAsia" w:ascii="仿宋" w:hAnsi="仿宋" w:eastAsia="仿宋" w:cs="仿宋"/>
          <w:kern w:val="0"/>
          <w:sz w:val="24"/>
          <w:szCs w:val="24"/>
          <w:u w:val="single"/>
        </w:rPr>
        <w:t>        </w:t>
      </w:r>
      <w:r>
        <w:rPr>
          <w:rFonts w:hint="eastAsia" w:ascii="仿宋" w:hAnsi="仿宋" w:eastAsia="仿宋" w:cs="仿宋"/>
          <w:kern w:val="0"/>
          <w:sz w:val="24"/>
          <w:szCs w:val="24"/>
        </w:rPr>
        <w:t>项利害关系。</w:t>
      </w:r>
    </w:p>
    <w:p w14:paraId="763D28D9">
      <w:pPr>
        <w:pStyle w:val="20"/>
        <w:spacing w:line="420" w:lineRule="exact"/>
        <w:ind w:firstLine="480"/>
        <w:rPr>
          <w:rFonts w:ascii="仿宋" w:hAnsi="仿宋" w:eastAsia="仿宋" w:cs="仿宋"/>
          <w:sz w:val="24"/>
          <w:szCs w:val="24"/>
          <w:u w:val="single"/>
        </w:rPr>
      </w:pPr>
      <w:r>
        <w:rPr>
          <w:rFonts w:hint="eastAsia" w:ascii="仿宋" w:hAnsi="仿宋" w:eastAsia="仿宋" w:cs="仿宋"/>
          <w:sz w:val="24"/>
          <w:szCs w:val="24"/>
        </w:rPr>
        <w:t>供应商代表签字：</w:t>
      </w:r>
    </w:p>
    <w:p w14:paraId="2354F44F">
      <w:pPr>
        <w:spacing w:line="420" w:lineRule="exact"/>
        <w:jc w:val="right"/>
        <w:rPr>
          <w:rFonts w:ascii="仿宋" w:hAnsi="仿宋" w:eastAsia="仿宋" w:cs="仿宋"/>
          <w:b/>
          <w:bCs/>
          <w:sz w:val="24"/>
        </w:rPr>
      </w:pPr>
      <w:r>
        <w:rPr>
          <w:rFonts w:hint="eastAsia" w:ascii="仿宋" w:hAnsi="仿宋" w:eastAsia="仿宋" w:cs="仿宋"/>
          <w:sz w:val="24"/>
        </w:rPr>
        <w:t xml:space="preserve"> 2026年  月  日</w:t>
      </w:r>
    </w:p>
    <w:p w14:paraId="0D2D4EB2">
      <w:pPr>
        <w:rPr>
          <w:rFonts w:ascii="仿宋" w:hAnsi="仿宋" w:eastAsia="仿宋" w:cs="仿宋"/>
          <w:sz w:val="28"/>
          <w:szCs w:val="28"/>
        </w:rPr>
      </w:pPr>
      <w:r>
        <w:rPr>
          <w:rFonts w:hint="eastAsia" w:ascii="仿宋" w:hAnsi="仿宋" w:eastAsia="仿宋" w:cs="仿宋"/>
          <w:sz w:val="24"/>
        </w:rPr>
        <w:t>注：投标文件解密结束后60分钟内将《政府采购活动现场确认声明书》以E-mail电子邮件形式发送给采购代理机构（zhengzhanjianshe@163.com）。</w:t>
      </w:r>
      <w:r>
        <w:rPr>
          <w:rFonts w:hint="eastAsia" w:ascii="仿宋" w:hAnsi="仿宋" w:eastAsia="仿宋" w:cs="仿宋"/>
          <w:b/>
          <w:sz w:val="28"/>
          <w:szCs w:val="28"/>
        </w:rPr>
        <w:br w:type="page"/>
      </w:r>
    </w:p>
    <w:p w14:paraId="1E30CDE5">
      <w:pPr>
        <w:pStyle w:val="3"/>
        <w:snapToGrid w:val="0"/>
        <w:spacing w:before="0" w:after="0" w:line="360" w:lineRule="auto"/>
        <w:jc w:val="center"/>
        <w:rPr>
          <w:rFonts w:ascii="仿宋" w:hAnsi="仿宋" w:eastAsia="仿宋" w:cs="仿宋"/>
          <w:sz w:val="28"/>
          <w:szCs w:val="28"/>
        </w:rPr>
      </w:pPr>
      <w:r>
        <w:rPr>
          <w:rFonts w:hint="eastAsia" w:ascii="仿宋" w:hAnsi="仿宋" w:eastAsia="仿宋" w:cs="仿宋"/>
          <w:sz w:val="28"/>
          <w:szCs w:val="28"/>
        </w:rPr>
        <w:t>一、</w:t>
      </w:r>
      <w:bookmarkEnd w:id="1"/>
      <w:bookmarkEnd w:id="2"/>
      <w:bookmarkEnd w:id="3"/>
      <w:bookmarkEnd w:id="4"/>
      <w:bookmarkEnd w:id="5"/>
      <w:bookmarkEnd w:id="6"/>
      <w:bookmarkEnd w:id="7"/>
      <w:bookmarkEnd w:id="8"/>
      <w:bookmarkEnd w:id="9"/>
      <w:bookmarkEnd w:id="10"/>
      <w:r>
        <w:rPr>
          <w:rFonts w:hint="eastAsia" w:ascii="仿宋" w:hAnsi="仿宋" w:eastAsia="仿宋" w:cs="仿宋"/>
          <w:sz w:val="28"/>
          <w:szCs w:val="28"/>
        </w:rPr>
        <w:t>总则</w:t>
      </w:r>
    </w:p>
    <w:p w14:paraId="51578BC1">
      <w:pPr>
        <w:tabs>
          <w:tab w:val="left" w:pos="540"/>
          <w:tab w:val="left" w:pos="900"/>
        </w:tabs>
        <w:snapToGrid w:val="0"/>
        <w:spacing w:line="360" w:lineRule="auto"/>
        <w:rPr>
          <w:rFonts w:ascii="仿宋" w:hAnsi="仿宋" w:eastAsia="仿宋" w:cs="仿宋"/>
          <w:b/>
          <w:sz w:val="24"/>
        </w:rPr>
      </w:pPr>
      <w:r>
        <w:rPr>
          <w:rFonts w:hint="eastAsia" w:ascii="仿宋" w:hAnsi="仿宋" w:eastAsia="仿宋" w:cs="仿宋"/>
          <w:b/>
          <w:sz w:val="24"/>
        </w:rPr>
        <w:t>1.总说明</w:t>
      </w:r>
    </w:p>
    <w:p w14:paraId="2699427B">
      <w:pPr>
        <w:tabs>
          <w:tab w:val="left" w:pos="540"/>
          <w:tab w:val="left" w:pos="90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采购是按照《中华人民共和国政府采购法》《中华人民共和国政府采购法实施条例》《政府采购竞争性磋商采购方式管理暂行办法》《关于政府采购竞争性磋商采购方式管理暂行办法有关问题的补充通知》和《关于进一步规范政府采购活动的若干意见》等法律及有关法规组织和实施的。</w:t>
      </w:r>
    </w:p>
    <w:p w14:paraId="60983A94">
      <w:pPr>
        <w:tabs>
          <w:tab w:val="left" w:pos="540"/>
          <w:tab w:val="left" w:pos="900"/>
        </w:tabs>
        <w:snapToGrid w:val="0"/>
        <w:spacing w:line="360" w:lineRule="auto"/>
        <w:rPr>
          <w:rFonts w:ascii="仿宋" w:hAnsi="仿宋" w:eastAsia="仿宋" w:cs="仿宋"/>
          <w:b/>
          <w:sz w:val="24"/>
        </w:rPr>
      </w:pPr>
      <w:r>
        <w:rPr>
          <w:rFonts w:hint="eastAsia" w:ascii="仿宋" w:hAnsi="仿宋" w:eastAsia="仿宋" w:cs="仿宋"/>
          <w:b/>
          <w:bCs/>
          <w:sz w:val="24"/>
        </w:rPr>
        <w:t>2.</w:t>
      </w:r>
      <w:r>
        <w:rPr>
          <w:rFonts w:hint="eastAsia" w:ascii="仿宋" w:hAnsi="仿宋" w:eastAsia="仿宋" w:cs="仿宋"/>
          <w:b/>
          <w:sz w:val="24"/>
        </w:rPr>
        <w:t>采购项目</w:t>
      </w:r>
    </w:p>
    <w:p w14:paraId="4B0C2E0F">
      <w:pPr>
        <w:tabs>
          <w:tab w:val="left" w:pos="540"/>
          <w:tab w:val="left" w:pos="90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2.1采购项目的基本情况见采购公告，采购需求见采购文件第三部分“采购需求”。项目采购标的对应的行业划分、项目属性、是否允许分包、是否允许偏离等情况见供应商须知前附表。</w:t>
      </w:r>
    </w:p>
    <w:p w14:paraId="5DE83F0D">
      <w:pPr>
        <w:tabs>
          <w:tab w:val="left" w:pos="540"/>
          <w:tab w:val="left" w:pos="900"/>
        </w:tabs>
        <w:snapToGrid w:val="0"/>
        <w:spacing w:line="360" w:lineRule="auto"/>
        <w:rPr>
          <w:rFonts w:ascii="仿宋" w:hAnsi="仿宋" w:eastAsia="仿宋" w:cs="仿宋"/>
          <w:b/>
          <w:bCs/>
          <w:sz w:val="24"/>
        </w:rPr>
      </w:pPr>
      <w:r>
        <w:rPr>
          <w:rFonts w:hint="eastAsia" w:ascii="仿宋" w:hAnsi="仿宋" w:eastAsia="仿宋" w:cs="仿宋"/>
          <w:b/>
          <w:bCs/>
          <w:sz w:val="24"/>
        </w:rPr>
        <w:t>3.合格的供应商</w:t>
      </w:r>
    </w:p>
    <w:p w14:paraId="31C7B6D5">
      <w:pPr>
        <w:tabs>
          <w:tab w:val="left" w:pos="540"/>
          <w:tab w:val="left" w:pos="90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3.1合格的供应商应满足采购文件第一部分“采购公告”对申请人的资格要求。</w:t>
      </w:r>
    </w:p>
    <w:p w14:paraId="55BDCC70">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3.2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D58D454">
      <w:pPr>
        <w:tabs>
          <w:tab w:val="left" w:pos="540"/>
          <w:tab w:val="left" w:pos="90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3.3供应商可授权供应商代表以供应商名义参加本次采购的磋商活动（包括响应文件的签署、澄清、说明、补正、递交、撤回、修改等以及签订合同和处理有关事宜）。如果供应商代表不是法定代表人(负责人)，须持有《法定代表人(负责人)授权书》。</w:t>
      </w:r>
    </w:p>
    <w:p w14:paraId="03D68D16">
      <w:pPr>
        <w:tabs>
          <w:tab w:val="left" w:pos="540"/>
          <w:tab w:val="left" w:pos="900"/>
        </w:tabs>
        <w:snapToGrid w:val="0"/>
        <w:spacing w:line="360" w:lineRule="auto"/>
        <w:rPr>
          <w:rFonts w:ascii="仿宋" w:hAnsi="仿宋" w:eastAsia="仿宋" w:cs="仿宋"/>
          <w:b/>
          <w:sz w:val="24"/>
        </w:rPr>
      </w:pPr>
      <w:r>
        <w:rPr>
          <w:rFonts w:hint="eastAsia" w:ascii="仿宋" w:hAnsi="仿宋" w:eastAsia="仿宋" w:cs="仿宋"/>
          <w:b/>
          <w:sz w:val="24"/>
        </w:rPr>
        <w:t>4.磋商费用</w:t>
      </w:r>
    </w:p>
    <w:p w14:paraId="58EF2E2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供应商应承担所有与准备和参加磋商有关费用，不论磋商的结果如何，采购人和采购代理机构均无义务和责任承担这些费用。</w:t>
      </w:r>
    </w:p>
    <w:p w14:paraId="6AC9771C">
      <w:pPr>
        <w:tabs>
          <w:tab w:val="left" w:pos="540"/>
          <w:tab w:val="left" w:pos="900"/>
        </w:tabs>
        <w:snapToGrid w:val="0"/>
        <w:spacing w:line="360" w:lineRule="auto"/>
        <w:rPr>
          <w:rFonts w:ascii="仿宋" w:hAnsi="仿宋" w:eastAsia="仿宋" w:cs="仿宋"/>
          <w:b/>
          <w:sz w:val="24"/>
        </w:rPr>
      </w:pPr>
      <w:r>
        <w:rPr>
          <w:rFonts w:hint="eastAsia" w:ascii="仿宋" w:hAnsi="仿宋" w:eastAsia="仿宋" w:cs="仿宋"/>
          <w:b/>
          <w:sz w:val="24"/>
        </w:rPr>
        <w:t>5.保密</w:t>
      </w:r>
    </w:p>
    <w:p w14:paraId="4DEB66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参与采购活动的各方应对采购文件和响应文件中的商业和技术等秘密保密，否则应承担相应的法律责任。</w:t>
      </w:r>
    </w:p>
    <w:p w14:paraId="5ABBDA09">
      <w:pPr>
        <w:snapToGrid w:val="0"/>
        <w:spacing w:line="360" w:lineRule="auto"/>
        <w:rPr>
          <w:rFonts w:ascii="仿宋" w:hAnsi="仿宋" w:eastAsia="仿宋" w:cs="仿宋"/>
          <w:b/>
          <w:bCs/>
          <w:spacing w:val="6"/>
          <w:sz w:val="24"/>
        </w:rPr>
      </w:pPr>
      <w:r>
        <w:rPr>
          <w:rFonts w:hint="eastAsia" w:ascii="仿宋" w:hAnsi="仿宋" w:eastAsia="仿宋" w:cs="仿宋"/>
          <w:b/>
          <w:bCs/>
          <w:spacing w:val="6"/>
          <w:sz w:val="24"/>
        </w:rPr>
        <w:t>6.磋商前答疑会或现场考察</w:t>
      </w:r>
    </w:p>
    <w:p w14:paraId="73A8779D">
      <w:pPr>
        <w:snapToGrid w:val="0"/>
        <w:spacing w:line="360" w:lineRule="auto"/>
        <w:rPr>
          <w:rFonts w:ascii="仿宋" w:hAnsi="仿宋" w:eastAsia="仿宋" w:cs="仿宋"/>
          <w:sz w:val="24"/>
        </w:rPr>
      </w:pPr>
      <w:r>
        <w:rPr>
          <w:rFonts w:hint="eastAsia" w:ascii="仿宋" w:hAnsi="仿宋" w:eastAsia="仿宋" w:cs="仿宋"/>
          <w:sz w:val="24"/>
        </w:rPr>
        <w:t>不组织。</w:t>
      </w:r>
    </w:p>
    <w:p w14:paraId="2101B4E7">
      <w:pPr>
        <w:snapToGrid w:val="0"/>
        <w:spacing w:line="360" w:lineRule="auto"/>
        <w:rPr>
          <w:rFonts w:ascii="仿宋" w:hAnsi="仿宋" w:eastAsia="仿宋" w:cs="仿宋"/>
          <w:b/>
          <w:bCs/>
          <w:spacing w:val="6"/>
          <w:sz w:val="24"/>
        </w:rPr>
      </w:pPr>
      <w:r>
        <w:rPr>
          <w:rFonts w:hint="eastAsia" w:ascii="仿宋" w:hAnsi="仿宋" w:eastAsia="仿宋" w:cs="仿宋"/>
          <w:b/>
          <w:bCs/>
          <w:spacing w:val="6"/>
          <w:sz w:val="24"/>
        </w:rPr>
        <w:t>7.落实政府采购政策</w:t>
      </w:r>
    </w:p>
    <w:p w14:paraId="5985C6ED">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68A0C571">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支持中小企业发展</w:t>
      </w:r>
    </w:p>
    <w:p w14:paraId="7AC38160">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39472D59">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符合中小企业划分标准的个体工商户，在政府采购活动中视同中小企业。</w:t>
      </w:r>
    </w:p>
    <w:p w14:paraId="7AA37157">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.2在政府采购活动中，供应商提供的货物、工程或者服务符合下列情形的，享受中小企业扶持政策：</w:t>
      </w:r>
    </w:p>
    <w:p w14:paraId="6B4017C8">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（1）在货物采购项目中，货物由中小企业制造，即货物由中小企业生产且使用该中小企业商号或者注册商标；</w:t>
      </w:r>
    </w:p>
    <w:p w14:paraId="14DD3331">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（2）在工程采购项目中，工程由中小企业承建，即工程施工单位为中小企业；</w:t>
      </w:r>
    </w:p>
    <w:p w14:paraId="0501A90F">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（3）在服务采购项目中，服务由中小企业承接，即提供服务的人员为中小企业依照《中华人民共和国劳动合同法》订立劳动合同的从业人员。</w:t>
      </w:r>
    </w:p>
    <w:p w14:paraId="2BBF5827">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在货物采购项目中，供应商提供的货物既有中小企业制造货物，也有大型企业制造货物的，不享受中小企业扶持政策。</w:t>
      </w:r>
    </w:p>
    <w:p w14:paraId="66A59061">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以联合体形式参加政府采购活动，联合体各方均为中小企业的，联合体视同中小企业。其中，联合体各方均为小微企业的，联合体视同小微企业。</w:t>
      </w:r>
    </w:p>
    <w:p w14:paraId="78A0CCA0">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3对于未预留份额专门面向中小企业采购的采购项目，以及预留份额项目中的非预留部分采购包，采购人、采购代理机构应当对符合规定的小微企业报价给予10-20%（工程项目为5%）的扣除，用扣除后的价格参加评审。</w:t>
      </w:r>
    </w:p>
    <w:p w14:paraId="4BD70BD6">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接受大中型企业与小微企业组成联合体或者允许大中型企业向一家或者多家小微企业分包的采购项目，对于联合体协议或者分包意向协议约定小微企业的合同份额占到合同总金额30%以上的，采购人、采购代理机构应当对联合体或者大中型企业的报价给予3-6%（工程项目为1%-2%）的扣除，用扣除后的价格参加评审。组成联合体或者接受分包的小微企业与联合体内其他企业、分包企业之间存在直接控股、管理关系的，不享受价格扣除优惠政策。</w:t>
      </w:r>
    </w:p>
    <w:p w14:paraId="13EDF85F">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价格扣除比例或者价格分加分比例对小型企业和微型企业同等对待，不作区分。具体采购项目的价格扣除比例见采购文件第六部分评审办法。</w:t>
      </w:r>
    </w:p>
    <w:p w14:paraId="2B5E1002">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.4符合《关于促进残疾人就业政府采购政策的通知》（财库〔2017〕141号）规定的条件并提供《残疾人福利性单位声明函》的残疾人福利性单位视同小型、微型企业；</w:t>
      </w:r>
    </w:p>
    <w:p w14:paraId="5298D8BE">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4CBFDDD2">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6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14:paraId="77AD913C">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2</w:t>
      </w:r>
      <w:r>
        <w:rPr>
          <w:rFonts w:hint="eastAsia" w:ascii="仿宋" w:hAnsi="仿宋" w:eastAsia="仿宋" w:cs="仿宋"/>
          <w:bCs/>
          <w:spacing w:val="6"/>
          <w:sz w:val="24"/>
        </w:rPr>
        <w:t>.7中小企业享受扶持政策获得政府采购合同的，小微企业不得将合同分包给大中型企业，中型企业不得将合同分包给大型企业。</w:t>
      </w:r>
    </w:p>
    <w:p w14:paraId="58A9A3BB">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7.</w:t>
      </w:r>
      <w:r>
        <w:rPr>
          <w:rFonts w:ascii="仿宋" w:hAnsi="仿宋" w:eastAsia="仿宋" w:cs="仿宋"/>
          <w:bCs/>
          <w:spacing w:val="6"/>
          <w:sz w:val="24"/>
        </w:rPr>
        <w:t>3</w:t>
      </w:r>
      <w:r>
        <w:rPr>
          <w:rFonts w:hint="eastAsia" w:ascii="仿宋" w:hAnsi="仿宋" w:eastAsia="仿宋" w:cs="仿宋"/>
          <w:bCs/>
          <w:spacing w:val="6"/>
          <w:sz w:val="24"/>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14:paraId="2CB802DD">
      <w:pPr>
        <w:snapToGrid w:val="0"/>
        <w:spacing w:line="360" w:lineRule="auto"/>
        <w:rPr>
          <w:rFonts w:ascii="仿宋" w:hAnsi="仿宋" w:eastAsia="仿宋" w:cs="仿宋"/>
          <w:b/>
          <w:bCs/>
          <w:spacing w:val="6"/>
          <w:sz w:val="24"/>
        </w:rPr>
      </w:pPr>
      <w:r>
        <w:rPr>
          <w:rFonts w:hint="eastAsia" w:ascii="仿宋" w:hAnsi="仿宋" w:eastAsia="仿宋" w:cs="仿宋"/>
          <w:b/>
          <w:bCs/>
          <w:spacing w:val="6"/>
          <w:sz w:val="24"/>
        </w:rPr>
        <w:t>8.询问、质疑、投诉</w:t>
      </w:r>
    </w:p>
    <w:p w14:paraId="2A52AF0E">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8.1询问</w:t>
      </w:r>
    </w:p>
    <w:p w14:paraId="4112839A">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E4F8AC6">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8.2质疑</w:t>
      </w:r>
    </w:p>
    <w:p w14:paraId="4C8BDA58">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8.2.1提出质疑的供应商应当是参与所质疑项目采购活动的供应商。潜在供应商已依法获取其可质疑的采购文件的，可以对该文件提出质疑。</w:t>
      </w:r>
    </w:p>
    <w:p w14:paraId="2C444B18">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8.2.2供应商认为采购文件、采购过程和中标结果使自己的权益受到损害的，可以在知道或者应知其权益受到损害之日起七个工作日内，以书面形式向采购人或者采购机构提出质疑，否则，采购人或者采购机构不予受理：</w:t>
      </w:r>
    </w:p>
    <w:p w14:paraId="5301AB7D">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（1）对采购文件提出质疑的，质疑期限为供应商获得采购文件之日或者采购文件公告期限届满之日起计算。</w:t>
      </w:r>
    </w:p>
    <w:p w14:paraId="021CB71A">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（2）对采购过程提出质疑的，质疑期限为各采购程序环节结束之日起计算。对同一采购程序环节的质疑，质疑人须一次性提出。</w:t>
      </w:r>
    </w:p>
    <w:p w14:paraId="22A90802">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（3）对采购结果提出质疑的，质疑期限自采购结果公告期限届满之日起计算。</w:t>
      </w:r>
    </w:p>
    <w:p w14:paraId="49A50AF9">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8.2.3供应商提出质疑应当提交质疑函和必要的证明材料。质疑函应当包括下列内容：</w:t>
      </w:r>
    </w:p>
    <w:p w14:paraId="5BA2BF8F">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（1）供应商的姓名或者名称、地址、邮编、联系人及联系电话；</w:t>
      </w:r>
    </w:p>
    <w:p w14:paraId="0D9BA745">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（2）质疑项目的名称、编号；</w:t>
      </w:r>
    </w:p>
    <w:p w14:paraId="276CBF23">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（3）具体、明确的质疑事项和与质疑事项相关的请求；</w:t>
      </w:r>
    </w:p>
    <w:p w14:paraId="11ED569E">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（4）事实依据；</w:t>
      </w:r>
    </w:p>
    <w:p w14:paraId="5920A804">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（5）必要的法律依据；</w:t>
      </w:r>
    </w:p>
    <w:p w14:paraId="54DA7945">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（6）提出质疑的日期。</w:t>
      </w:r>
    </w:p>
    <w:p w14:paraId="5C6B2169">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供应商提交的质疑函需一式三份。供应商为自然人的，应当由本人签字；供应商为法人或者其他组织的，应当由法定代表人、主要负责人，或者其授权代表签字或者盖章，并加盖公章。</w:t>
      </w:r>
    </w:p>
    <w:p w14:paraId="14ED8EB7">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8.2.4采购人或者采购机构应当在收到质疑人的书面质疑后七个工作日内作出答复，并以书面形式通知质疑人和其他与质疑处理结果有利害关系的政府采购当事人，但答复的内容不得涉及商业秘密。</w:t>
      </w:r>
    </w:p>
    <w:p w14:paraId="7888C696">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8.2.5询问或者质疑事项可能影响采购结果的，采购人应当暂停签订合同，已经签订合同的，应当中止履行合同。</w:t>
      </w:r>
    </w:p>
    <w:p w14:paraId="32376CF7">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8.3投诉</w:t>
      </w:r>
    </w:p>
    <w:p w14:paraId="135C1EF8">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8.3.1质疑人对采购人、采购机构的答复不满意或者采购人、采购机构未在规定的时间内作出答复的，可以在答复期满后十五个工作日内向同级政府采购监督管理部门提出投诉。</w:t>
      </w:r>
    </w:p>
    <w:p w14:paraId="501CBE66">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8.3.2供应商投诉的事项不得超出已质疑事项的范围，基于质疑答复内容提出的投诉事项除外。</w:t>
      </w:r>
    </w:p>
    <w:p w14:paraId="79C132A2">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8.3.3供应商投诉应当有明确的请求和必要的证明材料。</w:t>
      </w:r>
    </w:p>
    <w:p w14:paraId="03C05A0E">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8.3.5以联合体形式参加政府采购活动的，其投诉应当由组成联合体的所有供应商共同提出。</w:t>
      </w:r>
    </w:p>
    <w:p w14:paraId="054B7F77">
      <w:pPr>
        <w:snapToGrid w:val="0"/>
        <w:spacing w:line="360" w:lineRule="auto"/>
        <w:ind w:firstLine="504" w:firstLineChars="200"/>
        <w:rPr>
          <w:rFonts w:ascii="仿宋" w:hAnsi="仿宋" w:eastAsia="仿宋" w:cs="仿宋"/>
          <w:bCs/>
          <w:spacing w:val="6"/>
          <w:sz w:val="24"/>
        </w:rPr>
      </w:pPr>
      <w:r>
        <w:rPr>
          <w:rFonts w:hint="eastAsia" w:ascii="仿宋" w:hAnsi="仿宋" w:eastAsia="仿宋" w:cs="仿宋"/>
          <w:bCs/>
          <w:spacing w:val="6"/>
          <w:sz w:val="24"/>
        </w:rPr>
        <w:t>8.4根据《政府采购质疑和投诉办法》第三十七条的规定，投诉人在全国范围12个月内三次以上投诉查无实据的，由财政部门列入不良行为记录名单。</w:t>
      </w:r>
    </w:p>
    <w:p w14:paraId="3C65AA6F">
      <w:pPr>
        <w:pStyle w:val="3"/>
        <w:snapToGrid w:val="0"/>
        <w:spacing w:before="0" w:after="0" w:line="360" w:lineRule="auto"/>
        <w:jc w:val="center"/>
        <w:rPr>
          <w:rFonts w:ascii="仿宋" w:hAnsi="仿宋" w:eastAsia="仿宋" w:cs="仿宋"/>
          <w:sz w:val="28"/>
          <w:szCs w:val="28"/>
        </w:rPr>
      </w:pPr>
      <w:bookmarkStart w:id="11" w:name="_Toc223715996"/>
      <w:bookmarkStart w:id="12" w:name="_Toc241404200"/>
      <w:bookmarkStart w:id="13" w:name="_Toc239145352"/>
      <w:bookmarkStart w:id="14" w:name="_Toc222114877"/>
      <w:bookmarkStart w:id="15" w:name="_Toc34508131"/>
      <w:bookmarkStart w:id="16" w:name="_Toc265529381"/>
      <w:bookmarkStart w:id="17" w:name="_Toc221356884"/>
      <w:bookmarkStart w:id="18" w:name="_Toc221423617"/>
      <w:bookmarkStart w:id="19" w:name="_Toc221374624"/>
      <w:bookmarkStart w:id="20" w:name="_Toc221356949"/>
      <w:r>
        <w:rPr>
          <w:rFonts w:hint="eastAsia" w:ascii="仿宋" w:hAnsi="仿宋" w:eastAsia="仿宋" w:cs="仿宋"/>
          <w:sz w:val="28"/>
          <w:szCs w:val="28"/>
        </w:rPr>
        <w:t>二、采购文件</w:t>
      </w:r>
      <w:bookmarkEnd w:id="11"/>
      <w:bookmarkEnd w:id="12"/>
      <w:bookmarkEnd w:id="13"/>
      <w:bookmarkEnd w:id="14"/>
      <w:bookmarkEnd w:id="15"/>
      <w:bookmarkEnd w:id="16"/>
      <w:bookmarkEnd w:id="17"/>
      <w:bookmarkEnd w:id="18"/>
      <w:bookmarkEnd w:id="19"/>
      <w:bookmarkEnd w:id="20"/>
    </w:p>
    <w:p w14:paraId="234832A0">
      <w:pPr>
        <w:tabs>
          <w:tab w:val="left" w:pos="540"/>
        </w:tabs>
        <w:snapToGrid w:val="0"/>
        <w:spacing w:line="360" w:lineRule="auto"/>
        <w:rPr>
          <w:rFonts w:ascii="仿宋" w:hAnsi="仿宋" w:eastAsia="仿宋" w:cs="仿宋"/>
          <w:sz w:val="24"/>
        </w:rPr>
      </w:pPr>
      <w:r>
        <w:rPr>
          <w:rFonts w:hint="eastAsia" w:ascii="仿宋" w:hAnsi="仿宋" w:eastAsia="仿宋" w:cs="仿宋"/>
          <w:sz w:val="24"/>
        </w:rPr>
        <w:t>9.采购文件</w:t>
      </w:r>
    </w:p>
    <w:p w14:paraId="23CAF6D9">
      <w:pPr>
        <w:tabs>
          <w:tab w:val="left" w:pos="54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9.1采购文件由采购文件目录所列内容及相关资料组成。</w:t>
      </w:r>
      <w:r>
        <w:rPr>
          <w:rFonts w:hint="eastAsia" w:ascii="仿宋" w:hAnsi="仿宋" w:eastAsia="仿宋" w:cs="仿宋"/>
          <w:snapToGrid w:val="0"/>
          <w:kern w:val="28"/>
          <w:sz w:val="24"/>
        </w:rPr>
        <w:t>获取采购文件的时间期限、地点、方式及采购文件售价等情况详见采购公告。</w:t>
      </w:r>
    </w:p>
    <w:p w14:paraId="3C6CAAB0">
      <w:pPr>
        <w:tabs>
          <w:tab w:val="left" w:pos="54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9.2采购文件的澄清或修改</w:t>
      </w:r>
    </w:p>
    <w:p w14:paraId="2FDD0332">
      <w:pPr>
        <w:snapToGrid w:val="0"/>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9.2.1采购人或者采购代理机构可以对已发出的采购文件进行必要的澄清或者修改。澄清或者修改在浙江政府采购网上发布公告，政采云系统将自动发送消息通知所有获取采购文件的潜在供应商。澄清或者修改的内容为采购文件的组成部分。</w:t>
      </w:r>
    </w:p>
    <w:p w14:paraId="4CD06629">
      <w:pPr>
        <w:snapToGrid w:val="0"/>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9.2.2</w:t>
      </w:r>
      <w:r>
        <w:rPr>
          <w:rFonts w:hint="eastAsia" w:ascii="仿宋" w:hAnsi="仿宋" w:eastAsia="仿宋" w:cs="仿宋"/>
          <w:sz w:val="24"/>
        </w:rPr>
        <w:t>澄清或者修改的内容可能影响响应文件编制的，采购人或者采购代理机构应当在首次响应文件提交截止时间至少5日前，在浙江政府采购网上发布更正公告，政采云系统将自动发送消息通知所有获取采购文件的潜在供应商；不足5日的，采购人、采购代理机构应当顺延提交首次响应文件截止时间。</w:t>
      </w:r>
    </w:p>
    <w:p w14:paraId="71EC1A4B">
      <w:pPr>
        <w:pStyle w:val="3"/>
        <w:snapToGrid w:val="0"/>
        <w:spacing w:before="0" w:after="0" w:line="360" w:lineRule="auto"/>
        <w:jc w:val="center"/>
        <w:rPr>
          <w:rFonts w:ascii="仿宋" w:hAnsi="仿宋" w:eastAsia="仿宋" w:cs="仿宋"/>
          <w:sz w:val="28"/>
          <w:szCs w:val="28"/>
        </w:rPr>
      </w:pPr>
      <w:bookmarkStart w:id="21" w:name="_Toc239145353"/>
      <w:bookmarkStart w:id="22" w:name="_Toc34508132"/>
      <w:bookmarkStart w:id="23" w:name="_Toc222114878"/>
      <w:bookmarkStart w:id="24" w:name="_Toc221356885"/>
      <w:bookmarkStart w:id="25" w:name="_Toc221356950"/>
      <w:bookmarkStart w:id="26" w:name="_Toc221423618"/>
      <w:bookmarkStart w:id="27" w:name="_Toc223715997"/>
      <w:bookmarkStart w:id="28" w:name="_Toc265529382"/>
      <w:bookmarkStart w:id="29" w:name="_Toc221374625"/>
      <w:bookmarkStart w:id="30" w:name="_Toc241404201"/>
      <w:r>
        <w:rPr>
          <w:rFonts w:hint="eastAsia" w:ascii="仿宋" w:hAnsi="仿宋" w:eastAsia="仿宋" w:cs="仿宋"/>
          <w:sz w:val="28"/>
          <w:szCs w:val="28"/>
        </w:rPr>
        <w:t>三、响应文件</w:t>
      </w:r>
      <w:bookmarkEnd w:id="21"/>
      <w:bookmarkEnd w:id="22"/>
      <w:bookmarkEnd w:id="23"/>
      <w:bookmarkEnd w:id="24"/>
      <w:bookmarkEnd w:id="25"/>
      <w:bookmarkEnd w:id="26"/>
      <w:bookmarkEnd w:id="27"/>
      <w:bookmarkEnd w:id="28"/>
      <w:bookmarkEnd w:id="29"/>
      <w:bookmarkEnd w:id="30"/>
    </w:p>
    <w:p w14:paraId="09B9A290">
      <w:pPr>
        <w:snapToGrid w:val="0"/>
        <w:spacing w:line="360" w:lineRule="auto"/>
        <w:rPr>
          <w:rFonts w:ascii="仿宋" w:hAnsi="仿宋" w:eastAsia="仿宋" w:cs="仿宋"/>
          <w:b/>
          <w:bCs/>
          <w:snapToGrid w:val="0"/>
          <w:sz w:val="24"/>
        </w:rPr>
      </w:pPr>
      <w:bookmarkStart w:id="31" w:name="_Toc221356886"/>
      <w:r>
        <w:rPr>
          <w:rFonts w:hint="eastAsia" w:ascii="仿宋" w:hAnsi="仿宋" w:eastAsia="仿宋" w:cs="仿宋"/>
          <w:b/>
          <w:snapToGrid w:val="0"/>
          <w:sz w:val="24"/>
        </w:rPr>
        <w:t>10.</w:t>
      </w:r>
      <w:r>
        <w:rPr>
          <w:rFonts w:hint="eastAsia" w:ascii="仿宋" w:hAnsi="仿宋" w:eastAsia="仿宋" w:cs="仿宋"/>
          <w:b/>
          <w:bCs/>
          <w:snapToGrid w:val="0"/>
          <w:sz w:val="24"/>
        </w:rPr>
        <w:t>响应文件的构成</w:t>
      </w:r>
    </w:p>
    <w:p w14:paraId="319E36C5">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包括资格文件、商务技术文件、报价文件三部分。</w:t>
      </w:r>
    </w:p>
    <w:p w14:paraId="1DA7EFD9">
      <w:pPr>
        <w:tabs>
          <w:tab w:val="left" w:pos="360"/>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10.1资格文件须包括下列内容：</w:t>
      </w:r>
    </w:p>
    <w:p w14:paraId="4EA907D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10.1.1符合参加政府采购活动应当具备的一般条件的承诺函；</w:t>
      </w:r>
    </w:p>
    <w:p w14:paraId="459F6D5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10.1.2落实政府采购政策需满足的资格要求证明文件；</w:t>
      </w:r>
    </w:p>
    <w:p w14:paraId="1031B9E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10.1.3本项目的特定资格要求证明文件；</w:t>
      </w:r>
    </w:p>
    <w:p w14:paraId="5EB6C2D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10.1.4联合体协议书（如有）。</w:t>
      </w:r>
    </w:p>
    <w:p w14:paraId="245CA039">
      <w:pPr>
        <w:tabs>
          <w:tab w:val="left" w:pos="360"/>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10.2 商务技术文件应包括下列部分：</w:t>
      </w:r>
    </w:p>
    <w:p w14:paraId="107B6B7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10.2.1投标函；</w:t>
      </w:r>
    </w:p>
    <w:p w14:paraId="69D5CBD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10.2.2授权委托书或法定代表人（单位负责人、自然人本人）身份证明；</w:t>
      </w:r>
    </w:p>
    <w:p w14:paraId="49FA696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10.2.3评标标准相应的商务技术资料；</w:t>
      </w:r>
    </w:p>
    <w:p w14:paraId="26AB3E6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10.2.4商务技术偏离表；</w:t>
      </w:r>
    </w:p>
    <w:p w14:paraId="12860462">
      <w:pPr>
        <w:snapToGrid w:val="0"/>
        <w:spacing w:line="360" w:lineRule="auto"/>
        <w:ind w:firstLine="480" w:firstLineChars="200"/>
        <w:rPr>
          <w:rFonts w:ascii="仿宋" w:hAnsi="仿宋" w:eastAsia="仿宋" w:cs="仿宋"/>
          <w:sz w:val="24"/>
          <w:lang w:val="zh-CN"/>
        </w:rPr>
      </w:pPr>
      <w:r>
        <w:rPr>
          <w:rFonts w:hint="eastAsia" w:ascii="仿宋" w:hAnsi="仿宋" w:eastAsia="仿宋" w:cs="仿宋"/>
          <w:sz w:val="24"/>
          <w:lang w:val="zh-CN"/>
        </w:rPr>
        <w:t>10.</w:t>
      </w: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5供应商认为需要提供的其他相关资料</w:t>
      </w:r>
      <w:r>
        <w:rPr>
          <w:rFonts w:hint="eastAsia" w:ascii="仿宋" w:hAnsi="仿宋" w:eastAsia="仿宋" w:cs="仿宋"/>
          <w:sz w:val="24"/>
          <w:lang w:val="zh-CN"/>
        </w:rPr>
        <w:t>。</w:t>
      </w:r>
    </w:p>
    <w:p w14:paraId="3A62ECF5">
      <w:pPr>
        <w:tabs>
          <w:tab w:val="left" w:pos="5355"/>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10.3 报价文件应包括下列部分：</w:t>
      </w:r>
    </w:p>
    <w:p w14:paraId="002946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10.3.1开标一览表（首次报价表）；</w:t>
      </w:r>
    </w:p>
    <w:p w14:paraId="4A75F7A6">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10.4要求供应商提供样品、讲解或演示的，见供应商须知前附表。</w:t>
      </w:r>
    </w:p>
    <w:p w14:paraId="2AAA8A34">
      <w:pPr>
        <w:snapToGrid w:val="0"/>
        <w:spacing w:line="360" w:lineRule="auto"/>
        <w:rPr>
          <w:rFonts w:ascii="仿宋" w:hAnsi="仿宋" w:eastAsia="仿宋" w:cs="仿宋"/>
          <w:b/>
          <w:bCs/>
          <w:sz w:val="24"/>
        </w:rPr>
      </w:pPr>
      <w:r>
        <w:rPr>
          <w:rFonts w:hint="eastAsia" w:ascii="仿宋" w:hAnsi="仿宋" w:eastAsia="仿宋" w:cs="仿宋"/>
          <w:b/>
          <w:bCs/>
          <w:sz w:val="24"/>
        </w:rPr>
        <w:t>11.响应文件编制</w:t>
      </w:r>
    </w:p>
    <w:p w14:paraId="6B84A828">
      <w:pPr>
        <w:tabs>
          <w:tab w:val="left" w:pos="360"/>
        </w:tabs>
        <w:snapToGrid w:val="0"/>
        <w:spacing w:line="360" w:lineRule="auto"/>
        <w:ind w:firstLine="480" w:firstLineChars="200"/>
        <w:rPr>
          <w:rFonts w:ascii="仿宋" w:hAnsi="仿宋" w:eastAsia="仿宋" w:cs="仿宋"/>
          <w:kern w:val="0"/>
          <w:sz w:val="24"/>
          <w:lang w:val="zh-CN"/>
        </w:rPr>
      </w:pPr>
      <w:r>
        <w:rPr>
          <w:rFonts w:hint="eastAsia" w:ascii="仿宋" w:hAnsi="仿宋" w:eastAsia="仿宋" w:cs="仿宋"/>
          <w:sz w:val="24"/>
        </w:rPr>
        <w:t>11.1本项目通过“政采云平台（www.zcygov.cn）”实行在线投标响应（电子投标）。供应商应通过“政采云电子交易客户端”，并按照本采购文件和“政采云平台”的要求编制并加密响应文件。</w:t>
      </w:r>
      <w:r>
        <w:rPr>
          <w:rFonts w:hint="eastAsia" w:ascii="仿宋" w:hAnsi="仿宋" w:eastAsia="仿宋" w:cs="仿宋"/>
          <w:kern w:val="0"/>
          <w:sz w:val="24"/>
          <w:lang w:val="zh-CN"/>
        </w:rPr>
        <w:t>供应商未按规定加密的响应文件，政采云平台将拒收并提示。</w:t>
      </w:r>
    </w:p>
    <w:p w14:paraId="5B33FA5E">
      <w:pPr>
        <w:snapToGrid w:val="0"/>
        <w:spacing w:line="360" w:lineRule="auto"/>
        <w:ind w:firstLine="480" w:firstLineChars="200"/>
        <w:rPr>
          <w:rFonts w:ascii="仿宋" w:hAnsi="仿宋" w:eastAsia="仿宋" w:cs="仿宋"/>
          <w:b/>
          <w:sz w:val="24"/>
        </w:rPr>
      </w:pPr>
      <w:r>
        <w:rPr>
          <w:rFonts w:hint="eastAsia" w:ascii="仿宋" w:hAnsi="仿宋" w:eastAsia="仿宋" w:cs="仿宋"/>
          <w:sz w:val="24"/>
        </w:rPr>
        <w:t>11.2供应商应当按照本部分“响应文件的构成”规定的内容及顺序在“政采云电子交易客户端”编制响应文件。</w:t>
      </w:r>
      <w:r>
        <w:rPr>
          <w:rFonts w:hint="eastAsia" w:ascii="仿宋" w:hAnsi="仿宋" w:eastAsia="仿宋" w:cs="仿宋"/>
          <w:kern w:val="0"/>
          <w:sz w:val="24"/>
          <w:lang w:val="zh-CN"/>
        </w:rPr>
        <w:t>各供应商在编制响应文件时请按照采购文件第五部分规定的格式进行，混乱的编排导致响应文件被误读或磋商小组查找不到有效文件的风险由供应商自行承担。</w:t>
      </w:r>
    </w:p>
    <w:p w14:paraId="7418E174">
      <w:pPr>
        <w:tabs>
          <w:tab w:val="left" w:pos="360"/>
        </w:tabs>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lang w:val="zh-CN"/>
        </w:rPr>
        <w:t>11.3使用“政采云电子交易客户端”需要提前申领CA数字证书，申领流程请自行前往“浙江政府采购网-下载专区-电子交易客户端-CA驱动和申领流程”进行查阅。</w:t>
      </w:r>
    </w:p>
    <w:p w14:paraId="798E2243">
      <w:pPr>
        <w:snapToGrid w:val="0"/>
        <w:spacing w:line="360" w:lineRule="auto"/>
        <w:rPr>
          <w:rFonts w:ascii="仿宋" w:hAnsi="仿宋" w:eastAsia="仿宋" w:cs="仿宋"/>
          <w:b/>
          <w:bCs/>
          <w:sz w:val="24"/>
        </w:rPr>
      </w:pPr>
      <w:r>
        <w:rPr>
          <w:rFonts w:hint="eastAsia" w:ascii="仿宋" w:hAnsi="仿宋" w:eastAsia="仿宋" w:cs="仿宋"/>
          <w:b/>
          <w:bCs/>
          <w:sz w:val="24"/>
        </w:rPr>
        <w:t>12.响应文件的签署、盖章</w:t>
      </w:r>
    </w:p>
    <w:p w14:paraId="5CC55FBF">
      <w:pPr>
        <w:pStyle w:val="22"/>
        <w:snapToGrid w:val="0"/>
        <w:spacing w:before="0"/>
        <w:ind w:firstLine="480"/>
        <w:rPr>
          <w:rFonts w:ascii="仿宋" w:hAnsi="仿宋" w:eastAsia="仿宋" w:cs="仿宋"/>
          <w:b/>
          <w:szCs w:val="24"/>
        </w:rPr>
      </w:pPr>
      <w:r>
        <w:rPr>
          <w:rFonts w:hint="eastAsia" w:ascii="仿宋" w:hAnsi="仿宋" w:eastAsia="仿宋" w:cs="仿宋"/>
          <w:szCs w:val="24"/>
        </w:rPr>
        <w:t>12.1响应文件按照采购文件第五部分格式要求进行签署、盖章。</w:t>
      </w:r>
    </w:p>
    <w:p w14:paraId="1AF70286">
      <w:pPr>
        <w:pStyle w:val="22"/>
        <w:snapToGrid w:val="0"/>
        <w:spacing w:before="0"/>
        <w:ind w:firstLine="480"/>
        <w:rPr>
          <w:rFonts w:ascii="仿宋" w:hAnsi="仿宋" w:eastAsia="仿宋" w:cs="仿宋"/>
          <w:szCs w:val="24"/>
        </w:rPr>
      </w:pPr>
      <w:r>
        <w:rPr>
          <w:rFonts w:hint="eastAsia" w:ascii="仿宋" w:hAnsi="仿宋" w:eastAsia="仿宋" w:cs="仿宋"/>
          <w:szCs w:val="24"/>
        </w:rPr>
        <w:t>12.2为确保网上操作合法、有效和安全，供应商应当在首次响应文件提交截止时间前完成在“政采云平台”的身份认证，确保在电子投标过程中能够对相关数据电文进行加密和使用电子签名。</w:t>
      </w:r>
    </w:p>
    <w:p w14:paraId="112883E2">
      <w:pPr>
        <w:snapToGrid w:val="0"/>
        <w:spacing w:line="360" w:lineRule="auto"/>
        <w:ind w:firstLine="480" w:firstLineChars="200"/>
        <w:rPr>
          <w:rFonts w:ascii="仿宋" w:hAnsi="仿宋" w:eastAsia="仿宋" w:cs="仿宋"/>
          <w:b/>
          <w:snapToGrid w:val="0"/>
          <w:sz w:val="24"/>
        </w:rPr>
      </w:pPr>
      <w:r>
        <w:rPr>
          <w:rFonts w:hint="eastAsia" w:ascii="仿宋" w:hAnsi="仿宋" w:eastAsia="仿宋" w:cs="仿宋"/>
          <w:sz w:val="24"/>
        </w:rPr>
        <w:t>12.3采购文件对响应文件签署、盖章的要求适用于电子签名。</w:t>
      </w:r>
    </w:p>
    <w:bookmarkEnd w:id="31"/>
    <w:p w14:paraId="5A58273A">
      <w:pPr>
        <w:tabs>
          <w:tab w:val="left" w:pos="540"/>
        </w:tabs>
        <w:snapToGrid w:val="0"/>
        <w:spacing w:line="360" w:lineRule="auto"/>
        <w:rPr>
          <w:rFonts w:ascii="仿宋" w:hAnsi="仿宋" w:eastAsia="仿宋" w:cs="仿宋"/>
          <w:b/>
          <w:sz w:val="24"/>
        </w:rPr>
      </w:pPr>
      <w:r>
        <w:rPr>
          <w:rFonts w:hint="eastAsia" w:ascii="仿宋" w:hAnsi="仿宋" w:eastAsia="仿宋" w:cs="仿宋"/>
          <w:b/>
          <w:bCs/>
          <w:sz w:val="24"/>
        </w:rPr>
        <w:t>13.投标报价</w:t>
      </w:r>
    </w:p>
    <w:p w14:paraId="02E5C9C5">
      <w:pPr>
        <w:tabs>
          <w:tab w:val="left" w:pos="54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13.1供应商应报出本项目采购的货物、服务或工程所包含的所有单价和总价，并提供价格组成表（如有）。价格组成表中未列出的项目或未填写单价和总价的项目,在合同执行时采购人将不予支付,并认为这些项目费用已包括在投标报价内。</w:t>
      </w:r>
    </w:p>
    <w:p w14:paraId="447A3B0C">
      <w:pPr>
        <w:snapToGrid w:val="0"/>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13.2有关本项目实施所需的所有费用（含税费）均计入报价。</w:t>
      </w:r>
      <w:r>
        <w:rPr>
          <w:rFonts w:hint="eastAsia" w:ascii="仿宋" w:hAnsi="仿宋" w:eastAsia="仿宋" w:cs="仿宋"/>
          <w:sz w:val="24"/>
        </w:rPr>
        <w:t>所有投标报价均以人民币报价。</w:t>
      </w:r>
      <w:r>
        <w:rPr>
          <w:rFonts w:hint="eastAsia" w:ascii="仿宋" w:hAnsi="仿宋" w:eastAsia="仿宋" w:cs="仿宋"/>
          <w:kern w:val="0"/>
          <w:sz w:val="24"/>
          <w:lang w:val="zh-CN"/>
        </w:rPr>
        <w:t>采购文件未列明，而供应商认为必需的费用也需列入报价。</w:t>
      </w:r>
    </w:p>
    <w:p w14:paraId="203802D8">
      <w:pPr>
        <w:snapToGrid w:val="0"/>
        <w:spacing w:line="360" w:lineRule="auto"/>
        <w:ind w:firstLine="482" w:firstLineChars="200"/>
        <w:jc w:val="left"/>
        <w:rPr>
          <w:rFonts w:ascii="仿宋" w:hAnsi="仿宋" w:eastAsia="仿宋" w:cs="仿宋"/>
          <w:sz w:val="24"/>
        </w:rPr>
      </w:pPr>
      <w:r>
        <w:rPr>
          <w:rFonts w:hint="eastAsia" w:ascii="仿宋" w:hAnsi="仿宋" w:eastAsia="仿宋" w:cs="仿宋"/>
          <w:b/>
          <w:kern w:val="0"/>
          <w:sz w:val="24"/>
          <w:lang w:val="zh-CN"/>
        </w:rPr>
        <w:t>13.3</w:t>
      </w:r>
      <w:r>
        <w:rPr>
          <w:rFonts w:hint="eastAsia" w:ascii="仿宋" w:hAnsi="仿宋" w:eastAsia="仿宋" w:cs="仿宋"/>
          <w:b/>
          <w:sz w:val="24"/>
        </w:rPr>
        <w:t>投标报价其他要求见供应商须知前附表。</w:t>
      </w:r>
    </w:p>
    <w:p w14:paraId="1FD1EDE4">
      <w:pPr>
        <w:tabs>
          <w:tab w:val="left" w:pos="-180"/>
          <w:tab w:val="left" w:pos="180"/>
          <w:tab w:val="left" w:pos="360"/>
        </w:tabs>
        <w:snapToGrid w:val="0"/>
        <w:spacing w:line="360" w:lineRule="auto"/>
        <w:rPr>
          <w:rFonts w:ascii="仿宋" w:hAnsi="仿宋" w:eastAsia="仿宋" w:cs="仿宋"/>
          <w:b/>
          <w:bCs/>
          <w:sz w:val="24"/>
        </w:rPr>
      </w:pPr>
      <w:bookmarkStart w:id="32" w:name="_Toc221356887"/>
      <w:bookmarkStart w:id="33" w:name="_Toc239145354"/>
      <w:bookmarkStart w:id="34" w:name="_Toc222114879"/>
      <w:bookmarkStart w:id="35" w:name="_Toc221374626"/>
      <w:bookmarkStart w:id="36" w:name="_Toc241404202"/>
      <w:bookmarkStart w:id="37" w:name="_Toc221423619"/>
      <w:bookmarkStart w:id="38" w:name="_Toc265529383"/>
      <w:bookmarkStart w:id="39" w:name="_Toc221356951"/>
      <w:bookmarkStart w:id="40" w:name="_Toc223715998"/>
      <w:r>
        <w:rPr>
          <w:rFonts w:hint="eastAsia" w:ascii="仿宋" w:hAnsi="仿宋" w:eastAsia="仿宋" w:cs="仿宋"/>
          <w:b/>
          <w:bCs/>
          <w:sz w:val="24"/>
        </w:rPr>
        <w:t>14.磋商保证金</w:t>
      </w:r>
    </w:p>
    <w:p w14:paraId="539FFA00">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14.1根据《浙江省财政厅关于明确政府采购保证金管理工作的通知》（浙财采监〔2019〕5号）规定，政府采购货物和服务招标投标活动不得向供应商收取投标保证金，非招标采购方式采购货物、工程和服务亦同。</w:t>
      </w:r>
    </w:p>
    <w:p w14:paraId="3B46B85A">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14.2供应商在政府采购活动中违反政府采购相关规定给采购组织机构造成损失的，采购组织机构可要求供应商承担赔偿责任。</w:t>
      </w:r>
    </w:p>
    <w:p w14:paraId="231B332F">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有下列情形之一的，采购人将按项目预算的2%要求供应商赔偿：</w:t>
      </w:r>
    </w:p>
    <w:p w14:paraId="6587476C">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（1）供应商在提交响应文件截止时间后撤回响应文件的； </w:t>
      </w:r>
    </w:p>
    <w:p w14:paraId="11CBE0AA">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（2）供应商在响应文件中提供虚假材料的； </w:t>
      </w:r>
    </w:p>
    <w:p w14:paraId="557698D9">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（3）除因不可抗力或磋商文件认可的情形以外，成交供应商不与采购人签 订合同的； </w:t>
      </w:r>
    </w:p>
    <w:p w14:paraId="41D2946C">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（4）供应商与采购人、其他供应商或者采购代理机构恶意串通的； </w:t>
      </w:r>
    </w:p>
    <w:p w14:paraId="4694DA09">
      <w:pPr>
        <w:tabs>
          <w:tab w:val="left" w:pos="-180"/>
          <w:tab w:val="left" w:pos="180"/>
          <w:tab w:val="left" w:pos="360"/>
        </w:tabs>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（5）采购文件规定的其他情形。</w:t>
      </w:r>
    </w:p>
    <w:p w14:paraId="577D6D33">
      <w:pPr>
        <w:tabs>
          <w:tab w:val="left" w:pos="-180"/>
          <w:tab w:val="left" w:pos="180"/>
          <w:tab w:val="left" w:pos="360"/>
        </w:tabs>
        <w:snapToGrid w:val="0"/>
        <w:spacing w:line="360" w:lineRule="auto"/>
        <w:rPr>
          <w:rFonts w:ascii="仿宋" w:hAnsi="仿宋" w:eastAsia="仿宋" w:cs="仿宋"/>
          <w:b/>
          <w:bCs/>
          <w:sz w:val="24"/>
        </w:rPr>
      </w:pPr>
      <w:r>
        <w:rPr>
          <w:rFonts w:hint="eastAsia" w:ascii="仿宋" w:hAnsi="仿宋" w:eastAsia="仿宋" w:cs="仿宋"/>
          <w:b/>
          <w:bCs/>
          <w:sz w:val="24"/>
        </w:rPr>
        <w:t>15.投标有效期</w:t>
      </w:r>
    </w:p>
    <w:p w14:paraId="01D326E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15.1投标有效期见供应商须知前附表。</w:t>
      </w:r>
      <w:r>
        <w:rPr>
          <w:rFonts w:hint="eastAsia" w:ascii="仿宋" w:hAnsi="仿宋" w:eastAsia="仿宋" w:cs="仿宋"/>
          <w:b/>
          <w:kern w:val="0"/>
          <w:sz w:val="24"/>
        </w:rPr>
        <w:t>▲供应商的响应文件中承诺的投标有效期少于采购文件中载明的投标有效期的，响应文件无效</w:t>
      </w:r>
      <w:r>
        <w:rPr>
          <w:rFonts w:hint="eastAsia" w:ascii="仿宋" w:hAnsi="仿宋" w:eastAsia="仿宋" w:cs="仿宋"/>
          <w:kern w:val="0"/>
          <w:sz w:val="24"/>
        </w:rPr>
        <w:t>。</w:t>
      </w:r>
    </w:p>
    <w:p w14:paraId="1C87480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15.2响应文件合格投递后，自最后报价提交截止日期起，在投标有效期内有效。</w:t>
      </w:r>
    </w:p>
    <w:p w14:paraId="0CE3EB0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15.3在原定投标有效期满之前，如果出现特殊情况，采购机构可以以书面形式通知供应商延长投标有效期。供应商同意延长的，不得要求或被允许修改其响应文件，供应商拒绝延长的，响应文件无效。</w:t>
      </w:r>
    </w:p>
    <w:bookmarkEnd w:id="32"/>
    <w:bookmarkEnd w:id="33"/>
    <w:bookmarkEnd w:id="34"/>
    <w:bookmarkEnd w:id="35"/>
    <w:bookmarkEnd w:id="36"/>
    <w:bookmarkEnd w:id="37"/>
    <w:bookmarkEnd w:id="38"/>
    <w:bookmarkEnd w:id="39"/>
    <w:bookmarkEnd w:id="40"/>
    <w:p w14:paraId="1EBD116A">
      <w:pPr>
        <w:pStyle w:val="22"/>
        <w:snapToGrid w:val="0"/>
        <w:spacing w:before="0"/>
        <w:ind w:firstLine="0" w:firstLineChars="0"/>
        <w:rPr>
          <w:rFonts w:ascii="仿宋" w:hAnsi="仿宋" w:eastAsia="仿宋" w:cs="仿宋"/>
          <w:b/>
          <w:szCs w:val="24"/>
        </w:rPr>
      </w:pPr>
      <w:r>
        <w:rPr>
          <w:rFonts w:hint="eastAsia" w:ascii="仿宋" w:hAnsi="仿宋" w:eastAsia="仿宋" w:cs="仿宋"/>
          <w:b/>
          <w:szCs w:val="24"/>
        </w:rPr>
        <w:t>16.响应文件的递交、补充、修改、撤回</w:t>
      </w:r>
    </w:p>
    <w:p w14:paraId="5651D21E">
      <w:pPr>
        <w:pStyle w:val="22"/>
        <w:snapToGrid w:val="0"/>
        <w:spacing w:before="0"/>
        <w:ind w:firstLine="480"/>
        <w:rPr>
          <w:rFonts w:ascii="仿宋" w:hAnsi="仿宋" w:eastAsia="仿宋" w:cs="仿宋"/>
          <w:szCs w:val="24"/>
        </w:rPr>
      </w:pPr>
      <w:r>
        <w:rPr>
          <w:rFonts w:hint="eastAsia" w:ascii="仿宋" w:hAnsi="仿宋" w:eastAsia="仿宋" w:cs="仿宋"/>
          <w:szCs w:val="24"/>
        </w:rPr>
        <w:t>16.1供应商应当在首次响应文件提交截止时间前完成响应文件的传输递交，并可以补充、修改或者撤回响应文件。补充或者修改响应文件的，应当先行撤回原文件，补充、修改后重新传输递交。首次响应文件提交截止时间前未完成传输的，视为撤回响应文件。首次响应文件提交截止时间后递交的响应文件（</w:t>
      </w:r>
      <w:r>
        <w:rPr>
          <w:rFonts w:hint="eastAsia" w:ascii="仿宋" w:hAnsi="仿宋" w:eastAsia="仿宋" w:cs="仿宋"/>
        </w:rPr>
        <w:t>磋商小组要求重新提交响应文件的及供应商</w:t>
      </w:r>
      <w:r>
        <w:rPr>
          <w:rFonts w:hint="eastAsia" w:ascii="仿宋" w:hAnsi="仿宋" w:eastAsia="仿宋" w:cs="仿宋"/>
          <w:szCs w:val="24"/>
        </w:rPr>
        <w:t>最后报价除外），政采云平台将拒收。</w:t>
      </w:r>
    </w:p>
    <w:p w14:paraId="1BF6B519">
      <w:pPr>
        <w:pStyle w:val="22"/>
        <w:snapToGrid w:val="0"/>
        <w:spacing w:before="0"/>
        <w:ind w:firstLine="480"/>
        <w:rPr>
          <w:rFonts w:ascii="仿宋" w:hAnsi="仿宋" w:eastAsia="仿宋" w:cs="仿宋"/>
          <w:szCs w:val="24"/>
        </w:rPr>
      </w:pPr>
      <w:r>
        <w:rPr>
          <w:rFonts w:hint="eastAsia" w:ascii="仿宋" w:hAnsi="仿宋" w:eastAsia="仿宋" w:cs="仿宋"/>
          <w:szCs w:val="24"/>
        </w:rPr>
        <w:t>16.2政采云平台收到响应文件，将妥善保存并即时向供应商发出确认回执通知。在首次响应文件提交截止时间前，除供应商补充、修改或者撤回响应文件外，任何单位和个人不得解密或提取响应文件。</w:t>
      </w:r>
    </w:p>
    <w:p w14:paraId="628E3EA5">
      <w:pPr>
        <w:pStyle w:val="22"/>
        <w:snapToGrid w:val="0"/>
        <w:spacing w:before="0"/>
        <w:ind w:firstLine="480"/>
        <w:rPr>
          <w:rFonts w:ascii="仿宋" w:hAnsi="仿宋" w:eastAsia="仿宋" w:cs="仿宋"/>
          <w:szCs w:val="24"/>
        </w:rPr>
      </w:pPr>
      <w:r>
        <w:rPr>
          <w:rFonts w:hint="eastAsia" w:ascii="仿宋" w:hAnsi="仿宋" w:eastAsia="仿宋" w:cs="仿宋"/>
          <w:szCs w:val="24"/>
        </w:rPr>
        <w:t>16.3采购人、采购机构可以视情况延长响应文件提交的截止时间。在上述情况下，采购机构与供应商以前在投标截止期方面的全部权利、责任和义务，将适用于延长至新的投标截止期。</w:t>
      </w:r>
    </w:p>
    <w:p w14:paraId="0606337C">
      <w:pPr>
        <w:pStyle w:val="9"/>
        <w:snapToGrid w:val="0"/>
        <w:spacing w:line="360" w:lineRule="auto"/>
        <w:rPr>
          <w:rFonts w:ascii="仿宋" w:hAnsi="仿宋" w:eastAsia="仿宋" w:cs="仿宋"/>
          <w:b/>
          <w:sz w:val="24"/>
          <w:szCs w:val="24"/>
        </w:rPr>
      </w:pPr>
      <w:r>
        <w:rPr>
          <w:rFonts w:hint="eastAsia" w:ascii="仿宋" w:hAnsi="仿宋" w:eastAsia="仿宋" w:cs="仿宋"/>
          <w:b/>
          <w:sz w:val="24"/>
          <w:szCs w:val="24"/>
        </w:rPr>
        <w:t>17.备份响应文件</w:t>
      </w:r>
    </w:p>
    <w:p w14:paraId="36F1D2F8">
      <w:pPr>
        <w:pStyle w:val="9"/>
        <w:snapToGrid w:val="0"/>
        <w:spacing w:line="360" w:lineRule="auto"/>
        <w:ind w:firstLine="470" w:firstLineChars="196"/>
        <w:rPr>
          <w:rFonts w:ascii="仿宋" w:hAnsi="仿宋" w:eastAsia="仿宋" w:cs="仿宋"/>
          <w:b/>
          <w:sz w:val="24"/>
          <w:szCs w:val="24"/>
        </w:rPr>
      </w:pPr>
      <w:r>
        <w:rPr>
          <w:rFonts w:hint="eastAsia" w:ascii="仿宋" w:hAnsi="仿宋" w:eastAsia="仿宋" w:cs="仿宋"/>
          <w:sz w:val="24"/>
          <w:szCs w:val="24"/>
        </w:rPr>
        <w:t>本项目不作要求。</w:t>
      </w:r>
    </w:p>
    <w:p w14:paraId="76375366">
      <w:pPr>
        <w:pStyle w:val="22"/>
        <w:snapToGrid w:val="0"/>
        <w:spacing w:before="0"/>
        <w:ind w:firstLine="0" w:firstLineChars="0"/>
        <w:jc w:val="center"/>
        <w:rPr>
          <w:rFonts w:ascii="仿宋" w:hAnsi="仿宋" w:eastAsia="仿宋" w:cs="仿宋"/>
          <w:b/>
          <w:sz w:val="28"/>
          <w:szCs w:val="28"/>
        </w:rPr>
      </w:pPr>
      <w:r>
        <w:rPr>
          <w:rFonts w:hint="eastAsia" w:ascii="仿宋" w:hAnsi="仿宋" w:eastAsia="仿宋" w:cs="仿宋"/>
          <w:b/>
          <w:sz w:val="28"/>
          <w:szCs w:val="28"/>
        </w:rPr>
        <w:t>四、开标、资格审查与信用信息查询</w:t>
      </w:r>
    </w:p>
    <w:p w14:paraId="4387720E">
      <w:pPr>
        <w:pStyle w:val="23"/>
        <w:snapToGrid w:val="0"/>
        <w:spacing w:before="0" w:line="360" w:lineRule="auto"/>
        <w:ind w:left="0" w:firstLine="0"/>
        <w:rPr>
          <w:rFonts w:ascii="仿宋" w:hAnsi="仿宋" w:eastAsia="仿宋" w:cs="仿宋"/>
          <w:sz w:val="24"/>
          <w:szCs w:val="24"/>
        </w:rPr>
      </w:pPr>
      <w:r>
        <w:rPr>
          <w:rFonts w:hint="eastAsia" w:ascii="仿宋" w:hAnsi="仿宋" w:eastAsia="仿宋" w:cs="仿宋"/>
          <w:b/>
          <w:sz w:val="24"/>
          <w:szCs w:val="24"/>
        </w:rPr>
        <w:t>18.开标</w:t>
      </w:r>
    </w:p>
    <w:p w14:paraId="3E2F629F">
      <w:pPr>
        <w:pStyle w:val="23"/>
        <w:snapToGrid w:val="0"/>
        <w:spacing w:before="0"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18.1采购机构按照采购文件规定的时间通过电子交易平台组织开标，所有供应商均应当准时在线参加。供应商不足3家的，不得开标。</w:t>
      </w:r>
    </w:p>
    <w:p w14:paraId="5359EBA5">
      <w:pPr>
        <w:pStyle w:val="23"/>
        <w:snapToGrid w:val="0"/>
        <w:spacing w:before="0"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18.2开标时，电子交易平台按开标时间自动提取所有响应文件。采购机构依托电子交易平台发起开始解密指令，供应商按照平台提示和采购文件的规定在完成在线解密。</w:t>
      </w:r>
    </w:p>
    <w:p w14:paraId="3BB203A4">
      <w:pPr>
        <w:tabs>
          <w:tab w:val="left" w:pos="540"/>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18.3特别说明：</w:t>
      </w:r>
    </w:p>
    <w:p w14:paraId="3742773B">
      <w:pPr>
        <w:tabs>
          <w:tab w:val="left" w:pos="540"/>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（1）如遇“政采云平台”电子化开标或评审程序（含相关数据公布）调整的，按调整后程序执行。</w:t>
      </w:r>
    </w:p>
    <w:p w14:paraId="0BE4E54F">
      <w:pPr>
        <w:tabs>
          <w:tab w:val="left" w:pos="540"/>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（2）开标过程中需要相关当事人进行签字或盖章确认的材料将通过“政府采购云平台”进行，若因“政府采购云平台”技术问题无法进行签字或盖章确认的，采购组织机构将通过邮件、传真等形式组织确认。</w:t>
      </w:r>
    </w:p>
    <w:p w14:paraId="673DB720">
      <w:pPr>
        <w:tabs>
          <w:tab w:val="left" w:pos="540"/>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3）供应商代表应保持“政府采购云平台”在线并准备好供应商公章、笔、纸、打印机等办公用品，随时做好开评标过程所需文件的邮件收发及签字、盖章工作（下同）。由于供应商代表未在线或电话无法联系而导致的相关损失或责任由供应商承担。</w:t>
      </w:r>
    </w:p>
    <w:p w14:paraId="45A74601">
      <w:pPr>
        <w:pStyle w:val="23"/>
        <w:snapToGrid w:val="0"/>
        <w:spacing w:before="0"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18.4响应文件未按时解密，供应商提供了备份响应文件的，以备份响应文件作为依据，否则视为响应文件撤回。响应文件已按时解密的，备份响应文件自动失效。</w:t>
      </w:r>
    </w:p>
    <w:p w14:paraId="3D35661C">
      <w:pPr>
        <w:widowControl/>
        <w:snapToGrid w:val="0"/>
        <w:spacing w:line="360" w:lineRule="auto"/>
        <w:jc w:val="left"/>
        <w:rPr>
          <w:rFonts w:ascii="仿宋" w:hAnsi="仿宋" w:eastAsia="仿宋" w:cs="仿宋"/>
          <w:b/>
          <w:sz w:val="24"/>
        </w:rPr>
      </w:pPr>
      <w:r>
        <w:rPr>
          <w:rFonts w:hint="eastAsia" w:ascii="仿宋" w:hAnsi="仿宋" w:eastAsia="仿宋" w:cs="仿宋"/>
          <w:b/>
          <w:sz w:val="24"/>
        </w:rPr>
        <w:t>19、资格审查</w:t>
      </w:r>
    </w:p>
    <w:p w14:paraId="449B2088">
      <w:pPr>
        <w:pStyle w:val="22"/>
        <w:snapToGrid w:val="0"/>
        <w:spacing w:before="0"/>
        <w:ind w:firstLine="480"/>
        <w:rPr>
          <w:rFonts w:ascii="仿宋" w:hAnsi="仿宋" w:eastAsia="仿宋" w:cs="仿宋"/>
          <w:kern w:val="0"/>
          <w:szCs w:val="24"/>
        </w:rPr>
      </w:pPr>
      <w:r>
        <w:rPr>
          <w:rFonts w:hint="eastAsia" w:ascii="仿宋" w:hAnsi="仿宋" w:eastAsia="仿宋" w:cs="仿宋"/>
          <w:kern w:val="0"/>
          <w:szCs w:val="24"/>
        </w:rPr>
        <w:t>19.1开标后，采购人或采购机构将依法对供应商的资格进行审查。</w:t>
      </w:r>
    </w:p>
    <w:p w14:paraId="0E3BCB84">
      <w:pPr>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rPr>
        <w:t>19.2</w:t>
      </w:r>
      <w:r>
        <w:rPr>
          <w:rFonts w:hint="eastAsia" w:ascii="仿宋" w:hAnsi="仿宋" w:eastAsia="仿宋" w:cs="仿宋"/>
          <w:sz w:val="24"/>
        </w:rPr>
        <w:t>采购人或采购机构依据法律法规和采购文件的规定，对供应商的基本资格条件、落实政府采购政策需满足的资格要求、特定资格条件进行审查。</w:t>
      </w:r>
    </w:p>
    <w:p w14:paraId="26FB2CB8">
      <w:pPr>
        <w:pStyle w:val="22"/>
        <w:snapToGrid w:val="0"/>
        <w:spacing w:before="0"/>
        <w:ind w:firstLine="480"/>
        <w:rPr>
          <w:rFonts w:ascii="仿宋" w:hAnsi="仿宋" w:eastAsia="仿宋" w:cs="仿宋"/>
          <w:szCs w:val="24"/>
        </w:rPr>
      </w:pPr>
      <w:r>
        <w:rPr>
          <w:rFonts w:hint="eastAsia" w:ascii="仿宋" w:hAnsi="仿宋" w:eastAsia="仿宋" w:cs="仿宋"/>
          <w:kern w:val="0"/>
          <w:szCs w:val="24"/>
        </w:rPr>
        <w:t>19.3供应商未按照采购文件要求提供与</w:t>
      </w:r>
      <w:r>
        <w:rPr>
          <w:rFonts w:hint="eastAsia" w:ascii="仿宋" w:hAnsi="仿宋" w:eastAsia="仿宋" w:cs="仿宋"/>
          <w:szCs w:val="24"/>
        </w:rPr>
        <w:t>基本资格条件、</w:t>
      </w:r>
      <w:r>
        <w:rPr>
          <w:rFonts w:hint="eastAsia" w:ascii="仿宋" w:hAnsi="仿宋" w:eastAsia="仿宋" w:cs="仿宋"/>
        </w:rPr>
        <w:t>落实政府采购政策需满足的资格要求、</w:t>
      </w:r>
      <w:r>
        <w:rPr>
          <w:rFonts w:hint="eastAsia" w:ascii="仿宋" w:hAnsi="仿宋" w:eastAsia="仿宋" w:cs="仿宋"/>
          <w:szCs w:val="24"/>
        </w:rPr>
        <w:t>特定资格条件相应的</w:t>
      </w:r>
      <w:r>
        <w:rPr>
          <w:rFonts w:hint="eastAsia" w:ascii="仿宋" w:hAnsi="仿宋" w:eastAsia="仿宋" w:cs="仿宋"/>
          <w:kern w:val="0"/>
          <w:szCs w:val="24"/>
        </w:rPr>
        <w:t>有效资格证明材料的，视为</w:t>
      </w:r>
      <w:r>
        <w:rPr>
          <w:rFonts w:hint="eastAsia" w:ascii="仿宋" w:hAnsi="仿宋" w:eastAsia="仿宋" w:cs="仿宋"/>
          <w:szCs w:val="24"/>
        </w:rPr>
        <w:t>供应商不具备采购文件中规定的资格要求，其投标无效。</w:t>
      </w:r>
    </w:p>
    <w:p w14:paraId="0CEF574E">
      <w:pPr>
        <w:pStyle w:val="22"/>
        <w:snapToGrid w:val="0"/>
        <w:spacing w:before="0"/>
        <w:ind w:firstLine="480"/>
        <w:rPr>
          <w:rFonts w:ascii="仿宋" w:hAnsi="仿宋" w:eastAsia="仿宋" w:cs="仿宋"/>
          <w:szCs w:val="24"/>
        </w:rPr>
      </w:pPr>
      <w:r>
        <w:rPr>
          <w:rFonts w:hint="eastAsia" w:ascii="仿宋" w:hAnsi="仿宋" w:eastAsia="仿宋" w:cs="仿宋"/>
          <w:kern w:val="0"/>
          <w:szCs w:val="24"/>
        </w:rPr>
        <w:t>19.</w:t>
      </w:r>
      <w:r>
        <w:rPr>
          <w:rFonts w:hint="eastAsia" w:ascii="仿宋" w:hAnsi="仿宋" w:eastAsia="仿宋" w:cs="仿宋"/>
          <w:szCs w:val="24"/>
        </w:rPr>
        <w:t>4对未通过资格审查的供应商，采购人或采购机构告知其未通过的原因。</w:t>
      </w:r>
    </w:p>
    <w:p w14:paraId="54F4F140">
      <w:pPr>
        <w:pStyle w:val="22"/>
        <w:snapToGrid w:val="0"/>
        <w:spacing w:before="0"/>
        <w:ind w:firstLine="480"/>
        <w:rPr>
          <w:rFonts w:ascii="仿宋" w:hAnsi="仿宋" w:eastAsia="仿宋" w:cs="仿宋"/>
          <w:szCs w:val="24"/>
        </w:rPr>
      </w:pPr>
      <w:r>
        <w:rPr>
          <w:rFonts w:hint="eastAsia" w:ascii="仿宋" w:hAnsi="仿宋" w:eastAsia="仿宋" w:cs="仿宋"/>
          <w:kern w:val="0"/>
          <w:szCs w:val="24"/>
        </w:rPr>
        <w:t>19.</w:t>
      </w:r>
      <w:r>
        <w:rPr>
          <w:rFonts w:hint="eastAsia" w:ascii="仿宋" w:hAnsi="仿宋" w:eastAsia="仿宋" w:cs="仿宋"/>
          <w:szCs w:val="24"/>
        </w:rPr>
        <w:t>5合格供应商不足3家的，不再进行磋商。</w:t>
      </w:r>
    </w:p>
    <w:p w14:paraId="53D7FAA4">
      <w:pPr>
        <w:pStyle w:val="22"/>
        <w:snapToGrid w:val="0"/>
        <w:spacing w:before="0"/>
        <w:ind w:firstLine="0" w:firstLineChars="0"/>
        <w:rPr>
          <w:rFonts w:ascii="仿宋" w:hAnsi="仿宋" w:eastAsia="仿宋" w:cs="仿宋"/>
          <w:b/>
          <w:szCs w:val="24"/>
        </w:rPr>
      </w:pPr>
      <w:r>
        <w:rPr>
          <w:rFonts w:hint="eastAsia" w:ascii="仿宋" w:hAnsi="仿宋" w:eastAsia="仿宋" w:cs="仿宋"/>
          <w:b/>
          <w:szCs w:val="24"/>
        </w:rPr>
        <w:t>20、信用信息查询</w:t>
      </w:r>
    </w:p>
    <w:p w14:paraId="1FB74FFB">
      <w:pPr>
        <w:pStyle w:val="22"/>
        <w:snapToGrid w:val="0"/>
        <w:spacing w:before="0"/>
        <w:ind w:firstLine="480"/>
        <w:rPr>
          <w:rFonts w:ascii="仿宋" w:hAnsi="仿宋" w:eastAsia="仿宋" w:cs="仿宋"/>
          <w:kern w:val="0"/>
          <w:szCs w:val="24"/>
        </w:rPr>
      </w:pPr>
      <w:r>
        <w:rPr>
          <w:rFonts w:hint="eastAsia" w:ascii="仿宋" w:hAnsi="仿宋" w:eastAsia="仿宋" w:cs="仿宋"/>
          <w:kern w:val="0"/>
          <w:szCs w:val="24"/>
        </w:rPr>
        <w:t>20.1信用信息查询渠道及截止时间：采购机构将通过“信用中国”网站(www.creditchina.gov.cn)、中国政府采购网(www.ccgp.gov.cn)渠道查询供应商首次响应文件提交截止时间当天的信用记录。</w:t>
      </w:r>
    </w:p>
    <w:p w14:paraId="568400F6">
      <w:pPr>
        <w:pStyle w:val="22"/>
        <w:snapToGrid w:val="0"/>
        <w:spacing w:before="0"/>
        <w:ind w:firstLine="480"/>
        <w:rPr>
          <w:rFonts w:ascii="仿宋" w:hAnsi="仿宋" w:eastAsia="仿宋" w:cs="仿宋"/>
          <w:kern w:val="0"/>
          <w:szCs w:val="24"/>
        </w:rPr>
      </w:pPr>
      <w:r>
        <w:rPr>
          <w:rFonts w:hint="eastAsia" w:ascii="仿宋" w:hAnsi="仿宋" w:eastAsia="仿宋" w:cs="仿宋"/>
          <w:kern w:val="0"/>
          <w:szCs w:val="24"/>
        </w:rPr>
        <w:t>20.2信用信息查询记录和证据留存的具体方式：现场查询的供应商的信用记录、查询结果经确认后将与采购文件一起存档。</w:t>
      </w:r>
    </w:p>
    <w:p w14:paraId="2125C0B9">
      <w:pPr>
        <w:pStyle w:val="22"/>
        <w:snapToGrid w:val="0"/>
        <w:spacing w:before="0"/>
        <w:ind w:firstLine="480"/>
        <w:rPr>
          <w:rFonts w:ascii="仿宋" w:hAnsi="仿宋" w:eastAsia="仿宋" w:cs="仿宋"/>
          <w:kern w:val="0"/>
          <w:szCs w:val="24"/>
        </w:rPr>
      </w:pPr>
      <w:r>
        <w:rPr>
          <w:rFonts w:hint="eastAsia" w:ascii="仿宋" w:hAnsi="仿宋" w:eastAsia="仿宋" w:cs="仿宋"/>
          <w:kern w:val="0"/>
          <w:szCs w:val="24"/>
        </w:rPr>
        <w:t>20.3信用信息的使用规则：经查询列入失信被执行人名单、重大税收违法案件当事人名单、政府采购严重违法失信行为记录名单的供应商将被拒绝参与政府采购活动。</w:t>
      </w:r>
    </w:p>
    <w:p w14:paraId="405F4D80">
      <w:pPr>
        <w:pStyle w:val="22"/>
        <w:snapToGrid w:val="0"/>
        <w:spacing w:before="0"/>
        <w:ind w:firstLine="480"/>
        <w:rPr>
          <w:rFonts w:ascii="仿宋" w:hAnsi="仿宋" w:eastAsia="仿宋" w:cs="仿宋"/>
          <w:szCs w:val="24"/>
        </w:rPr>
      </w:pPr>
      <w:r>
        <w:rPr>
          <w:rFonts w:hint="eastAsia" w:ascii="仿宋" w:hAnsi="仿宋" w:eastAsia="仿宋" w:cs="仿宋"/>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szCs w:val="24"/>
        </w:rPr>
        <w:t>。</w:t>
      </w:r>
    </w:p>
    <w:p w14:paraId="232D0E9A">
      <w:pPr>
        <w:pStyle w:val="3"/>
        <w:snapToGrid w:val="0"/>
        <w:spacing w:before="0" w:after="0" w:line="360" w:lineRule="auto"/>
        <w:jc w:val="center"/>
        <w:rPr>
          <w:rFonts w:ascii="仿宋" w:hAnsi="仿宋" w:eastAsia="仿宋" w:cs="仿宋"/>
          <w:sz w:val="28"/>
          <w:szCs w:val="28"/>
        </w:rPr>
      </w:pPr>
      <w:bookmarkStart w:id="41" w:name="_Toc34508135"/>
      <w:bookmarkStart w:id="42" w:name="_Toc34221900"/>
      <w:r>
        <w:rPr>
          <w:rFonts w:hint="eastAsia" w:ascii="仿宋" w:hAnsi="仿宋" w:eastAsia="仿宋" w:cs="仿宋"/>
          <w:sz w:val="28"/>
          <w:szCs w:val="28"/>
        </w:rPr>
        <w:t>五、</w:t>
      </w:r>
      <w:bookmarkEnd w:id="41"/>
      <w:bookmarkEnd w:id="42"/>
      <w:r>
        <w:rPr>
          <w:rFonts w:hint="eastAsia" w:ascii="仿宋" w:hAnsi="仿宋" w:eastAsia="仿宋" w:cs="仿宋"/>
          <w:sz w:val="28"/>
          <w:szCs w:val="28"/>
        </w:rPr>
        <w:t>磋商</w:t>
      </w:r>
    </w:p>
    <w:p w14:paraId="12960164">
      <w:pPr>
        <w:snapToGrid w:val="0"/>
        <w:spacing w:line="360" w:lineRule="auto"/>
        <w:rPr>
          <w:rFonts w:ascii="仿宋" w:hAnsi="仿宋" w:eastAsia="仿宋" w:cs="仿宋"/>
          <w:b/>
          <w:sz w:val="24"/>
        </w:rPr>
      </w:pPr>
      <w:r>
        <w:rPr>
          <w:rFonts w:hint="eastAsia" w:ascii="仿宋" w:hAnsi="仿宋" w:eastAsia="仿宋" w:cs="仿宋"/>
          <w:b/>
          <w:sz w:val="24"/>
        </w:rPr>
        <w:t>21.磋商小组</w:t>
      </w:r>
    </w:p>
    <w:p w14:paraId="1FC00BD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21.1磋商小组成员应当按照客观、公正、审慎的原则，根据采购文件第六部分评审办法规定的评审程序、评审方法和评审标准进行独立评审。未实质性响应磋商文件的响应文件按无效响应处理，磋商小组应当告知提交响应文件的供应商。</w:t>
      </w:r>
    </w:p>
    <w:p w14:paraId="2592AE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磋商文件内容违反国家有关强制性规定的，磋商小组应当停止评审并向采购人或者采购代理机构说明情况。</w:t>
      </w:r>
    </w:p>
    <w:p w14:paraId="0731500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D858F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小组要求供应商澄清、说明或者更正响应文件应当通过政采云平台在线作出。供应商的澄清、说明或者更正应当由法定代表人或其授权代表签字或者加盖公章。由授权代表签字的，应当附法定代表人授权书。供应商为自然人的，应当由本人签字并附身份证明。</w:t>
      </w:r>
      <w:r>
        <w:rPr>
          <w:rFonts w:hint="eastAsia" w:ascii="仿宋" w:hAnsi="仿宋" w:eastAsia="仿宋" w:cs="仿宋"/>
          <w:bCs/>
          <w:kern w:val="0"/>
          <w:sz w:val="24"/>
        </w:rPr>
        <w:t>进行签字或盖章确认的材料将通过“政采云平台”进行，若因“政采云平台”技术问题无法进行签字或盖章确认的，采购组织机构将通过邮件、传真等形式组织确认。</w:t>
      </w:r>
    </w:p>
    <w:p w14:paraId="4BDAB515">
      <w:pPr>
        <w:snapToGrid w:val="0"/>
        <w:spacing w:line="360" w:lineRule="auto"/>
        <w:rPr>
          <w:rFonts w:ascii="仿宋" w:hAnsi="仿宋" w:eastAsia="仿宋" w:cs="仿宋"/>
          <w:sz w:val="24"/>
        </w:rPr>
      </w:pPr>
      <w:r>
        <w:rPr>
          <w:rFonts w:hint="eastAsia" w:ascii="仿宋" w:hAnsi="仿宋" w:eastAsia="仿宋" w:cs="仿宋"/>
          <w:sz w:val="24"/>
        </w:rPr>
        <w:t>22．磋商</w:t>
      </w:r>
    </w:p>
    <w:p w14:paraId="2061B1E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22.1磋商小组所有成员应当集中与单一供应商分别进行磋商，并给予所有参加磋商的供应商平等的磋商机会。磋商次数最多不超过2次。</w:t>
      </w:r>
    </w:p>
    <w:p w14:paraId="5EF3E65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DD9044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对磋商文件作出的实质性变动是磋商文件的有效组成部分，磋商小组应当及时以书面形式同时通知所有参加磋商的供应商。</w:t>
      </w:r>
    </w:p>
    <w:p w14:paraId="1986F69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仿宋" w:hAnsi="仿宋" w:eastAsia="仿宋" w:cs="仿宋"/>
          <w:bCs/>
          <w:kern w:val="0"/>
          <w:sz w:val="24"/>
        </w:rPr>
        <w:t>进行签字或盖章确认的材料将通过“政采云平台”进行，若因“政采云平台”技术问题无法进行签字或盖章确认的，采购组织机构将通过邮件、传真等形式组织确认。</w:t>
      </w:r>
    </w:p>
    <w:p w14:paraId="69AF831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22.2磋商文件能够详细列明采购标的的技术、服务要求的，磋商结束后，磋商小组应当要求所有实质性响应的供应商在规定时间内提交最后报价，提交最后报价的供应商不得少于3家。</w:t>
      </w:r>
    </w:p>
    <w:p w14:paraId="0D44904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A5EB60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最后报价是供应商响应文件的有效组成部分。符合《政府采购竞争性磋商采购方式管理暂行办法》第三条第四项情形的或者政府购买服务项目，提交最后报价的供应商可以为2家。</w:t>
      </w:r>
    </w:p>
    <w:p w14:paraId="3E78F42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22.3已提交响应文件的供应商，在提交最后报价之前，可以根据磋商情况退出磋商。</w:t>
      </w:r>
    </w:p>
    <w:p w14:paraId="413BEB1D">
      <w:pPr>
        <w:snapToGrid w:val="0"/>
        <w:spacing w:line="360" w:lineRule="auto"/>
        <w:rPr>
          <w:rFonts w:ascii="仿宋" w:hAnsi="仿宋" w:eastAsia="仿宋" w:cs="仿宋"/>
          <w:sz w:val="24"/>
        </w:rPr>
      </w:pPr>
      <w:r>
        <w:rPr>
          <w:rFonts w:hint="eastAsia" w:ascii="仿宋" w:hAnsi="仿宋" w:eastAsia="仿宋" w:cs="仿宋"/>
          <w:sz w:val="24"/>
        </w:rPr>
        <w:t>23．评审</w:t>
      </w:r>
    </w:p>
    <w:p w14:paraId="32B79B0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23.1经磋商确定最终采购需求和提交最后报价的供应商后，由磋商小组采用综合评分法对提交最后报价的供应商的响应文件和最后报价进行综合评分。具体评审办法见采购文件第六部分评审办法。</w:t>
      </w:r>
    </w:p>
    <w:p w14:paraId="48C3B0D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23.2磋商小组应当根据综合评分情况，按照评审得分由高到低顺序推荐1名成交候选供应商，并编写评审报告。评审得分相同的，按照最后报价由低到高的顺序推荐。评审得分且最后报价相同的，按照技术商务标得分排名靠前的顺序推荐。</w:t>
      </w:r>
    </w:p>
    <w:p w14:paraId="1664ED26">
      <w:pPr>
        <w:snapToGrid w:val="0"/>
        <w:spacing w:line="360" w:lineRule="auto"/>
        <w:rPr>
          <w:rFonts w:ascii="仿宋" w:hAnsi="仿宋" w:eastAsia="仿宋" w:cs="仿宋"/>
          <w:sz w:val="24"/>
        </w:rPr>
      </w:pPr>
      <w:r>
        <w:rPr>
          <w:rFonts w:hint="eastAsia" w:ascii="仿宋" w:hAnsi="仿宋" w:eastAsia="仿宋" w:cs="仿宋"/>
          <w:sz w:val="24"/>
        </w:rPr>
        <w:t>24.评审报告</w:t>
      </w:r>
    </w:p>
    <w:p w14:paraId="38EA7CA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24.1评审报告应当包括以下主要内容：</w:t>
      </w:r>
    </w:p>
    <w:p w14:paraId="16BC24A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（1）邀请供应商参加采购活动的具体方式和相关情况；</w:t>
      </w:r>
    </w:p>
    <w:p w14:paraId="4AD7C1C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（2）响应文件开启日期和地点；</w:t>
      </w:r>
    </w:p>
    <w:p w14:paraId="52330E8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（3）获取磋商文件的供应商名单和磋商小组成员名单；</w:t>
      </w:r>
    </w:p>
    <w:p w14:paraId="0BC1DD5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（4）评审情况记录和说明，包括对供应商的资格审查情况、供应商响应文件评审情况、磋商情况、报价情况等；</w:t>
      </w:r>
    </w:p>
    <w:p w14:paraId="2755FDB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（5）提出的成交候选供应商的排序名单及理由。</w:t>
      </w:r>
    </w:p>
    <w:p w14:paraId="28F359E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CBE502">
      <w:pPr>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六、定标</w:t>
      </w:r>
    </w:p>
    <w:p w14:paraId="1B1D3028">
      <w:pPr>
        <w:pStyle w:val="8"/>
        <w:adjustRightInd w:val="0"/>
        <w:snapToGrid w:val="0"/>
        <w:spacing w:line="360" w:lineRule="auto"/>
        <w:ind w:left="0" w:firstLine="0" w:firstLineChars="0"/>
        <w:rPr>
          <w:rFonts w:ascii="仿宋" w:hAnsi="仿宋" w:eastAsia="仿宋" w:cs="仿宋"/>
          <w:b/>
        </w:rPr>
      </w:pPr>
      <w:r>
        <w:rPr>
          <w:rFonts w:hint="eastAsia" w:ascii="仿宋" w:hAnsi="仿宋" w:eastAsia="仿宋" w:cs="仿宋"/>
          <w:b/>
        </w:rPr>
        <w:t>25.确定成交供应商</w:t>
      </w:r>
    </w:p>
    <w:p w14:paraId="49CD2B5F">
      <w:pPr>
        <w:pStyle w:val="22"/>
        <w:snapToGrid w:val="0"/>
        <w:ind w:firstLine="480"/>
        <w:rPr>
          <w:rFonts w:ascii="仿宋" w:hAnsi="仿宋" w:eastAsia="仿宋" w:cs="仿宋"/>
          <w:szCs w:val="24"/>
        </w:rPr>
      </w:pPr>
      <w:r>
        <w:rPr>
          <w:rFonts w:hint="eastAsia" w:ascii="仿宋" w:hAnsi="仿宋" w:eastAsia="仿宋" w:cs="仿宋"/>
          <w:szCs w:val="24"/>
        </w:rPr>
        <w:t>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F05C83B">
      <w:pPr>
        <w:pStyle w:val="22"/>
        <w:snapToGrid w:val="0"/>
        <w:spacing w:before="0"/>
        <w:ind w:firstLine="0" w:firstLineChars="0"/>
        <w:rPr>
          <w:rFonts w:ascii="仿宋" w:hAnsi="仿宋" w:eastAsia="仿宋" w:cs="仿宋"/>
          <w:b/>
          <w:szCs w:val="24"/>
        </w:rPr>
      </w:pPr>
      <w:r>
        <w:rPr>
          <w:rFonts w:hint="eastAsia" w:ascii="仿宋" w:hAnsi="仿宋" w:eastAsia="仿宋" w:cs="仿宋"/>
          <w:b/>
          <w:szCs w:val="24"/>
        </w:rPr>
        <w:t>26.成交通知与成交结果公告</w:t>
      </w:r>
    </w:p>
    <w:p w14:paraId="7BDF6EC6">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26.1自成交供应商确定之日起2个工作日内，采购机构向成交供应商发出成交通知书，同时编制发布采购结果公告。</w:t>
      </w:r>
    </w:p>
    <w:p w14:paraId="45A99EFC">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26.2公告期限为1个工作日。</w:t>
      </w:r>
    </w:p>
    <w:p w14:paraId="17450988">
      <w:pPr>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七、合同授予</w:t>
      </w:r>
    </w:p>
    <w:p w14:paraId="4E8B7408">
      <w:pPr>
        <w:pStyle w:val="8"/>
        <w:adjustRightInd w:val="0"/>
        <w:snapToGrid w:val="0"/>
        <w:spacing w:line="360" w:lineRule="auto"/>
        <w:ind w:left="0" w:firstLine="0" w:firstLineChars="0"/>
        <w:rPr>
          <w:rFonts w:ascii="仿宋" w:hAnsi="仿宋" w:eastAsia="仿宋" w:cs="仿宋"/>
          <w:b/>
        </w:rPr>
      </w:pPr>
      <w:r>
        <w:rPr>
          <w:rFonts w:hint="eastAsia" w:ascii="仿宋" w:hAnsi="仿宋" w:eastAsia="仿宋" w:cs="仿宋"/>
          <w:b/>
        </w:rPr>
        <w:t>27.合同的签订</w:t>
      </w:r>
    </w:p>
    <w:p w14:paraId="56EF37A3">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27.1</w:t>
      </w:r>
      <w:r>
        <w:rPr>
          <w:rFonts w:hint="eastAsia" w:ascii="仿宋" w:hAnsi="仿宋" w:eastAsia="仿宋" w:cs="仿宋"/>
          <w:kern w:val="0"/>
          <w:sz w:val="24"/>
        </w:rPr>
        <w:t xml:space="preserve"> 采购人与成交供应商应当在成交通知书发出之日起三十日内，按照采购文件确定的事项签订政府采购合同，并在合同签订之日起2个工作日内依法发布合同公告。</w:t>
      </w:r>
      <w:r>
        <w:rPr>
          <w:rFonts w:hint="eastAsia" w:ascii="仿宋" w:hAnsi="仿宋" w:eastAsia="仿宋" w:cs="仿宋"/>
          <w:sz w:val="24"/>
        </w:rPr>
        <w:t>合同主要条款详见第四部分拟签订的合同文本。</w:t>
      </w:r>
    </w:p>
    <w:p w14:paraId="32365529">
      <w:pPr>
        <w:pStyle w:val="22"/>
        <w:snapToGrid w:val="0"/>
        <w:spacing w:before="0"/>
        <w:ind w:firstLine="480"/>
        <w:rPr>
          <w:rFonts w:ascii="仿宋" w:hAnsi="仿宋" w:eastAsia="仿宋" w:cs="仿宋"/>
          <w:kern w:val="0"/>
          <w:szCs w:val="24"/>
          <w:lang w:val="zh-CN"/>
        </w:rPr>
      </w:pPr>
      <w:r>
        <w:rPr>
          <w:rFonts w:hint="eastAsia" w:ascii="仿宋" w:hAnsi="仿宋" w:eastAsia="仿宋" w:cs="仿宋"/>
          <w:kern w:val="0"/>
          <w:szCs w:val="24"/>
          <w:lang w:val="zh-CN"/>
        </w:rPr>
        <w:t>27.2成交供应商按规定的日期、时间、地点，由法定代表人或其授权代表与采购人代表签订合同。如成交为联合体的，由联合体成员各方法定代表人或其授权代表与采购人代表签订合同。</w:t>
      </w:r>
    </w:p>
    <w:p w14:paraId="696DE3C7">
      <w:pPr>
        <w:pStyle w:val="22"/>
        <w:snapToGrid w:val="0"/>
        <w:spacing w:before="0"/>
        <w:ind w:firstLine="480"/>
        <w:rPr>
          <w:rFonts w:ascii="仿宋" w:hAnsi="仿宋" w:eastAsia="仿宋" w:cs="仿宋"/>
          <w:szCs w:val="24"/>
        </w:rPr>
      </w:pPr>
      <w:r>
        <w:rPr>
          <w:rFonts w:hint="eastAsia" w:ascii="仿宋" w:hAnsi="仿宋" w:eastAsia="仿宋" w:cs="仿宋"/>
          <w:kern w:val="0"/>
          <w:szCs w:val="24"/>
          <w:lang w:val="zh-CN"/>
        </w:rPr>
        <w:t>27.3成交供应商</w:t>
      </w:r>
      <w:r>
        <w:rPr>
          <w:rFonts w:hint="eastAsia" w:ascii="仿宋" w:hAnsi="仿宋" w:eastAsia="仿宋" w:cs="仿宋"/>
          <w:szCs w:val="24"/>
        </w:rPr>
        <w:t>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37C839FC">
      <w:pPr>
        <w:pStyle w:val="22"/>
        <w:snapToGrid w:val="0"/>
        <w:spacing w:before="0"/>
        <w:ind w:firstLine="480"/>
        <w:rPr>
          <w:rFonts w:ascii="仿宋" w:hAnsi="仿宋" w:eastAsia="仿宋" w:cs="仿宋"/>
          <w:szCs w:val="24"/>
        </w:rPr>
      </w:pPr>
      <w:r>
        <w:rPr>
          <w:rFonts w:hint="eastAsia" w:ascii="仿宋" w:hAnsi="仿宋" w:eastAsia="仿宋" w:cs="仿宋"/>
          <w:szCs w:val="24"/>
        </w:rPr>
        <w:t>27.4采购合同可由采购人与成交供应商根据采购文件、响应文件等内容通过政采云台在线签订，自动备案。</w:t>
      </w:r>
    </w:p>
    <w:p w14:paraId="17655995">
      <w:pPr>
        <w:pStyle w:val="22"/>
        <w:snapToGrid w:val="0"/>
        <w:spacing w:before="0"/>
        <w:ind w:firstLine="0" w:firstLineChars="0"/>
        <w:rPr>
          <w:rFonts w:ascii="仿宋" w:hAnsi="仿宋" w:eastAsia="仿宋" w:cs="仿宋"/>
          <w:b/>
          <w:szCs w:val="24"/>
        </w:rPr>
      </w:pPr>
      <w:r>
        <w:rPr>
          <w:rFonts w:hint="eastAsia" w:ascii="仿宋" w:hAnsi="仿宋" w:eastAsia="仿宋" w:cs="仿宋"/>
          <w:b/>
          <w:szCs w:val="24"/>
        </w:rPr>
        <w:t>28．合同履约管理</w:t>
      </w:r>
    </w:p>
    <w:p w14:paraId="262A6539">
      <w:pPr>
        <w:pStyle w:val="22"/>
        <w:snapToGrid w:val="0"/>
        <w:spacing w:before="0"/>
        <w:ind w:firstLine="480"/>
        <w:rPr>
          <w:rFonts w:ascii="仿宋" w:hAnsi="仿宋" w:eastAsia="仿宋" w:cs="仿宋"/>
          <w:szCs w:val="24"/>
        </w:rPr>
      </w:pPr>
      <w:r>
        <w:rPr>
          <w:rFonts w:hint="eastAsia" w:ascii="仿宋" w:hAnsi="仿宋" w:eastAsia="仿宋" w:cs="仿宋"/>
          <w:szCs w:val="24"/>
        </w:rPr>
        <w:t>合同签订后，采购人依法加强对合同履约进行管理，并在中标/成交单位服务、项目验收等重要关节，如实填写《合同验收报告》（或考核资料），并及时向同级财政部门报告验收过程中遇到的问题。</w:t>
      </w:r>
    </w:p>
    <w:p w14:paraId="437A091C">
      <w:pPr>
        <w:pStyle w:val="8"/>
        <w:adjustRightInd w:val="0"/>
        <w:snapToGrid w:val="0"/>
        <w:spacing w:line="360" w:lineRule="auto"/>
        <w:ind w:left="0" w:firstLine="0" w:firstLineChars="0"/>
        <w:rPr>
          <w:rFonts w:ascii="仿宋" w:hAnsi="仿宋" w:eastAsia="仿宋" w:cs="仿宋"/>
          <w:b/>
        </w:rPr>
      </w:pPr>
      <w:r>
        <w:rPr>
          <w:rFonts w:hint="eastAsia" w:ascii="仿宋" w:hAnsi="仿宋" w:eastAsia="仿宋" w:cs="仿宋"/>
          <w:b/>
        </w:rPr>
        <w:t>29.履约保证金</w:t>
      </w:r>
    </w:p>
    <w:p w14:paraId="3BBC4300">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签订的合同文本要求成交供应商提交履约保证金的，供应商应当以银行转账、支票、汇票、本票或者金融机构、担保机构出具的保函等非现金形式提交</w:t>
      </w:r>
      <w:r>
        <w:rPr>
          <w:rFonts w:hint="eastAsia" w:ascii="仿宋" w:hAnsi="仿宋" w:eastAsia="仿宋" w:cs="仿宋"/>
          <w:sz w:val="24"/>
        </w:rPr>
        <w:t>。履约保证金的数额不得超过政府采购合同金额的1%。鼓励和支持供应商以银行、保险公司出具的保函</w:t>
      </w:r>
      <w:r>
        <w:rPr>
          <w:rFonts w:hint="eastAsia" w:ascii="仿宋" w:hAnsi="仿宋" w:eastAsia="仿宋" w:cs="仿宋"/>
          <w:kern w:val="0"/>
          <w:sz w:val="24"/>
        </w:rPr>
        <w:t>形式提供履约保证金。采购人不得拒收履约保函。</w:t>
      </w:r>
    </w:p>
    <w:p w14:paraId="406329F2">
      <w:pPr>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八、电子交易活动的中止</w:t>
      </w:r>
    </w:p>
    <w:p w14:paraId="374D05AD">
      <w:pPr>
        <w:pStyle w:val="22"/>
        <w:snapToGrid w:val="0"/>
        <w:spacing w:before="0"/>
        <w:ind w:firstLine="0" w:firstLineChars="0"/>
        <w:rPr>
          <w:rFonts w:ascii="仿宋" w:hAnsi="仿宋" w:eastAsia="仿宋" w:cs="仿宋"/>
          <w:b/>
          <w:szCs w:val="24"/>
        </w:rPr>
      </w:pPr>
      <w:r>
        <w:rPr>
          <w:rFonts w:hint="eastAsia" w:ascii="仿宋" w:hAnsi="仿宋" w:eastAsia="仿宋" w:cs="仿宋"/>
          <w:szCs w:val="24"/>
        </w:rPr>
        <w:t>30</w:t>
      </w:r>
      <w:r>
        <w:rPr>
          <w:rFonts w:hint="eastAsia" w:ascii="仿宋" w:hAnsi="仿宋" w:eastAsia="仿宋" w:cs="仿宋"/>
          <w:b/>
          <w:szCs w:val="24"/>
        </w:rPr>
        <w:t>.电子交易活动的中止。</w:t>
      </w:r>
    </w:p>
    <w:p w14:paraId="20DF92BE">
      <w:pPr>
        <w:pStyle w:val="22"/>
        <w:snapToGrid w:val="0"/>
        <w:spacing w:before="0"/>
        <w:ind w:firstLine="480"/>
        <w:rPr>
          <w:rFonts w:ascii="仿宋" w:hAnsi="仿宋" w:eastAsia="仿宋" w:cs="仿宋"/>
          <w:szCs w:val="24"/>
        </w:rPr>
      </w:pPr>
      <w:r>
        <w:rPr>
          <w:rFonts w:hint="eastAsia" w:ascii="仿宋" w:hAnsi="仿宋" w:eastAsia="仿宋" w:cs="仿宋"/>
          <w:szCs w:val="24"/>
        </w:rPr>
        <w:t>采购过程中出现以下情形，导致电子交易平台无法正常运行，或者无法保证电子交易的公平、公正和安全时，采购机构可中止电子交易活动：</w:t>
      </w:r>
    </w:p>
    <w:p w14:paraId="3C0D5525">
      <w:pPr>
        <w:pStyle w:val="22"/>
        <w:snapToGrid w:val="0"/>
        <w:spacing w:before="0"/>
        <w:ind w:firstLine="480"/>
        <w:rPr>
          <w:rFonts w:ascii="仿宋" w:hAnsi="仿宋" w:eastAsia="仿宋" w:cs="仿宋"/>
          <w:szCs w:val="24"/>
        </w:rPr>
      </w:pPr>
      <w:r>
        <w:rPr>
          <w:rFonts w:hint="eastAsia" w:ascii="仿宋" w:hAnsi="仿宋" w:eastAsia="仿宋" w:cs="仿宋"/>
          <w:szCs w:val="24"/>
        </w:rPr>
        <w:t xml:space="preserve">30.1电子交易平台发生故障而无法登录访问的； </w:t>
      </w:r>
    </w:p>
    <w:p w14:paraId="66884947">
      <w:pPr>
        <w:pStyle w:val="22"/>
        <w:snapToGrid w:val="0"/>
        <w:spacing w:before="0"/>
        <w:ind w:firstLine="480"/>
        <w:rPr>
          <w:rFonts w:ascii="仿宋" w:hAnsi="仿宋" w:eastAsia="仿宋" w:cs="仿宋"/>
          <w:szCs w:val="24"/>
        </w:rPr>
      </w:pPr>
      <w:r>
        <w:rPr>
          <w:rFonts w:hint="eastAsia" w:ascii="仿宋" w:hAnsi="仿宋" w:eastAsia="仿宋" w:cs="仿宋"/>
          <w:szCs w:val="24"/>
        </w:rPr>
        <w:t>30.2电子交易平台应用或数据库出现错误，不能进行正常操作的；</w:t>
      </w:r>
    </w:p>
    <w:p w14:paraId="157004A8">
      <w:pPr>
        <w:pStyle w:val="22"/>
        <w:snapToGrid w:val="0"/>
        <w:spacing w:before="0"/>
        <w:ind w:firstLine="480"/>
        <w:rPr>
          <w:rFonts w:ascii="仿宋" w:hAnsi="仿宋" w:eastAsia="仿宋" w:cs="仿宋"/>
          <w:szCs w:val="24"/>
        </w:rPr>
      </w:pPr>
      <w:r>
        <w:rPr>
          <w:rFonts w:hint="eastAsia" w:ascii="仿宋" w:hAnsi="仿宋" w:eastAsia="仿宋" w:cs="仿宋"/>
          <w:szCs w:val="24"/>
        </w:rPr>
        <w:t>30.3电子交易平台发现严重安全漏洞，有潜在泄密危险的；</w:t>
      </w:r>
    </w:p>
    <w:p w14:paraId="056F6F09">
      <w:pPr>
        <w:pStyle w:val="22"/>
        <w:snapToGrid w:val="0"/>
        <w:spacing w:before="0"/>
        <w:ind w:firstLine="480"/>
        <w:rPr>
          <w:rFonts w:ascii="仿宋" w:hAnsi="仿宋" w:eastAsia="仿宋" w:cs="仿宋"/>
          <w:szCs w:val="24"/>
        </w:rPr>
      </w:pPr>
      <w:r>
        <w:rPr>
          <w:rFonts w:hint="eastAsia" w:ascii="仿宋" w:hAnsi="仿宋" w:eastAsia="仿宋" w:cs="仿宋"/>
          <w:szCs w:val="24"/>
        </w:rPr>
        <w:t xml:space="preserve">30.4病毒发作导致不能进行正常操作的； </w:t>
      </w:r>
    </w:p>
    <w:p w14:paraId="1F03631F">
      <w:pPr>
        <w:pStyle w:val="22"/>
        <w:snapToGrid w:val="0"/>
        <w:spacing w:before="0"/>
        <w:ind w:firstLine="480"/>
        <w:rPr>
          <w:rFonts w:ascii="仿宋" w:hAnsi="仿宋" w:eastAsia="仿宋" w:cs="仿宋"/>
          <w:szCs w:val="24"/>
        </w:rPr>
      </w:pPr>
      <w:r>
        <w:rPr>
          <w:rFonts w:hint="eastAsia" w:ascii="仿宋" w:hAnsi="仿宋" w:eastAsia="仿宋" w:cs="仿宋"/>
          <w:szCs w:val="24"/>
        </w:rPr>
        <w:t>30.5其他无法保证电子交易的公平、公正和安全的情况。</w:t>
      </w:r>
    </w:p>
    <w:p w14:paraId="5FFE4E3D">
      <w:pPr>
        <w:pStyle w:val="22"/>
        <w:snapToGrid w:val="0"/>
        <w:spacing w:before="0"/>
        <w:ind w:firstLine="0" w:firstLineChars="0"/>
        <w:rPr>
          <w:rFonts w:ascii="仿宋" w:hAnsi="仿宋" w:eastAsia="仿宋" w:cs="仿宋"/>
          <w:szCs w:val="24"/>
        </w:rPr>
      </w:pPr>
      <w:r>
        <w:rPr>
          <w:rFonts w:hint="eastAsia" w:ascii="仿宋" w:hAnsi="仿宋" w:eastAsia="仿宋" w:cs="仿宋"/>
          <w:szCs w:val="24"/>
        </w:rPr>
        <w:t>31.出现以上情形，不影响采购公平、公正性的，采购组织机构可以待上述情形消除后继续组织电子交易活动，也可以决定某些环节以纸质形式进行；影响或可能影响采购公平、公正性的，应当重新采购。</w:t>
      </w:r>
    </w:p>
    <w:p w14:paraId="3A0C59EB">
      <w:pPr>
        <w:pStyle w:val="8"/>
        <w:snapToGrid w:val="0"/>
        <w:spacing w:line="360" w:lineRule="auto"/>
        <w:ind w:left="479" w:hanging="479" w:hangingChars="199"/>
        <w:rPr>
          <w:rFonts w:ascii="仿宋" w:hAnsi="仿宋" w:eastAsia="仿宋" w:cs="仿宋"/>
          <w:b/>
          <w:kern w:val="0"/>
        </w:rPr>
      </w:pPr>
      <w:r>
        <w:rPr>
          <w:rFonts w:hint="eastAsia" w:ascii="仿宋" w:hAnsi="仿宋" w:eastAsia="仿宋" w:cs="仿宋"/>
          <w:b/>
          <w:kern w:val="0"/>
        </w:rPr>
        <w:t>32.重新采购</w:t>
      </w:r>
    </w:p>
    <w:p w14:paraId="06E26B75">
      <w:pPr>
        <w:pStyle w:val="8"/>
        <w:adjustRightInd w:val="0"/>
        <w:snapToGrid w:val="0"/>
        <w:spacing w:line="360" w:lineRule="auto"/>
        <w:ind w:left="0" w:firstLine="480" w:firstLineChars="200"/>
        <w:rPr>
          <w:rFonts w:ascii="仿宋" w:hAnsi="仿宋" w:eastAsia="仿宋" w:cs="仿宋"/>
        </w:rPr>
      </w:pPr>
      <w:r>
        <w:rPr>
          <w:rFonts w:hint="eastAsia" w:ascii="仿宋" w:hAnsi="仿宋" w:eastAsia="仿宋" w:cs="仿宋"/>
        </w:rPr>
        <w:t>32.1有政府采购法第七十一条、第七十二条规定的违法行为之一，影响或者可能影响中标、成交结果的，依照下列规定处理：</w:t>
      </w:r>
    </w:p>
    <w:p w14:paraId="37412E3D">
      <w:pPr>
        <w:pStyle w:val="8"/>
        <w:adjustRightInd w:val="0"/>
        <w:snapToGrid w:val="0"/>
        <w:spacing w:line="360" w:lineRule="auto"/>
        <w:ind w:left="0" w:firstLine="480" w:firstLineChars="200"/>
        <w:rPr>
          <w:rFonts w:ascii="仿宋" w:hAnsi="仿宋" w:eastAsia="仿宋" w:cs="仿宋"/>
        </w:rPr>
      </w:pPr>
      <w:r>
        <w:rPr>
          <w:rFonts w:hint="eastAsia" w:ascii="仿宋" w:hAnsi="仿宋" w:eastAsia="仿宋" w:cs="仿宋"/>
        </w:rPr>
        <w:t>（1）未确定中标或者成交供应商的，终止本次政府采购活动，重新开展政府采购活动。</w:t>
      </w:r>
    </w:p>
    <w:p w14:paraId="5A979F9E">
      <w:pPr>
        <w:pStyle w:val="8"/>
        <w:adjustRightInd w:val="0"/>
        <w:snapToGrid w:val="0"/>
        <w:spacing w:line="360" w:lineRule="auto"/>
        <w:ind w:left="0" w:firstLine="480" w:firstLineChars="200"/>
        <w:rPr>
          <w:rFonts w:ascii="仿宋" w:hAnsi="仿宋" w:eastAsia="仿宋" w:cs="仿宋"/>
        </w:rPr>
      </w:pPr>
      <w:r>
        <w:rPr>
          <w:rFonts w:hint="eastAsia" w:ascii="仿宋" w:hAnsi="仿宋" w:eastAsia="仿宋" w:cs="仿宋"/>
        </w:rPr>
        <w:t>（2）已确定中标或者成交供应商但尚未签订政府采购合同的，中标或者成交结果无效，从合格的中标或者成交候选人中另行确定中标或者成交供应商；没有合格的中标或者成交候选人的，重新开展政府采购活动。</w:t>
      </w:r>
    </w:p>
    <w:p w14:paraId="05D358DA">
      <w:pPr>
        <w:pStyle w:val="8"/>
        <w:adjustRightInd w:val="0"/>
        <w:snapToGrid w:val="0"/>
        <w:spacing w:line="360" w:lineRule="auto"/>
        <w:ind w:left="0" w:firstLine="480" w:firstLineChars="200"/>
        <w:rPr>
          <w:rFonts w:ascii="仿宋" w:hAnsi="仿宋" w:eastAsia="仿宋" w:cs="仿宋"/>
        </w:rPr>
      </w:pPr>
      <w:r>
        <w:rPr>
          <w:rFonts w:hint="eastAsia" w:ascii="仿宋" w:hAnsi="仿宋" w:eastAsia="仿宋" w:cs="仿宋"/>
        </w:rPr>
        <w:t>（3）政府采购合同已签订但尚未履行的，撤销合同，从合格的中标或者成交候选人中另行确定中标或者成交供应商；没有合格的中标或者成交候选人的，重新开展政府采购活动。</w:t>
      </w:r>
    </w:p>
    <w:p w14:paraId="18045E9E">
      <w:pPr>
        <w:pStyle w:val="8"/>
        <w:adjustRightInd w:val="0"/>
        <w:snapToGrid w:val="0"/>
        <w:spacing w:line="360" w:lineRule="auto"/>
        <w:ind w:left="0" w:firstLine="480" w:firstLineChars="200"/>
        <w:rPr>
          <w:rFonts w:ascii="仿宋" w:hAnsi="仿宋" w:eastAsia="仿宋" w:cs="仿宋"/>
        </w:rPr>
      </w:pPr>
      <w:r>
        <w:rPr>
          <w:rFonts w:hint="eastAsia" w:ascii="仿宋" w:hAnsi="仿宋" w:eastAsia="仿宋" w:cs="仿宋"/>
        </w:rPr>
        <w:t>（4）政府采购合同已经履行，给采购人、供应商造成损失的，由责任人承担赔偿责任。</w:t>
      </w:r>
    </w:p>
    <w:p w14:paraId="7AAE8872">
      <w:pPr>
        <w:tabs>
          <w:tab w:val="left" w:pos="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（5）政府采购当事人有其他违反政府采购法或者政府采购法实施条例等法律法规规定的行为，经改正后仍然影响或者可能影响中标、成交结果或者依法被认定为中标、成交无效的，依照（1）-（4）规定处理。</w:t>
      </w:r>
    </w:p>
    <w:p w14:paraId="14B56E55">
      <w:pPr>
        <w:tabs>
          <w:tab w:val="left" w:pos="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32.2出现下列情形之一的，采购人或者采购代理机构应当终止竞争性磋商采购活动，发布项目终止公告并说明原因，重新开展采购活动：</w:t>
      </w:r>
    </w:p>
    <w:p w14:paraId="0F568288">
      <w:pPr>
        <w:tabs>
          <w:tab w:val="left" w:pos="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（1）因情况变化，不再符合规定的竞争性磋商采购方式适用情形的； </w:t>
      </w:r>
    </w:p>
    <w:p w14:paraId="04DA521C">
      <w:pPr>
        <w:tabs>
          <w:tab w:val="left" w:pos="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（2）出现影响采购公正的违法、违规行为的； </w:t>
      </w:r>
    </w:p>
    <w:p w14:paraId="468CA036">
      <w:pPr>
        <w:tabs>
          <w:tab w:val="left" w:pos="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（3）除《政府采购竞争性磋商采购方式管理暂行办法》第二十一条第三款规定的情形外，在采购过程中符合要求的供应商或者报价未超过采购预算的供应商不足3家的。 </w:t>
      </w:r>
    </w:p>
    <w:p w14:paraId="1BEB1F9F">
      <w:pPr>
        <w:tabs>
          <w:tab w:val="left" w:pos="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32.3在采购活动中因重大变故，采购任务取消的，采购人或者采购代理机构应当终止采购活动，通知所有参加采购活动的供应商，并将项目实施情况和采购任务取消原因报送本级财政部门。</w:t>
      </w:r>
    </w:p>
    <w:p w14:paraId="2628CEBC">
      <w:pPr>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九、验收</w:t>
      </w:r>
    </w:p>
    <w:p w14:paraId="068FD014">
      <w:pPr>
        <w:pStyle w:val="8"/>
        <w:adjustRightInd w:val="0"/>
        <w:snapToGrid w:val="0"/>
        <w:spacing w:line="360" w:lineRule="auto"/>
        <w:ind w:left="0" w:firstLine="0" w:firstLineChars="0"/>
        <w:rPr>
          <w:rFonts w:ascii="仿宋" w:hAnsi="仿宋" w:eastAsia="仿宋" w:cs="仿宋"/>
          <w:b/>
        </w:rPr>
      </w:pPr>
      <w:r>
        <w:rPr>
          <w:rFonts w:hint="eastAsia" w:ascii="仿宋" w:hAnsi="仿宋" w:eastAsia="仿宋" w:cs="仿宋"/>
          <w:b/>
        </w:rPr>
        <w:t>33.验收</w:t>
      </w:r>
    </w:p>
    <w:p w14:paraId="562E3135">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22A2F5">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33.2采购人可以邀请参加本项目的其他供应商或者第三方机构参与验收。参与验收的其他供应商或者第三方机构的意见作为验收书的参考资料一并存档。</w:t>
      </w:r>
    </w:p>
    <w:p w14:paraId="5CD26FA3">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kern w:val="0"/>
          <w:sz w:val="24"/>
        </w:rPr>
        <w:t>33.3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11A9DE">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kern w:val="0"/>
          <w:sz w:val="24"/>
        </w:rPr>
        <w:t>33.4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AE6179">
      <w:pPr>
        <w:snapToGrid w:val="0"/>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十、其他说明</w:t>
      </w:r>
    </w:p>
    <w:p w14:paraId="0CDE1ECD">
      <w:pPr>
        <w:pStyle w:val="8"/>
        <w:adjustRightInd w:val="0"/>
        <w:snapToGrid w:val="0"/>
        <w:spacing w:line="360" w:lineRule="auto"/>
        <w:ind w:left="0" w:firstLine="0" w:firstLineChars="0"/>
        <w:rPr>
          <w:rFonts w:ascii="仿宋" w:hAnsi="仿宋" w:eastAsia="仿宋" w:cs="仿宋"/>
          <w:b/>
        </w:rPr>
      </w:pPr>
      <w:r>
        <w:rPr>
          <w:rFonts w:hint="eastAsia" w:ascii="仿宋" w:hAnsi="仿宋" w:eastAsia="仿宋" w:cs="仿宋"/>
          <w:b/>
        </w:rPr>
        <w:t>34.其他说明</w:t>
      </w:r>
    </w:p>
    <w:p w14:paraId="405048A8">
      <w:pPr>
        <w:widowControl/>
        <w:snapToGrid w:val="0"/>
        <w:spacing w:line="360" w:lineRule="auto"/>
        <w:ind w:firstLine="480" w:firstLineChars="200"/>
        <w:jc w:val="left"/>
        <w:rPr>
          <w:rFonts w:ascii="仿宋" w:hAnsi="仿宋" w:eastAsia="仿宋" w:cs="仿宋"/>
          <w:sz w:val="22"/>
          <w:szCs w:val="22"/>
        </w:rPr>
      </w:pPr>
      <w:r>
        <w:rPr>
          <w:rFonts w:hint="eastAsia" w:ascii="仿宋" w:hAnsi="仿宋" w:eastAsia="仿宋" w:cs="仿宋"/>
          <w:kern w:val="0"/>
          <w:sz w:val="24"/>
        </w:rPr>
        <w:t>见供应商须知前附表。</w:t>
      </w:r>
    </w:p>
    <w:p w14:paraId="630038FC">
      <w:pPr>
        <w:widowControl/>
        <w:adjustRightInd/>
        <w:jc w:val="left"/>
        <w:rPr>
          <w:rFonts w:ascii="仿宋" w:hAnsi="仿宋" w:eastAsia="仿宋" w:cs="仿宋"/>
          <w:b/>
          <w:bCs/>
          <w:sz w:val="22"/>
          <w:szCs w:val="22"/>
        </w:rPr>
      </w:pPr>
      <w:r>
        <w:rPr>
          <w:rFonts w:hint="eastAsia" w:ascii="仿宋" w:hAnsi="仿宋" w:eastAsia="仿宋" w:cs="仿宋"/>
          <w:b/>
          <w:bCs/>
          <w:sz w:val="22"/>
          <w:szCs w:val="22"/>
        </w:rPr>
        <w:br w:type="page"/>
      </w:r>
    </w:p>
    <w:p w14:paraId="1A97013A">
      <w:pPr>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t>第三部分  采购需求</w:t>
      </w:r>
    </w:p>
    <w:p w14:paraId="2E16D434">
      <w:pPr>
        <w:numPr>
          <w:ilvl w:val="0"/>
          <w:numId w:val="3"/>
        </w:numPr>
        <w:spacing w:before="156" w:beforeLines="50" w:after="156" w:afterLines="50" w:line="360" w:lineRule="auto"/>
        <w:jc w:val="center"/>
        <w:outlineLvl w:val="1"/>
        <w:rPr>
          <w:rFonts w:ascii="仿宋" w:hAnsi="仿宋" w:eastAsia="仿宋" w:cs="仿宋"/>
          <w:b/>
          <w:bCs/>
          <w:sz w:val="28"/>
        </w:rPr>
      </w:pPr>
      <w:bookmarkStart w:id="43" w:name="_Toc496166822"/>
      <w:bookmarkStart w:id="44" w:name="_Toc35969598"/>
      <w:bookmarkStart w:id="45" w:name="_Toc535327920"/>
      <w:bookmarkStart w:id="46" w:name="_Toc36743225"/>
      <w:bookmarkStart w:id="47" w:name="_Toc15005"/>
      <w:bookmarkStart w:id="48" w:name="_Toc13593"/>
      <w:bookmarkStart w:id="49" w:name="_Toc36820653"/>
      <w:bookmarkStart w:id="50" w:name="_Toc536621204"/>
      <w:bookmarkStart w:id="51" w:name="_Toc25634"/>
      <w:bookmarkStart w:id="52" w:name="_Toc36024234"/>
      <w:bookmarkStart w:id="53" w:name="_Toc35969564"/>
      <w:bookmarkStart w:id="54" w:name="_Toc496078329"/>
      <w:bookmarkStart w:id="55" w:name="_Toc499214946"/>
      <w:bookmarkStart w:id="56" w:name="_Toc496163879"/>
      <w:bookmarkStart w:id="57" w:name="_Toc17027"/>
      <w:r>
        <w:rPr>
          <w:rFonts w:hint="eastAsia" w:ascii="仿宋" w:hAnsi="仿宋" w:eastAsia="仿宋" w:cs="仿宋"/>
          <w:b/>
          <w:sz w:val="24"/>
          <w:szCs w:val="22"/>
        </w:rPr>
        <w:t>概述</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CD7A954">
      <w:pPr>
        <w:pStyle w:val="24"/>
        <w:snapToGrid w:val="0"/>
        <w:spacing w:line="360" w:lineRule="auto"/>
        <w:rPr>
          <w:rFonts w:ascii="仿宋" w:hAnsi="仿宋" w:eastAsia="仿宋" w:cs="仿宋"/>
          <w:snapToGrid w:val="0"/>
          <w:vanish/>
        </w:rPr>
      </w:pPr>
    </w:p>
    <w:p w14:paraId="3887DE92">
      <w:pPr>
        <w:numPr>
          <w:ilvl w:val="1"/>
          <w:numId w:val="4"/>
        </w:numPr>
        <w:snapToGrid w:val="0"/>
        <w:spacing w:line="400" w:lineRule="atLeast"/>
        <w:rPr>
          <w:rFonts w:ascii="仿宋" w:hAnsi="仿宋" w:eastAsia="仿宋" w:cs="仿宋"/>
          <w:szCs w:val="22"/>
        </w:rPr>
      </w:pPr>
      <w:r>
        <w:rPr>
          <w:rFonts w:hint="eastAsia" w:ascii="仿宋" w:hAnsi="仿宋" w:eastAsia="仿宋" w:cs="仿宋"/>
          <w:szCs w:val="21"/>
        </w:rPr>
        <w:t>此份采购需求是磋商文件的一部分，包括所有条款的具体说明及要求，磋商供应商需在各自技术和商务占优势的基础上对本次采购的服务进行报价</w:t>
      </w:r>
      <w:r>
        <w:rPr>
          <w:rFonts w:hint="eastAsia" w:ascii="仿宋" w:hAnsi="仿宋" w:eastAsia="仿宋" w:cs="仿宋"/>
          <w:szCs w:val="22"/>
        </w:rPr>
        <w:t>。</w:t>
      </w:r>
    </w:p>
    <w:p w14:paraId="4F7265D3">
      <w:pPr>
        <w:numPr>
          <w:ilvl w:val="1"/>
          <w:numId w:val="4"/>
        </w:numPr>
        <w:snapToGrid w:val="0"/>
        <w:spacing w:line="400" w:lineRule="atLeast"/>
        <w:rPr>
          <w:rFonts w:ascii="仿宋" w:hAnsi="仿宋" w:eastAsia="仿宋" w:cs="仿宋"/>
          <w:szCs w:val="22"/>
        </w:rPr>
      </w:pPr>
      <w:r>
        <w:rPr>
          <w:rFonts w:hint="eastAsia" w:ascii="仿宋" w:hAnsi="仿宋" w:eastAsia="仿宋" w:cs="仿宋"/>
          <w:szCs w:val="22"/>
        </w:rPr>
        <w:t>现场踏勘：各磋商供应商于投标截止时间前自行到现场进行踏勘，以获取本次投标所需的现场资料及数据，磋商供应商若未到现场踏勘，引起的一切后果均由其自行负责，由此造成投标价的偏差均不予调整。现场踏勘费用自理。</w:t>
      </w:r>
    </w:p>
    <w:p w14:paraId="72B920DF">
      <w:pPr>
        <w:numPr>
          <w:ilvl w:val="1"/>
          <w:numId w:val="4"/>
        </w:numPr>
        <w:snapToGrid w:val="0"/>
        <w:spacing w:line="400" w:lineRule="atLeast"/>
        <w:rPr>
          <w:rFonts w:ascii="仿宋" w:hAnsi="仿宋" w:eastAsia="仿宋" w:cs="仿宋"/>
          <w:szCs w:val="22"/>
        </w:rPr>
      </w:pPr>
      <w:r>
        <w:rPr>
          <w:rFonts w:hint="eastAsia" w:ascii="仿宋" w:hAnsi="仿宋" w:eastAsia="仿宋" w:cs="仿宋"/>
          <w:szCs w:val="22"/>
        </w:rPr>
        <w:t>本次采购为一个标段，磋商供应商须对采购标段范围内的全部内容进行报价，而不允许只对部分内容进行报价，否则投标无效。</w:t>
      </w:r>
    </w:p>
    <w:p w14:paraId="432F0751">
      <w:pPr>
        <w:numPr>
          <w:ilvl w:val="1"/>
          <w:numId w:val="4"/>
        </w:numPr>
        <w:snapToGrid w:val="0"/>
        <w:spacing w:line="400" w:lineRule="atLeast"/>
        <w:rPr>
          <w:rFonts w:ascii="仿宋" w:hAnsi="仿宋" w:eastAsia="仿宋" w:cs="仿宋"/>
          <w:szCs w:val="22"/>
        </w:rPr>
      </w:pPr>
      <w:r>
        <w:rPr>
          <w:rFonts w:hint="eastAsia" w:ascii="仿宋" w:hAnsi="仿宋" w:eastAsia="仿宋" w:cs="仿宋"/>
          <w:szCs w:val="22"/>
        </w:rPr>
        <w:t>本次采购的产品（服务）所涉及的产品标准、规范、验收标准、规范，应符合国家有关条例及规范。如有新的标准应采纳新标准。</w:t>
      </w:r>
    </w:p>
    <w:p w14:paraId="7E389573">
      <w:pPr>
        <w:numPr>
          <w:ilvl w:val="1"/>
          <w:numId w:val="4"/>
        </w:numPr>
        <w:snapToGrid w:val="0"/>
        <w:spacing w:line="400" w:lineRule="atLeast"/>
        <w:rPr>
          <w:rFonts w:ascii="仿宋" w:hAnsi="仿宋" w:eastAsia="仿宋" w:cs="仿宋"/>
          <w:szCs w:val="22"/>
        </w:rPr>
      </w:pPr>
      <w:r>
        <w:rPr>
          <w:rFonts w:hint="eastAsia" w:ascii="仿宋" w:hAnsi="仿宋" w:eastAsia="仿宋" w:cs="仿宋"/>
          <w:szCs w:val="22"/>
        </w:rPr>
        <w:t>磋商供应商需按磋商文件的要求完成采购工作。按工作顺序提交所需的无论其是否被明细列在合同文件中的所有资料，提供的服务必须满足磋商文件中提出的相关要求。</w:t>
      </w:r>
    </w:p>
    <w:p w14:paraId="5BCA539D">
      <w:pPr>
        <w:numPr>
          <w:ilvl w:val="1"/>
          <w:numId w:val="4"/>
        </w:numPr>
        <w:snapToGrid w:val="0"/>
        <w:spacing w:line="400" w:lineRule="atLeast"/>
        <w:rPr>
          <w:rFonts w:ascii="仿宋" w:hAnsi="仿宋" w:eastAsia="仿宋" w:cs="仿宋"/>
          <w:szCs w:val="22"/>
        </w:rPr>
      </w:pPr>
      <w:r>
        <w:rPr>
          <w:rFonts w:hint="eastAsia" w:ascii="仿宋" w:hAnsi="仿宋" w:eastAsia="仿宋" w:cs="仿宋"/>
          <w:szCs w:val="22"/>
        </w:rPr>
        <w:t>在投标之前，磋商供应商须仔细阅读磋商文件，如发现有任何疑问、冲突或技术问题，磋商供应商在答疑截止时间前以书面形式向采购代理机构提出。逾期采购人不再作答复，有关风险及责任由磋商供应商自行承担。</w:t>
      </w:r>
      <w:bookmarkStart w:id="58" w:name="_Toc536621205"/>
      <w:bookmarkStart w:id="59" w:name="_Toc499214947"/>
      <w:bookmarkStart w:id="60" w:name="_Toc535327921"/>
    </w:p>
    <w:p w14:paraId="7BF68B2B">
      <w:pPr>
        <w:numPr>
          <w:ilvl w:val="1"/>
          <w:numId w:val="4"/>
        </w:numPr>
        <w:snapToGrid w:val="0"/>
        <w:spacing w:line="400" w:lineRule="atLeast"/>
        <w:rPr>
          <w:rFonts w:ascii="仿宋" w:hAnsi="仿宋" w:eastAsia="仿宋" w:cs="仿宋"/>
          <w:szCs w:val="22"/>
        </w:rPr>
      </w:pPr>
      <w:r>
        <w:rPr>
          <w:rFonts w:hint="eastAsia" w:ascii="仿宋" w:hAnsi="仿宋" w:eastAsia="仿宋" w:cs="仿宋"/>
          <w:szCs w:val="21"/>
        </w:rPr>
        <w:t>本项目优先采购本国货物和服务，必须进行的技术引进和转让需符合国家政策和有利于国内行业的发展。项目中涉及到的设备、材料属于政府采购节能产品、环境标志产品的，要求符合相关规定。本项目执行促进中小企业发展、支持监狱企业发展、促进残疾人就业政府采购政策。鼓励在采购活动中允许中小企业引入信用担保手段，为中小企业在投标（响应）保证、履约保证等方面提供专业化服务。鼓励中小企业依法合规通过政府采购合同融资</w:t>
      </w:r>
      <w:r>
        <w:rPr>
          <w:rFonts w:hint="eastAsia" w:ascii="仿宋" w:hAnsi="仿宋" w:eastAsia="仿宋" w:cs="仿宋"/>
          <w:szCs w:val="22"/>
        </w:rPr>
        <w:t>。</w:t>
      </w:r>
    </w:p>
    <w:p w14:paraId="3C45E85B">
      <w:pPr>
        <w:numPr>
          <w:ilvl w:val="0"/>
          <w:numId w:val="3"/>
        </w:numPr>
        <w:spacing w:before="156" w:beforeLines="50" w:after="156" w:afterLines="50" w:line="360" w:lineRule="auto"/>
        <w:jc w:val="center"/>
        <w:outlineLvl w:val="1"/>
        <w:rPr>
          <w:rFonts w:ascii="仿宋" w:hAnsi="仿宋" w:eastAsia="仿宋" w:cs="仿宋"/>
          <w:b/>
          <w:sz w:val="24"/>
          <w:szCs w:val="22"/>
        </w:rPr>
      </w:pPr>
      <w:bookmarkStart w:id="61" w:name="_Toc9164"/>
      <w:bookmarkStart w:id="62" w:name="_Toc12502"/>
      <w:bookmarkStart w:id="63" w:name="_Toc36024235"/>
      <w:bookmarkStart w:id="64" w:name="_Toc36820654"/>
      <w:bookmarkStart w:id="65" w:name="_Toc35969599"/>
      <w:bookmarkStart w:id="66" w:name="_Toc35969565"/>
      <w:bookmarkStart w:id="67" w:name="_Toc36743226"/>
      <w:bookmarkStart w:id="68" w:name="_Toc19033"/>
      <w:r>
        <w:rPr>
          <w:rFonts w:hint="eastAsia" w:ascii="仿宋" w:hAnsi="仿宋" w:eastAsia="仿宋" w:cs="仿宋"/>
          <w:b/>
          <w:sz w:val="24"/>
          <w:szCs w:val="22"/>
        </w:rPr>
        <w:t>采购内容</w:t>
      </w:r>
      <w:bookmarkEnd w:id="58"/>
      <w:bookmarkEnd w:id="59"/>
      <w:bookmarkEnd w:id="60"/>
      <w:bookmarkEnd w:id="61"/>
      <w:bookmarkEnd w:id="62"/>
      <w:bookmarkEnd w:id="63"/>
      <w:bookmarkEnd w:id="64"/>
      <w:bookmarkEnd w:id="65"/>
      <w:bookmarkEnd w:id="66"/>
      <w:bookmarkEnd w:id="67"/>
      <w:bookmarkEnd w:id="68"/>
    </w:p>
    <w:p w14:paraId="12E3925F">
      <w:pPr>
        <w:numPr>
          <w:ilvl w:val="1"/>
          <w:numId w:val="5"/>
        </w:numPr>
        <w:snapToGrid w:val="0"/>
        <w:spacing w:line="400" w:lineRule="atLeast"/>
        <w:rPr>
          <w:rFonts w:ascii="仿宋" w:hAnsi="仿宋" w:eastAsia="仿宋" w:cs="仿宋"/>
          <w:szCs w:val="21"/>
        </w:rPr>
      </w:pPr>
      <w:bookmarkStart w:id="69" w:name="_Toc36743229"/>
      <w:bookmarkStart w:id="70" w:name="_Toc36820657"/>
      <w:bookmarkStart w:id="71" w:name="_Toc35969602"/>
      <w:bookmarkStart w:id="72" w:name="_Toc36024238"/>
      <w:bookmarkStart w:id="73" w:name="_Toc35969568"/>
      <w:bookmarkStart w:id="74" w:name="_Toc535327923"/>
      <w:bookmarkStart w:id="75" w:name="_Toc499214949"/>
      <w:bookmarkStart w:id="76" w:name="_Toc536621207"/>
      <w:r>
        <w:rPr>
          <w:rFonts w:hint="eastAsia" w:ascii="仿宋" w:hAnsi="仿宋" w:eastAsia="仿宋" w:cs="仿宋"/>
        </w:rPr>
        <w:t>项目概况：</w:t>
      </w:r>
    </w:p>
    <w:p w14:paraId="60EFCF16">
      <w:pPr>
        <w:numPr>
          <w:ilvl w:val="1"/>
          <w:numId w:val="5"/>
        </w:numPr>
        <w:snapToGrid w:val="0"/>
        <w:spacing w:line="400" w:lineRule="atLeast"/>
        <w:ind w:right="-512"/>
        <w:rPr>
          <w:rFonts w:ascii="仿宋" w:hAnsi="仿宋" w:eastAsia="仿宋" w:cs="仿宋"/>
          <w:szCs w:val="21"/>
        </w:rPr>
      </w:pPr>
      <w:r>
        <w:rPr>
          <w:rFonts w:hint="eastAsia" w:ascii="仿宋" w:hAnsi="仿宋" w:eastAsia="仿宋" w:cs="仿宋"/>
        </w:rPr>
        <w:t>本项目概算总投资</w:t>
      </w:r>
      <w:r>
        <w:rPr>
          <w:rFonts w:ascii="仿宋" w:hAnsi="仿宋" w:eastAsia="仿宋" w:cs="仿宋"/>
        </w:rPr>
        <w:t>7149.40</w:t>
      </w:r>
      <w:r>
        <w:rPr>
          <w:rFonts w:hint="eastAsia" w:ascii="仿宋" w:hAnsi="仿宋" w:eastAsia="仿宋" w:cs="仿宋"/>
        </w:rPr>
        <w:t xml:space="preserve">万元，其中工程费用 </w:t>
      </w:r>
      <w:r>
        <w:rPr>
          <w:rFonts w:ascii="仿宋" w:hAnsi="仿宋" w:eastAsia="仿宋" w:cs="仿宋"/>
        </w:rPr>
        <w:t>6261.87</w:t>
      </w:r>
      <w:r>
        <w:rPr>
          <w:rFonts w:hint="eastAsia" w:ascii="仿宋" w:hAnsi="仿宋" w:eastAsia="仿宋" w:cs="仿宋"/>
        </w:rPr>
        <w:t>万元。项目新建地上建筑面积8689.86平方米（教学用房4669.29平方米、教师办公用房309.84平方米，教职工及学生厕所256.85平方米、配电房120.57平方米、楼梯及公共空间3333.31平方米）；新建地下建筑面积4215.20平方米（不含消防水池179.02平方米）。建设地点：本项目位于温州市龙湾中学校园内（原校园二期预留发展用地），施工区域总建设用地面积7964.92平方米。</w:t>
      </w:r>
      <w:r>
        <w:rPr>
          <w:rFonts w:hint="eastAsia" w:ascii="仿宋" w:hAnsi="仿宋" w:eastAsia="仿宋" w:cs="仿宋"/>
          <w:szCs w:val="21"/>
        </w:rPr>
        <w:t>本项目采用施工总承包模式建设，须确保瓯江杯。</w:t>
      </w:r>
    </w:p>
    <w:p w14:paraId="6AE86BA3">
      <w:pPr>
        <w:numPr>
          <w:ilvl w:val="1"/>
          <w:numId w:val="5"/>
        </w:numPr>
        <w:snapToGrid w:val="0"/>
        <w:spacing w:line="400" w:lineRule="atLeast"/>
        <w:rPr>
          <w:rFonts w:ascii="仿宋" w:hAnsi="仿宋" w:eastAsia="仿宋" w:cs="仿宋"/>
        </w:rPr>
      </w:pPr>
      <w:r>
        <w:rPr>
          <w:rFonts w:hint="eastAsia" w:ascii="仿宋" w:hAnsi="仿宋" w:eastAsia="仿宋" w:cs="仿宋"/>
        </w:rPr>
        <w:t>总说明：以下第三方检测内容罗列不足的，应由成交供应商自行考虑今后增加的检测内容；如今后因政策文件或法律法规变更或招标人提出必须检测以及检测不合格需重新检测的内容，成交供应商不得拒绝；由上述原因产生的风险及相关费用计入本次投标报价，今后不作调整。</w:t>
      </w:r>
    </w:p>
    <w:p w14:paraId="71763496">
      <w:pPr>
        <w:numPr>
          <w:ilvl w:val="2"/>
          <w:numId w:val="5"/>
        </w:numPr>
        <w:tabs>
          <w:tab w:val="left" w:pos="927"/>
        </w:tabs>
        <w:snapToGrid w:val="0"/>
        <w:spacing w:line="400" w:lineRule="atLeast"/>
        <w:rPr>
          <w:rFonts w:ascii="仿宋" w:hAnsi="仿宋" w:eastAsia="仿宋" w:cs="仿宋"/>
        </w:rPr>
      </w:pPr>
      <w:r>
        <w:rPr>
          <w:rFonts w:hint="eastAsia" w:ascii="仿宋" w:hAnsi="仿宋" w:eastAsia="仿宋" w:cs="仿宋"/>
        </w:rPr>
        <w:t>包括但不限于本章附件1在内的检测项目（附件1附后）、以及其他满足温州市龙湾中学教学综合楼建设项目竣工验收所必需的所有检测项目。</w:t>
      </w:r>
    </w:p>
    <w:p w14:paraId="5ECC5FBE">
      <w:pPr>
        <w:numPr>
          <w:ilvl w:val="2"/>
          <w:numId w:val="5"/>
        </w:numPr>
        <w:tabs>
          <w:tab w:val="left" w:pos="927"/>
        </w:tabs>
        <w:snapToGrid w:val="0"/>
        <w:spacing w:line="400" w:lineRule="atLeast"/>
        <w:rPr>
          <w:rFonts w:ascii="仿宋" w:hAnsi="仿宋" w:eastAsia="仿宋" w:cs="仿宋"/>
        </w:rPr>
      </w:pPr>
      <w:r>
        <w:rPr>
          <w:rFonts w:hint="eastAsia" w:ascii="仿宋" w:hAnsi="仿宋" w:eastAsia="仿宋" w:cs="仿宋"/>
        </w:rPr>
        <w:t>符合《浙江省建设工程质量检测管理实施细则》（浙建【2023】12号）文件所附的检测专项及检测能力表中的所有项目（如不涉及的可不检测，但竣工验收所必需的项目必须检测）。</w:t>
      </w:r>
    </w:p>
    <w:p w14:paraId="6181E299">
      <w:pPr>
        <w:numPr>
          <w:ilvl w:val="2"/>
          <w:numId w:val="5"/>
        </w:numPr>
        <w:tabs>
          <w:tab w:val="left" w:pos="927"/>
        </w:tabs>
        <w:snapToGrid w:val="0"/>
        <w:spacing w:line="400" w:lineRule="atLeast"/>
        <w:rPr>
          <w:rFonts w:ascii="仿宋" w:hAnsi="仿宋" w:eastAsia="仿宋" w:cs="仿宋"/>
        </w:rPr>
      </w:pPr>
      <w:r>
        <w:rPr>
          <w:rFonts w:hint="eastAsia" w:ascii="仿宋" w:hAnsi="仿宋" w:eastAsia="仿宋" w:cs="仿宋"/>
        </w:rPr>
        <w:t>符合为满足竣工验收所必须的所有检测项目所涉及的相关文件所规定的检测内容。</w:t>
      </w:r>
    </w:p>
    <w:p w14:paraId="4EDEFAF9">
      <w:pPr>
        <w:snapToGrid w:val="0"/>
        <w:spacing w:line="400" w:lineRule="atLeast"/>
        <w:ind w:firstLine="840" w:firstLineChars="400"/>
        <w:jc w:val="left"/>
        <w:rPr>
          <w:rFonts w:ascii="仿宋" w:hAnsi="仿宋" w:eastAsia="仿宋" w:cs="仿宋"/>
        </w:rPr>
      </w:pPr>
      <w:r>
        <w:rPr>
          <w:rFonts w:hint="eastAsia" w:ascii="仿宋" w:hAnsi="仿宋" w:eastAsia="仿宋" w:cs="仿宋"/>
        </w:rPr>
        <w:t>2.3检测机构承接项目检测业务应满足国家准以及《关于加强房屋建筑和市政基础设施工程质量检测管理工作的通知》（温住建发〔2020〕224号）文件要求（如有最新规定则适用最新规定）。</w:t>
      </w:r>
    </w:p>
    <w:p w14:paraId="5B4EF1CE">
      <w:pPr>
        <w:numPr>
          <w:ilvl w:val="0"/>
          <w:numId w:val="3"/>
        </w:numPr>
        <w:spacing w:before="156" w:beforeLines="50" w:after="156" w:afterLines="50" w:line="360" w:lineRule="auto"/>
        <w:jc w:val="center"/>
        <w:outlineLvl w:val="1"/>
        <w:rPr>
          <w:rFonts w:ascii="仿宋" w:hAnsi="仿宋" w:eastAsia="仿宋" w:cs="仿宋"/>
          <w:b/>
          <w:sz w:val="24"/>
          <w:szCs w:val="22"/>
        </w:rPr>
      </w:pPr>
      <w:bookmarkStart w:id="77" w:name="_Toc19143"/>
      <w:bookmarkStart w:id="78" w:name="_Toc5271"/>
      <w:bookmarkStart w:id="79" w:name="_Toc17424"/>
      <w:r>
        <w:rPr>
          <w:rFonts w:hint="eastAsia" w:ascii="仿宋" w:hAnsi="仿宋" w:eastAsia="仿宋" w:cs="仿宋"/>
          <w:b/>
          <w:sz w:val="24"/>
          <w:szCs w:val="22"/>
        </w:rPr>
        <w:t>技术要求</w:t>
      </w:r>
      <w:bookmarkEnd w:id="77"/>
      <w:bookmarkEnd w:id="78"/>
      <w:bookmarkEnd w:id="79"/>
    </w:p>
    <w:p w14:paraId="7E9F5362">
      <w:pPr>
        <w:snapToGrid w:val="0"/>
        <w:spacing w:line="400" w:lineRule="atLeast"/>
        <w:ind w:left="360" w:firstLine="478" w:firstLineChars="228"/>
        <w:rPr>
          <w:rFonts w:ascii="仿宋" w:hAnsi="仿宋" w:eastAsia="仿宋" w:cs="仿宋"/>
        </w:rPr>
      </w:pPr>
      <w:r>
        <w:rPr>
          <w:rFonts w:hint="eastAsia" w:ascii="仿宋" w:hAnsi="仿宋" w:eastAsia="仿宋" w:cs="仿宋"/>
        </w:rPr>
        <w:t>1、参考下列规范（包括但不仅限于）：</w:t>
      </w:r>
    </w:p>
    <w:p w14:paraId="414ED7DA">
      <w:pPr>
        <w:snapToGrid w:val="0"/>
        <w:spacing w:line="400" w:lineRule="atLeast"/>
        <w:ind w:left="360" w:firstLine="478" w:firstLineChars="228"/>
        <w:rPr>
          <w:rFonts w:ascii="仿宋" w:hAnsi="仿宋" w:eastAsia="仿宋" w:cs="仿宋"/>
        </w:rPr>
      </w:pPr>
      <w:r>
        <w:rPr>
          <w:rFonts w:hint="eastAsia" w:ascii="仿宋" w:hAnsi="仿宋" w:eastAsia="仿宋" w:cs="仿宋"/>
        </w:rPr>
        <w:t>（1）《建设工程质量管理条例》</w:t>
      </w:r>
    </w:p>
    <w:p w14:paraId="08BBACC7">
      <w:pPr>
        <w:snapToGrid w:val="0"/>
        <w:spacing w:line="400" w:lineRule="atLeast"/>
        <w:ind w:left="360" w:firstLine="478" w:firstLineChars="228"/>
        <w:rPr>
          <w:rFonts w:ascii="仿宋" w:hAnsi="仿宋" w:eastAsia="仿宋" w:cs="仿宋"/>
        </w:rPr>
      </w:pPr>
      <w:r>
        <w:rPr>
          <w:rFonts w:hint="eastAsia" w:ascii="仿宋" w:hAnsi="仿宋" w:eastAsia="仿宋" w:cs="仿宋"/>
        </w:rPr>
        <w:t>（2）《建设工程质量检测管理办法》（住房和城乡建设部令第57号）</w:t>
      </w:r>
    </w:p>
    <w:p w14:paraId="22DFF4F5">
      <w:pPr>
        <w:snapToGrid w:val="0"/>
        <w:spacing w:line="400" w:lineRule="atLeast"/>
        <w:ind w:left="360" w:firstLine="478" w:firstLineChars="228"/>
        <w:rPr>
          <w:rFonts w:ascii="仿宋" w:hAnsi="仿宋" w:eastAsia="仿宋" w:cs="仿宋"/>
        </w:rPr>
      </w:pPr>
      <w:r>
        <w:rPr>
          <w:rFonts w:hint="eastAsia" w:ascii="仿宋" w:hAnsi="仿宋" w:eastAsia="仿宋" w:cs="仿宋"/>
        </w:rPr>
        <w:t>（3）《浙江省建设工程质量检测管理实施细则》（浙建【2023】12号）</w:t>
      </w:r>
    </w:p>
    <w:p w14:paraId="04C52A5B">
      <w:pPr>
        <w:snapToGrid w:val="0"/>
        <w:spacing w:line="400" w:lineRule="atLeast"/>
        <w:ind w:left="360" w:firstLine="478" w:firstLineChars="228"/>
        <w:rPr>
          <w:rFonts w:ascii="仿宋" w:hAnsi="仿宋" w:eastAsia="仿宋" w:cs="仿宋"/>
        </w:rPr>
      </w:pPr>
      <w:r>
        <w:rPr>
          <w:rFonts w:hint="eastAsia" w:ascii="仿宋" w:hAnsi="仿宋" w:eastAsia="仿宋" w:cs="仿宋"/>
        </w:rPr>
        <w:t>（4）《民用建筑工程室内环境污染控制标准》GB 50325-2020</w:t>
      </w:r>
    </w:p>
    <w:p w14:paraId="1AF6A640">
      <w:pPr>
        <w:snapToGrid w:val="0"/>
        <w:spacing w:line="400" w:lineRule="atLeast"/>
        <w:ind w:left="360" w:firstLine="478" w:firstLineChars="228"/>
        <w:rPr>
          <w:rFonts w:ascii="仿宋" w:hAnsi="仿宋" w:eastAsia="仿宋" w:cs="仿宋"/>
        </w:rPr>
      </w:pPr>
      <w:r>
        <w:rPr>
          <w:rFonts w:hint="eastAsia" w:ascii="仿宋" w:hAnsi="仿宋" w:eastAsia="仿宋" w:cs="仿宋"/>
        </w:rPr>
        <w:t>（5）《城市道路照明涉及标准》CJJ 45-2015</w:t>
      </w:r>
    </w:p>
    <w:p w14:paraId="035499C7">
      <w:pPr>
        <w:snapToGrid w:val="0"/>
        <w:spacing w:line="400" w:lineRule="atLeast"/>
        <w:ind w:left="360" w:firstLine="478" w:firstLineChars="228"/>
        <w:rPr>
          <w:rFonts w:ascii="仿宋" w:hAnsi="仿宋" w:eastAsia="仿宋" w:cs="仿宋"/>
        </w:rPr>
      </w:pPr>
      <w:r>
        <w:rPr>
          <w:rFonts w:hint="eastAsia" w:ascii="仿宋" w:hAnsi="仿宋" w:eastAsia="仿宋" w:cs="仿宋"/>
        </w:rPr>
        <w:t>（6）《建筑采光设计标准》GB 50033</w:t>
      </w:r>
    </w:p>
    <w:p w14:paraId="5F9C276E">
      <w:pPr>
        <w:snapToGrid w:val="0"/>
        <w:spacing w:line="400" w:lineRule="atLeast"/>
        <w:ind w:left="360" w:firstLine="478" w:firstLineChars="228"/>
        <w:rPr>
          <w:rFonts w:ascii="仿宋" w:hAnsi="仿宋" w:eastAsia="仿宋" w:cs="仿宋"/>
        </w:rPr>
      </w:pPr>
      <w:r>
        <w:rPr>
          <w:rFonts w:hint="eastAsia" w:ascii="仿宋" w:hAnsi="仿宋" w:eastAsia="仿宋" w:cs="仿宋"/>
        </w:rPr>
        <w:t>（7）《建筑幕墙、门窗通用技术条件》GB/T 31433</w:t>
      </w:r>
    </w:p>
    <w:p w14:paraId="04A19363">
      <w:pPr>
        <w:snapToGrid w:val="0"/>
        <w:spacing w:line="400" w:lineRule="atLeast"/>
        <w:ind w:left="360" w:firstLine="478" w:firstLineChars="228"/>
        <w:rPr>
          <w:rFonts w:ascii="仿宋" w:hAnsi="仿宋" w:eastAsia="仿宋" w:cs="仿宋"/>
        </w:rPr>
      </w:pPr>
      <w:r>
        <w:rPr>
          <w:rFonts w:hint="eastAsia" w:ascii="仿宋" w:hAnsi="仿宋" w:eastAsia="仿宋" w:cs="仿宋"/>
        </w:rPr>
        <w:t>（8）《室内空气质量标准》GB/T 18883</w:t>
      </w:r>
    </w:p>
    <w:p w14:paraId="45A00113">
      <w:pPr>
        <w:snapToGrid w:val="0"/>
        <w:spacing w:line="400" w:lineRule="atLeast"/>
        <w:ind w:left="360" w:firstLine="478" w:firstLineChars="228"/>
        <w:rPr>
          <w:rFonts w:ascii="仿宋" w:hAnsi="仿宋" w:eastAsia="仿宋" w:cs="仿宋"/>
        </w:rPr>
      </w:pPr>
      <w:r>
        <w:rPr>
          <w:rFonts w:hint="eastAsia" w:ascii="仿宋" w:hAnsi="仿宋" w:eastAsia="仿宋" w:cs="仿宋"/>
        </w:rPr>
        <w:t>（9）《建筑地面工程防滑技术规程》JGJ/T 331</w:t>
      </w:r>
    </w:p>
    <w:p w14:paraId="26561404">
      <w:pPr>
        <w:snapToGrid w:val="0"/>
        <w:spacing w:line="400" w:lineRule="atLeast"/>
        <w:ind w:left="360" w:firstLine="478" w:firstLineChars="228"/>
        <w:rPr>
          <w:rFonts w:ascii="仿宋" w:hAnsi="仿宋" w:eastAsia="仿宋" w:cs="仿宋"/>
        </w:rPr>
      </w:pPr>
      <w:r>
        <w:rPr>
          <w:rFonts w:hint="eastAsia" w:ascii="仿宋" w:hAnsi="仿宋" w:eastAsia="仿宋" w:cs="仿宋"/>
        </w:rPr>
        <w:t>（10）《声环境质量标准》GB 3096</w:t>
      </w:r>
    </w:p>
    <w:p w14:paraId="4F4A9653">
      <w:pPr>
        <w:snapToGrid w:val="0"/>
        <w:spacing w:line="400" w:lineRule="atLeast"/>
        <w:ind w:left="360" w:firstLine="478" w:firstLineChars="228"/>
        <w:rPr>
          <w:rFonts w:ascii="仿宋" w:hAnsi="仿宋" w:eastAsia="仿宋" w:cs="仿宋"/>
        </w:rPr>
      </w:pPr>
      <w:r>
        <w:rPr>
          <w:rFonts w:hint="eastAsia" w:ascii="仿宋" w:hAnsi="仿宋" w:eastAsia="仿宋" w:cs="仿宋"/>
        </w:rPr>
        <w:t>（11）《民用建筑隔声设计规范》GB 50118</w:t>
      </w:r>
    </w:p>
    <w:p w14:paraId="7B75C2D1">
      <w:pPr>
        <w:snapToGrid w:val="0"/>
        <w:spacing w:line="400" w:lineRule="atLeast"/>
        <w:ind w:left="360" w:firstLine="478" w:firstLineChars="228"/>
        <w:rPr>
          <w:rFonts w:ascii="仿宋" w:hAnsi="仿宋" w:eastAsia="仿宋" w:cs="仿宋"/>
        </w:rPr>
      </w:pPr>
      <w:r>
        <w:rPr>
          <w:rFonts w:hint="eastAsia" w:ascii="仿宋" w:hAnsi="仿宋" w:eastAsia="仿宋" w:cs="仿宋"/>
        </w:rPr>
        <w:t>（12）《剧场、电影院和多用途厅堂建筑声学设计规范》GB/T 50356</w:t>
      </w:r>
    </w:p>
    <w:p w14:paraId="6FBFD5DE">
      <w:pPr>
        <w:snapToGrid w:val="0"/>
        <w:spacing w:line="400" w:lineRule="atLeast"/>
        <w:ind w:left="360" w:firstLine="478" w:firstLineChars="228"/>
        <w:rPr>
          <w:rFonts w:ascii="仿宋" w:hAnsi="仿宋" w:eastAsia="仿宋" w:cs="仿宋"/>
        </w:rPr>
      </w:pPr>
      <w:r>
        <w:rPr>
          <w:rFonts w:hint="eastAsia" w:ascii="仿宋" w:hAnsi="仿宋" w:eastAsia="仿宋" w:cs="仿宋"/>
        </w:rPr>
        <w:t>（13）《生活饮用水卫生标准》GB 5749</w:t>
      </w:r>
    </w:p>
    <w:p w14:paraId="2D7C8EED">
      <w:pPr>
        <w:snapToGrid w:val="0"/>
        <w:spacing w:line="400" w:lineRule="atLeast"/>
        <w:ind w:left="360" w:firstLine="478" w:firstLineChars="228"/>
        <w:rPr>
          <w:rFonts w:ascii="仿宋" w:hAnsi="仿宋" w:eastAsia="仿宋" w:cs="仿宋"/>
        </w:rPr>
      </w:pPr>
      <w:r>
        <w:rPr>
          <w:rFonts w:hint="eastAsia" w:ascii="仿宋" w:hAnsi="仿宋" w:eastAsia="仿宋" w:cs="仿宋"/>
        </w:rPr>
        <w:t>（14）《二次供水设施卫生规范》GB 17051；</w:t>
      </w:r>
    </w:p>
    <w:p w14:paraId="1E83D585">
      <w:pPr>
        <w:snapToGrid w:val="0"/>
        <w:spacing w:line="400" w:lineRule="atLeast"/>
        <w:ind w:left="360" w:firstLine="478" w:firstLineChars="228"/>
        <w:rPr>
          <w:rFonts w:ascii="仿宋" w:hAnsi="仿宋" w:eastAsia="仿宋" w:cs="仿宋"/>
        </w:rPr>
      </w:pPr>
      <w:r>
        <w:rPr>
          <w:rFonts w:hint="eastAsia" w:ascii="仿宋" w:hAnsi="仿宋" w:eastAsia="仿宋" w:cs="仿宋"/>
        </w:rPr>
        <w:t>（15）《饮用净水水质标准》CJ 94等现行饮用净水相关水质标准和设备标准</w:t>
      </w:r>
    </w:p>
    <w:p w14:paraId="42A3045E">
      <w:pPr>
        <w:snapToGrid w:val="0"/>
        <w:spacing w:line="400" w:lineRule="atLeast"/>
        <w:ind w:left="360" w:firstLine="478" w:firstLineChars="228"/>
        <w:rPr>
          <w:rFonts w:ascii="仿宋" w:hAnsi="仿宋" w:eastAsia="仿宋" w:cs="仿宋"/>
        </w:rPr>
      </w:pPr>
      <w:r>
        <w:rPr>
          <w:rFonts w:hint="eastAsia" w:ascii="仿宋" w:hAnsi="仿宋" w:eastAsia="仿宋" w:cs="仿宋"/>
        </w:rPr>
        <w:t>（16）《城市污水再生利用 城市杂用水水质》GB/T 18920</w:t>
      </w:r>
    </w:p>
    <w:p w14:paraId="02EB54B5">
      <w:pPr>
        <w:snapToGrid w:val="0"/>
        <w:spacing w:line="400" w:lineRule="atLeast"/>
        <w:ind w:left="360" w:firstLine="478" w:firstLineChars="228"/>
        <w:rPr>
          <w:rFonts w:ascii="仿宋" w:hAnsi="仿宋" w:eastAsia="仿宋" w:cs="仿宋"/>
        </w:rPr>
      </w:pPr>
      <w:r>
        <w:rPr>
          <w:rFonts w:hint="eastAsia" w:ascii="仿宋" w:hAnsi="仿宋" w:eastAsia="仿宋" w:cs="仿宋"/>
        </w:rPr>
        <w:t>（17）《城市污水再生利用 绿地灌溉水质》GB/T 25499</w:t>
      </w:r>
    </w:p>
    <w:p w14:paraId="191D4CF8">
      <w:pPr>
        <w:snapToGrid w:val="0"/>
        <w:spacing w:line="400" w:lineRule="atLeast"/>
        <w:ind w:left="360" w:firstLine="478" w:firstLineChars="228"/>
        <w:rPr>
          <w:rFonts w:ascii="仿宋" w:hAnsi="仿宋" w:eastAsia="仿宋" w:cs="仿宋"/>
        </w:rPr>
      </w:pPr>
      <w:r>
        <w:rPr>
          <w:rFonts w:hint="eastAsia" w:ascii="仿宋" w:hAnsi="仿宋" w:eastAsia="仿宋" w:cs="仿宋"/>
        </w:rPr>
        <w:t>（18）《城市污水再生利用 景观环境用水水质》GB/T 18921等城市污水再生利用系列标准；</w:t>
      </w:r>
    </w:p>
    <w:p w14:paraId="141E75D4">
      <w:pPr>
        <w:snapToGrid w:val="0"/>
        <w:spacing w:line="400" w:lineRule="atLeast"/>
        <w:ind w:left="360" w:firstLine="478" w:firstLineChars="228"/>
        <w:rPr>
          <w:rFonts w:ascii="仿宋" w:hAnsi="仿宋" w:eastAsia="仿宋" w:cs="仿宋"/>
        </w:rPr>
      </w:pPr>
      <w:r>
        <w:rPr>
          <w:rFonts w:hint="eastAsia" w:ascii="仿宋" w:hAnsi="仿宋" w:eastAsia="仿宋" w:cs="仿宋"/>
        </w:rPr>
        <w:t>（19）《生活饮用水卫生标准》GB 5749</w:t>
      </w:r>
    </w:p>
    <w:p w14:paraId="6F9B052D">
      <w:pPr>
        <w:snapToGrid w:val="0"/>
        <w:spacing w:line="400" w:lineRule="atLeast"/>
        <w:ind w:left="360" w:firstLine="478" w:firstLineChars="228"/>
        <w:rPr>
          <w:rFonts w:ascii="仿宋" w:hAnsi="仿宋" w:eastAsia="仿宋" w:cs="仿宋"/>
        </w:rPr>
      </w:pPr>
      <w:r>
        <w:rPr>
          <w:rFonts w:hint="eastAsia" w:ascii="仿宋" w:hAnsi="仿宋" w:eastAsia="仿宋" w:cs="仿宋"/>
        </w:rPr>
        <w:t>（20）《生活热水水质标准》CJ/T 521；</w:t>
      </w:r>
    </w:p>
    <w:p w14:paraId="29229446">
      <w:pPr>
        <w:snapToGrid w:val="0"/>
        <w:spacing w:line="400" w:lineRule="atLeast"/>
        <w:ind w:left="360" w:firstLine="478" w:firstLineChars="228"/>
        <w:rPr>
          <w:rFonts w:ascii="仿宋" w:hAnsi="仿宋" w:eastAsia="仿宋" w:cs="仿宋"/>
        </w:rPr>
      </w:pPr>
      <w:r>
        <w:rPr>
          <w:rFonts w:hint="eastAsia" w:ascii="仿宋" w:hAnsi="仿宋" w:eastAsia="仿宋" w:cs="仿宋"/>
        </w:rPr>
        <w:t>（21）《近零能耗建筑测评标准》T/CABEE 003</w:t>
      </w:r>
    </w:p>
    <w:p w14:paraId="2E9EFDE6">
      <w:pPr>
        <w:snapToGrid w:val="0"/>
        <w:spacing w:line="400" w:lineRule="atLeast"/>
        <w:ind w:left="360" w:firstLine="478" w:firstLineChars="228"/>
        <w:rPr>
          <w:rFonts w:ascii="仿宋" w:hAnsi="仿宋" w:eastAsia="仿宋" w:cs="仿宋"/>
        </w:rPr>
      </w:pPr>
      <w:r>
        <w:rPr>
          <w:rFonts w:hint="eastAsia" w:ascii="仿宋" w:hAnsi="仿宋" w:eastAsia="仿宋" w:cs="仿宋"/>
        </w:rPr>
        <w:t>（22）《近零能耗建筑检测评价标准》T/CECS 740</w:t>
      </w:r>
    </w:p>
    <w:p w14:paraId="247F2A70">
      <w:pPr>
        <w:snapToGrid w:val="0"/>
        <w:spacing w:line="400" w:lineRule="atLeast"/>
        <w:ind w:left="360" w:firstLine="478" w:firstLineChars="228"/>
        <w:rPr>
          <w:rFonts w:ascii="仿宋" w:hAnsi="仿宋" w:eastAsia="仿宋" w:cs="仿宋"/>
        </w:rPr>
      </w:pPr>
      <w:r>
        <w:rPr>
          <w:rFonts w:hint="eastAsia" w:ascii="仿宋" w:hAnsi="仿宋" w:eastAsia="仿宋" w:cs="仿宋"/>
        </w:rPr>
        <w:t>（23）《近零能耗建筑技术标准》GB/T 51350</w:t>
      </w:r>
    </w:p>
    <w:p w14:paraId="3D8BC1E9">
      <w:pPr>
        <w:snapToGrid w:val="0"/>
        <w:spacing w:line="400" w:lineRule="atLeast"/>
        <w:ind w:left="360" w:firstLine="478" w:firstLineChars="228"/>
        <w:rPr>
          <w:rFonts w:ascii="仿宋" w:hAnsi="仿宋" w:eastAsia="仿宋" w:cs="仿宋"/>
        </w:rPr>
      </w:pPr>
      <w:r>
        <w:rPr>
          <w:rFonts w:hint="eastAsia" w:ascii="仿宋" w:hAnsi="仿宋" w:eastAsia="仿宋" w:cs="仿宋"/>
        </w:rPr>
        <w:t>（24）其他相关国家规范、规程及标准；</w:t>
      </w:r>
    </w:p>
    <w:p w14:paraId="359ADC77">
      <w:pPr>
        <w:snapToGrid w:val="0"/>
        <w:spacing w:line="400" w:lineRule="atLeast"/>
        <w:ind w:left="360" w:firstLine="478" w:firstLineChars="228"/>
        <w:rPr>
          <w:rFonts w:ascii="仿宋" w:hAnsi="仿宋" w:eastAsia="仿宋" w:cs="仿宋"/>
        </w:rPr>
      </w:pPr>
      <w:r>
        <w:rPr>
          <w:rFonts w:hint="eastAsia" w:ascii="仿宋" w:hAnsi="仿宋" w:eastAsia="仿宋" w:cs="仿宋"/>
        </w:rPr>
        <w:t>（25）招标单位提出的招标范围内的标准要求等。</w:t>
      </w:r>
    </w:p>
    <w:p w14:paraId="11088C63">
      <w:pPr>
        <w:snapToGrid w:val="0"/>
        <w:spacing w:line="400" w:lineRule="atLeast"/>
        <w:ind w:left="360" w:firstLine="478" w:firstLineChars="228"/>
        <w:rPr>
          <w:rFonts w:ascii="仿宋" w:hAnsi="仿宋" w:eastAsia="仿宋" w:cs="仿宋"/>
        </w:rPr>
      </w:pPr>
      <w:r>
        <w:rPr>
          <w:rFonts w:hint="eastAsia" w:ascii="仿宋" w:hAnsi="仿宋" w:eastAsia="仿宋" w:cs="仿宋"/>
        </w:rPr>
        <w:t>上述规范有新版本时执行最新版本。</w:t>
      </w:r>
    </w:p>
    <w:p w14:paraId="0FFE6C90">
      <w:pPr>
        <w:numPr>
          <w:ilvl w:val="0"/>
          <w:numId w:val="3"/>
        </w:numPr>
        <w:spacing w:before="156" w:beforeLines="50" w:after="156" w:afterLines="50" w:line="360" w:lineRule="auto"/>
        <w:jc w:val="center"/>
        <w:outlineLvl w:val="1"/>
        <w:rPr>
          <w:rFonts w:ascii="仿宋" w:hAnsi="仿宋" w:eastAsia="仿宋" w:cs="仿宋"/>
          <w:b/>
          <w:sz w:val="24"/>
          <w:szCs w:val="22"/>
        </w:rPr>
      </w:pPr>
      <w:bookmarkStart w:id="80" w:name="_Toc20944"/>
      <w:bookmarkStart w:id="81" w:name="_Toc1323"/>
      <w:bookmarkStart w:id="82" w:name="_Toc11176"/>
      <w:r>
        <w:rPr>
          <w:rFonts w:hint="eastAsia" w:ascii="仿宋" w:hAnsi="仿宋" w:eastAsia="仿宋" w:cs="仿宋"/>
          <w:b/>
          <w:sz w:val="24"/>
          <w:szCs w:val="22"/>
        </w:rPr>
        <w:t>工期要求</w:t>
      </w:r>
      <w:bookmarkEnd w:id="80"/>
      <w:bookmarkEnd w:id="81"/>
      <w:bookmarkEnd w:id="82"/>
    </w:p>
    <w:p w14:paraId="2E978570">
      <w:pPr>
        <w:numPr>
          <w:ilvl w:val="1"/>
          <w:numId w:val="6"/>
        </w:numPr>
        <w:snapToGrid w:val="0"/>
        <w:spacing w:line="400" w:lineRule="exact"/>
        <w:ind w:left="924"/>
        <w:rPr>
          <w:rFonts w:ascii="仿宋" w:hAnsi="仿宋" w:eastAsia="仿宋" w:cs="仿宋"/>
          <w:bCs/>
        </w:rPr>
      </w:pPr>
      <w:r>
        <w:rPr>
          <w:rFonts w:hint="eastAsia" w:ascii="仿宋" w:hAnsi="仿宋" w:eastAsia="仿宋" w:cs="仿宋"/>
        </w:rPr>
        <w:t>根据采购人要求的内容进场检测，实际检测工作完成后</w:t>
      </w:r>
      <w:r>
        <w:rPr>
          <w:rFonts w:ascii="仿宋" w:hAnsi="仿宋" w:eastAsia="仿宋" w:cs="仿宋"/>
        </w:rPr>
        <w:t>3</w:t>
      </w:r>
      <w:r>
        <w:rPr>
          <w:rFonts w:hint="eastAsia" w:ascii="仿宋" w:hAnsi="仿宋" w:eastAsia="仿宋" w:cs="仿宋"/>
        </w:rPr>
        <w:t>日内提交检测成果报告。</w:t>
      </w:r>
    </w:p>
    <w:p w14:paraId="05E6EB37">
      <w:pPr>
        <w:numPr>
          <w:ilvl w:val="0"/>
          <w:numId w:val="3"/>
        </w:numPr>
        <w:spacing w:before="156" w:beforeLines="50" w:after="156" w:afterLines="50" w:line="360" w:lineRule="auto"/>
        <w:jc w:val="center"/>
        <w:outlineLvl w:val="1"/>
        <w:rPr>
          <w:rFonts w:ascii="仿宋" w:hAnsi="仿宋" w:eastAsia="仿宋" w:cs="仿宋"/>
          <w:b/>
          <w:sz w:val="24"/>
          <w:szCs w:val="22"/>
        </w:rPr>
      </w:pPr>
      <w:bookmarkStart w:id="83" w:name="_Toc10531"/>
      <w:bookmarkStart w:id="84" w:name="_Toc17079"/>
      <w:bookmarkStart w:id="85" w:name="_Toc28233"/>
      <w:r>
        <w:rPr>
          <w:rFonts w:hint="eastAsia" w:ascii="仿宋" w:hAnsi="仿宋" w:eastAsia="仿宋" w:cs="仿宋"/>
          <w:b/>
          <w:sz w:val="24"/>
          <w:szCs w:val="22"/>
        </w:rPr>
        <w:t>现场勘察</w:t>
      </w:r>
      <w:bookmarkEnd w:id="83"/>
    </w:p>
    <w:p w14:paraId="06DA4213">
      <w:pPr>
        <w:snapToGrid w:val="0"/>
        <w:spacing w:line="400" w:lineRule="exact"/>
        <w:ind w:left="989" w:leftChars="171" w:hanging="630" w:hangingChars="300"/>
        <w:rPr>
          <w:rFonts w:ascii="仿宋" w:hAnsi="仿宋" w:eastAsia="仿宋" w:cs="仿宋"/>
        </w:rPr>
      </w:pPr>
      <w:r>
        <w:rPr>
          <w:rFonts w:hint="eastAsia" w:ascii="仿宋" w:hAnsi="仿宋" w:eastAsia="仿宋" w:cs="仿宋"/>
        </w:rPr>
        <w:t>5.1   为保障项目顺利实施，供应商可自行至项目现场勘察，现场勘察所产生的费用及风险由供应商自行承担。如供应商未勘察现场造成投标响应偏离，供应商自行承担后果。</w:t>
      </w:r>
    </w:p>
    <w:p w14:paraId="7E258301">
      <w:pPr>
        <w:numPr>
          <w:ilvl w:val="0"/>
          <w:numId w:val="3"/>
        </w:numPr>
        <w:spacing w:before="156" w:beforeLines="50" w:after="156" w:afterLines="50" w:line="360" w:lineRule="auto"/>
        <w:jc w:val="center"/>
        <w:outlineLvl w:val="1"/>
        <w:rPr>
          <w:rFonts w:ascii="仿宋" w:hAnsi="仿宋" w:eastAsia="仿宋" w:cs="仿宋"/>
          <w:b/>
          <w:sz w:val="24"/>
          <w:szCs w:val="22"/>
        </w:rPr>
      </w:pPr>
      <w:bookmarkStart w:id="86" w:name="_Toc11165"/>
      <w:r>
        <w:rPr>
          <w:rFonts w:hint="eastAsia" w:ascii="仿宋" w:hAnsi="仿宋" w:eastAsia="仿宋" w:cs="仿宋"/>
          <w:b/>
          <w:sz w:val="24"/>
          <w:szCs w:val="22"/>
        </w:rPr>
        <w:t>特别说明</w:t>
      </w:r>
      <w:bookmarkEnd w:id="86"/>
    </w:p>
    <w:p w14:paraId="001FAEBC">
      <w:pPr>
        <w:numPr>
          <w:ilvl w:val="1"/>
          <w:numId w:val="7"/>
        </w:numPr>
        <w:snapToGrid w:val="0"/>
        <w:spacing w:line="400" w:lineRule="exact"/>
        <w:rPr>
          <w:rFonts w:ascii="仿宋" w:hAnsi="仿宋" w:eastAsia="仿宋" w:cs="仿宋"/>
        </w:rPr>
      </w:pPr>
      <w:r>
        <w:rPr>
          <w:rFonts w:hint="eastAsia" w:ascii="仿宋" w:hAnsi="仿宋" w:eastAsia="仿宋" w:cs="仿宋"/>
        </w:rPr>
        <w:t>本项目单独一个标项，标项是最小响应单位，供应商必须对标项内的所有内容发起响应。供应商在响应时出现遗漏的内容视为“已包含在报价内”，供应商如不接受将作无效响应处理。采购人不接受供应商给予的与招标无关的其他商品、服务。</w:t>
      </w:r>
    </w:p>
    <w:p w14:paraId="5A7F0F07">
      <w:pPr>
        <w:numPr>
          <w:ilvl w:val="1"/>
          <w:numId w:val="7"/>
        </w:numPr>
        <w:snapToGrid w:val="0"/>
        <w:spacing w:line="400" w:lineRule="exact"/>
        <w:rPr>
          <w:rFonts w:ascii="仿宋" w:hAnsi="仿宋" w:eastAsia="仿宋" w:cs="仿宋"/>
        </w:rPr>
      </w:pPr>
      <w:r>
        <w:rPr>
          <w:rFonts w:hint="eastAsia" w:ascii="仿宋" w:hAnsi="仿宋" w:eastAsia="仿宋" w:cs="仿宋"/>
        </w:rPr>
        <w:t>磋商文件要求仅为基本要求，磋商文件未涉及到但对项目起重要影响的内容，供应商应根据本项目的特性在投标响应文件中补充承诺，未补充所造成的风险由供应商自行承担，采购人不另行支付该些因素产生的费用。若成交，因项目实际需要，采购需求可稍作调整，成交供应商必须根据采购人提出的需求进行调整，供应商要充分考虑由此产生的风险。</w:t>
      </w:r>
    </w:p>
    <w:p w14:paraId="57706A3E">
      <w:pPr>
        <w:numPr>
          <w:ilvl w:val="1"/>
          <w:numId w:val="7"/>
        </w:numPr>
        <w:snapToGrid w:val="0"/>
        <w:spacing w:line="400" w:lineRule="exact"/>
        <w:rPr>
          <w:rFonts w:ascii="仿宋" w:hAnsi="仿宋" w:eastAsia="仿宋" w:cs="仿宋"/>
        </w:rPr>
      </w:pPr>
      <w:r>
        <w:rPr>
          <w:rFonts w:hint="eastAsia" w:ascii="仿宋" w:hAnsi="仿宋" w:eastAsia="仿宋" w:cs="仿宋"/>
        </w:rPr>
        <w:t>本合同范围内的检测项目成交供应商不能超资质范围检测，本工程检测项目超成交供应商资质范围外的，需上报采购人，经采购人确认后另行委托，费用由成交供应商承担。</w:t>
      </w:r>
    </w:p>
    <w:p w14:paraId="0EA8A791">
      <w:pPr>
        <w:pStyle w:val="6"/>
        <w:ind w:firstLine="210"/>
        <w:rPr>
          <w:rFonts w:ascii="仿宋" w:hAnsi="仿宋" w:eastAsia="仿宋" w:cs="仿宋"/>
        </w:rPr>
      </w:pPr>
    </w:p>
    <w:p w14:paraId="77310D62">
      <w:pPr>
        <w:numPr>
          <w:ilvl w:val="0"/>
          <w:numId w:val="3"/>
        </w:numPr>
        <w:spacing w:before="156" w:beforeLines="50" w:after="156" w:afterLines="50" w:line="360" w:lineRule="auto"/>
        <w:jc w:val="center"/>
        <w:outlineLvl w:val="1"/>
        <w:rPr>
          <w:rFonts w:ascii="仿宋" w:hAnsi="仿宋" w:eastAsia="仿宋" w:cs="仿宋"/>
          <w:b/>
          <w:sz w:val="24"/>
          <w:szCs w:val="22"/>
        </w:rPr>
      </w:pPr>
      <w:bookmarkStart w:id="87" w:name="_Toc11361"/>
      <w:r>
        <w:rPr>
          <w:rFonts w:hint="eastAsia" w:ascii="仿宋" w:hAnsi="仿宋" w:eastAsia="仿宋" w:cs="仿宋"/>
          <w:b/>
          <w:sz w:val="24"/>
          <w:szCs w:val="22"/>
        </w:rPr>
        <w:t>报价要求</w:t>
      </w:r>
      <w:bookmarkEnd w:id="87"/>
    </w:p>
    <w:p w14:paraId="2FDB7325">
      <w:pPr>
        <w:numPr>
          <w:ilvl w:val="1"/>
          <w:numId w:val="8"/>
        </w:numPr>
        <w:snapToGrid w:val="0"/>
        <w:spacing w:line="400" w:lineRule="exact"/>
        <w:rPr>
          <w:rFonts w:ascii="仿宋" w:hAnsi="仿宋" w:eastAsia="仿宋" w:cs="仿宋"/>
        </w:rPr>
      </w:pPr>
      <w:r>
        <w:rPr>
          <w:rFonts w:hint="eastAsia" w:ascii="仿宋" w:hAnsi="仿宋" w:eastAsia="仿宋" w:cs="仿宋"/>
        </w:rPr>
        <w:t>本项目概算总投资</w:t>
      </w:r>
      <w:r>
        <w:rPr>
          <w:rFonts w:ascii="仿宋" w:hAnsi="仿宋" w:eastAsia="仿宋" w:cs="仿宋"/>
        </w:rPr>
        <w:t>7149.40</w:t>
      </w:r>
      <w:r>
        <w:rPr>
          <w:rFonts w:hint="eastAsia" w:ascii="仿宋" w:hAnsi="仿宋" w:eastAsia="仿宋" w:cs="仿宋"/>
        </w:rPr>
        <w:t xml:space="preserve">万元，其中工程费用 </w:t>
      </w:r>
      <w:r>
        <w:rPr>
          <w:rFonts w:ascii="仿宋" w:hAnsi="仿宋" w:eastAsia="仿宋" w:cs="仿宋"/>
        </w:rPr>
        <w:t>6261.87</w:t>
      </w:r>
      <w:r>
        <w:rPr>
          <w:rFonts w:hint="eastAsia" w:ascii="仿宋" w:hAnsi="仿宋" w:eastAsia="仿宋" w:cs="仿宋"/>
        </w:rPr>
        <w:t>万元。项目新建地上建筑面积8689.86平方米（教学用房4669.29平方米、教师办公用房309.84平方米，教职工及学生厕所256.85平方米、配电房120.57平方米、楼梯及公共空间3333.31平方米）；新建地下建筑面积4215.20平方米（不含消防水池179.02平方米）。建设地点：本项目位于温州市龙湾中学校园内（原校园二期预留发展用地），施工区域总建设用地面积7964.92平方米。检测范围为包括但不限于本章附件1在内的检测项目（附件1附后）、以及其他满足温州市龙湾中学教学综合楼建设项目竣工验收所必需的所有检测项目。本项目以总价包干形式完成所有的服务内容，结算时不做调整，合同总价中均包括完成该项工程项目的人工费、材料费、施工机械使用费、设备进出场费（包含多次进场）、施工措施费、检测不合格需重新检测、企业管理费、利润、税金、保险、规费、安全施工费、风险费及检验试验费等政策性文件规定及合同包含的所有风险、责任、安全伤亡事故等一切费。供应商在报价时自行考虑风险，结算时不予调整。供应商应结合项目特点，市场行情及供应商自身的技术，管理水平，竞争能力，进行投标报价。</w:t>
      </w:r>
    </w:p>
    <w:p w14:paraId="10DD26BD">
      <w:pPr>
        <w:numPr>
          <w:ilvl w:val="0"/>
          <w:numId w:val="3"/>
        </w:numPr>
        <w:spacing w:before="156" w:beforeLines="50" w:after="156" w:afterLines="50" w:line="360" w:lineRule="auto"/>
        <w:jc w:val="center"/>
        <w:outlineLvl w:val="1"/>
        <w:rPr>
          <w:rFonts w:ascii="仿宋" w:hAnsi="仿宋" w:eastAsia="仿宋" w:cs="仿宋"/>
          <w:sz w:val="28"/>
          <w:szCs w:val="36"/>
        </w:rPr>
      </w:pPr>
      <w:bookmarkStart w:id="88" w:name="_Toc26282"/>
      <w:r>
        <w:rPr>
          <w:rFonts w:hint="eastAsia" w:ascii="仿宋" w:hAnsi="仿宋" w:eastAsia="仿宋" w:cs="仿宋"/>
          <w:b/>
          <w:sz w:val="24"/>
          <w:szCs w:val="22"/>
        </w:rPr>
        <w:t>付款方式</w:t>
      </w:r>
      <w:bookmarkEnd w:id="84"/>
      <w:bookmarkEnd w:id="85"/>
      <w:bookmarkEnd w:id="88"/>
    </w:p>
    <w:p w14:paraId="0F23E167">
      <w:pPr>
        <w:numPr>
          <w:ilvl w:val="1"/>
          <w:numId w:val="9"/>
        </w:numPr>
        <w:snapToGrid w:val="0"/>
        <w:spacing w:line="400" w:lineRule="exact"/>
        <w:rPr>
          <w:rFonts w:ascii="仿宋" w:hAnsi="仿宋" w:eastAsia="仿宋" w:cs="仿宋"/>
          <w:bCs/>
          <w:szCs w:val="21"/>
        </w:rPr>
      </w:pPr>
      <w:r>
        <w:rPr>
          <w:rFonts w:hint="eastAsia" w:ascii="仿宋" w:hAnsi="仿宋" w:eastAsia="仿宋" w:cs="仿宋"/>
          <w:szCs w:val="21"/>
        </w:rPr>
        <w:t>合同签订后7个工作日内，成交供应商须以银行转账/转账支票/银行汇票/银行、保险公司出具的保函等非现金方式向采购人提交合同价款1%的履约担保。（保函应满足以下几个条件：①见索即付：即在成交供应商没有实施合同或者未履行合同义务时，采购人不需要出具任何证明和理由，只要看到成交供应商违约，就可对保函进行收兑；②保函期限：自合同生效之日起至工程竣工验收合格之日；③如果由于服务期延误或银行、保险公司要求分期出具保函的，则在前一份保函有效期满之日2个月前必须重新出具相同内容的保函；④保函开具方需开通官方网站进行在线查询功能。采购人通过开具方的官方网站进行在线查询后，可以确认真实性的，对原件进行收讫。否则，采购人有权不予收讫）。（以银行转账、转帐支票、银行汇票等形式提交的：①从成交供应商基本账户转出；②履约担保退还时间：采购人在工程竣工验收合格后15日内退还履约担保（无息）。）</w:t>
      </w:r>
    </w:p>
    <w:p w14:paraId="6E8ADD7E">
      <w:pPr>
        <w:numPr>
          <w:ilvl w:val="1"/>
          <w:numId w:val="9"/>
        </w:numPr>
        <w:snapToGrid w:val="0"/>
        <w:spacing w:line="400" w:lineRule="exact"/>
        <w:rPr>
          <w:rFonts w:ascii="仿宋" w:hAnsi="仿宋" w:eastAsia="仿宋" w:cs="仿宋"/>
          <w:bCs/>
          <w:szCs w:val="21"/>
        </w:rPr>
      </w:pPr>
      <w:r>
        <w:rPr>
          <w:rFonts w:hint="eastAsia" w:ascii="仿宋" w:hAnsi="仿宋" w:eastAsia="仿宋" w:cs="仿宋"/>
          <w:bCs/>
          <w:szCs w:val="21"/>
        </w:rPr>
        <w:t>在合同生效以及具备实施条件后7个工作日内，采购人向成交供应商支付合同总价款20%的预付款。（抵作进度款）（市财政资金下达后支付）（在签订合同时，成交供应商明确表示无需预付款或者主动要求降低预付款比例的，采购人可不适用前述规定预付款）</w:t>
      </w:r>
    </w:p>
    <w:p w14:paraId="60602A00">
      <w:pPr>
        <w:numPr>
          <w:ilvl w:val="1"/>
          <w:numId w:val="9"/>
        </w:numPr>
        <w:snapToGrid w:val="0"/>
        <w:spacing w:line="400" w:lineRule="exact"/>
        <w:rPr>
          <w:rFonts w:ascii="仿宋" w:hAnsi="仿宋" w:eastAsia="仿宋" w:cs="仿宋"/>
          <w:bCs/>
          <w:szCs w:val="21"/>
        </w:rPr>
      </w:pPr>
      <w:r>
        <w:rPr>
          <w:rFonts w:hint="eastAsia" w:ascii="仿宋" w:hAnsi="仿宋" w:eastAsia="仿宋" w:cs="仿宋"/>
          <w:bCs/>
          <w:szCs w:val="21"/>
        </w:rPr>
        <w:t>采购人委托成交供应商工程质量检测的试件，在所有楼栋±0.00结构完成后7个工作日内，甲方向乙方支付至合同总价款的</w:t>
      </w:r>
      <w:r>
        <w:rPr>
          <w:rFonts w:ascii="仿宋" w:hAnsi="仿宋" w:eastAsia="仿宋" w:cs="仿宋"/>
          <w:bCs/>
          <w:szCs w:val="21"/>
        </w:rPr>
        <w:t>4</w:t>
      </w:r>
      <w:r>
        <w:rPr>
          <w:rFonts w:hint="eastAsia" w:ascii="仿宋" w:hAnsi="仿宋" w:eastAsia="仿宋" w:cs="仿宋"/>
          <w:bCs/>
          <w:szCs w:val="21"/>
        </w:rPr>
        <w:t>0%（含预付款）；在所有楼栋主体结构结顶后7个工作日内，甲方向乙方支付至合同总价款的</w:t>
      </w:r>
      <w:r>
        <w:rPr>
          <w:rFonts w:ascii="仿宋" w:hAnsi="仿宋" w:eastAsia="仿宋" w:cs="仿宋"/>
          <w:bCs/>
          <w:szCs w:val="21"/>
        </w:rPr>
        <w:t>6</w:t>
      </w:r>
      <w:r>
        <w:rPr>
          <w:rFonts w:hint="eastAsia" w:ascii="仿宋" w:hAnsi="仿宋" w:eastAsia="仿宋" w:cs="仿宋"/>
          <w:bCs/>
          <w:szCs w:val="21"/>
        </w:rPr>
        <w:t>0%（含预付款）；余款在竣工验收合格后并提供完整的电子成果资料后7个工作日内结清。（市财政资金下达后支付）</w:t>
      </w:r>
    </w:p>
    <w:p w14:paraId="64382C52">
      <w:pPr>
        <w:pStyle w:val="6"/>
        <w:ind w:firstLine="0" w:firstLineChars="0"/>
        <w:rPr>
          <w:rFonts w:ascii="仿宋" w:hAnsi="仿宋" w:eastAsia="仿宋" w:cs="仿宋"/>
        </w:rPr>
      </w:pPr>
      <w:r>
        <w:br w:type="page"/>
      </w:r>
      <w:r>
        <w:rPr>
          <w:rFonts w:hint="eastAsia" w:ascii="仿宋" w:hAnsi="仿宋" w:eastAsia="仿宋" w:cs="仿宋"/>
        </w:rPr>
        <w:t>附件1：</w:t>
      </w:r>
    </w:p>
    <w:bookmarkEnd w:id="69"/>
    <w:bookmarkEnd w:id="70"/>
    <w:bookmarkEnd w:id="71"/>
    <w:bookmarkEnd w:id="72"/>
    <w:bookmarkEnd w:id="73"/>
    <w:bookmarkEnd w:id="74"/>
    <w:bookmarkEnd w:id="75"/>
    <w:bookmarkEnd w:id="76"/>
    <w:tbl>
      <w:tblPr>
        <w:tblStyle w:val="16"/>
        <w:tblW w:w="9777"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82"/>
        <w:gridCol w:w="1739"/>
        <w:gridCol w:w="6309"/>
      </w:tblGrid>
      <w:tr w14:paraId="2F5C2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777" w:type="dxa"/>
            <w:gridSpan w:val="4"/>
            <w:noWrap/>
            <w:vAlign w:val="center"/>
          </w:tcPr>
          <w:p w14:paraId="5A093C53">
            <w:pPr>
              <w:jc w:val="center"/>
              <w:rPr>
                <w:rFonts w:ascii="仿宋" w:hAnsi="仿宋" w:eastAsia="仿宋" w:cs="仿宋"/>
                <w:sz w:val="32"/>
                <w:szCs w:val="32"/>
              </w:rPr>
            </w:pPr>
            <w:bookmarkStart w:id="89" w:name="RANGE!A1:E273"/>
            <w:r>
              <w:rPr>
                <w:rFonts w:hint="eastAsia" w:ascii="仿宋" w:hAnsi="仿宋" w:eastAsia="仿宋" w:cs="仿宋"/>
                <w:b/>
                <w:bCs/>
                <w:sz w:val="30"/>
                <w:szCs w:val="30"/>
              </w:rPr>
              <w:t>检测项目汇总</w:t>
            </w:r>
            <w:bookmarkEnd w:id="89"/>
            <w:r>
              <w:rPr>
                <w:rFonts w:hint="eastAsia" w:ascii="仿宋" w:hAnsi="仿宋" w:eastAsia="仿宋" w:cs="仿宋"/>
                <w:b/>
                <w:bCs/>
                <w:sz w:val="30"/>
                <w:szCs w:val="30"/>
              </w:rPr>
              <w:t>（包括但不限于为满足温州市龙湾中学教学综合楼建设项目竣工验收所必需的检测服务）</w:t>
            </w:r>
          </w:p>
        </w:tc>
      </w:tr>
      <w:tr w14:paraId="14C31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7" w:type="dxa"/>
            <w:noWrap/>
            <w:vAlign w:val="center"/>
          </w:tcPr>
          <w:p w14:paraId="7CCFAB68">
            <w:pPr>
              <w:jc w:val="center"/>
              <w:rPr>
                <w:rFonts w:ascii="仿宋" w:hAnsi="仿宋" w:eastAsia="仿宋" w:cs="仿宋"/>
                <w:szCs w:val="21"/>
              </w:rPr>
            </w:pPr>
            <w:r>
              <w:rPr>
                <w:rFonts w:hint="eastAsia" w:ascii="仿宋" w:hAnsi="仿宋" w:eastAsia="仿宋" w:cs="仿宋"/>
                <w:szCs w:val="21"/>
              </w:rPr>
              <w:t>1</w:t>
            </w:r>
          </w:p>
        </w:tc>
        <w:tc>
          <w:tcPr>
            <w:tcW w:w="8930" w:type="dxa"/>
            <w:gridSpan w:val="3"/>
            <w:noWrap/>
            <w:vAlign w:val="center"/>
          </w:tcPr>
          <w:p w14:paraId="45EF9F67">
            <w:pPr>
              <w:jc w:val="center"/>
              <w:rPr>
                <w:rFonts w:ascii="仿宋" w:hAnsi="仿宋" w:eastAsia="仿宋" w:cs="仿宋"/>
              </w:rPr>
            </w:pPr>
            <w:r>
              <w:rPr>
                <w:rFonts w:hint="eastAsia" w:ascii="仿宋" w:hAnsi="仿宋" w:eastAsia="仿宋" w:cs="仿宋"/>
              </w:rPr>
              <w:t>符合《浙江省建设工程质量检测管理实施细则》（浙建【2023】12号）文件所附的检测专项及检测能力表（见附件）中的所有项目（如不涉及的可不检测，但竣工验收所必需的项目必须检测）</w:t>
            </w:r>
          </w:p>
        </w:tc>
      </w:tr>
      <w:tr w14:paraId="72E8E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47" w:type="dxa"/>
            <w:vMerge w:val="restart"/>
            <w:vAlign w:val="center"/>
          </w:tcPr>
          <w:p w14:paraId="1C777218">
            <w:pPr>
              <w:jc w:val="center"/>
              <w:rPr>
                <w:rFonts w:ascii="仿宋" w:hAnsi="仿宋" w:eastAsia="仿宋" w:cs="仿宋"/>
                <w:szCs w:val="21"/>
              </w:rPr>
            </w:pPr>
            <w:r>
              <w:rPr>
                <w:rFonts w:hint="eastAsia" w:ascii="仿宋" w:hAnsi="仿宋" w:eastAsia="仿宋" w:cs="仿宋"/>
                <w:szCs w:val="21"/>
              </w:rPr>
              <w:t>2</w:t>
            </w:r>
          </w:p>
        </w:tc>
        <w:tc>
          <w:tcPr>
            <w:tcW w:w="882" w:type="dxa"/>
            <w:vMerge w:val="restart"/>
            <w:vAlign w:val="center"/>
          </w:tcPr>
          <w:p w14:paraId="2D60D404">
            <w:pPr>
              <w:jc w:val="center"/>
              <w:rPr>
                <w:rFonts w:ascii="仿宋" w:hAnsi="仿宋" w:eastAsia="仿宋" w:cs="仿宋"/>
                <w:szCs w:val="21"/>
              </w:rPr>
            </w:pPr>
            <w:r>
              <w:rPr>
                <w:rFonts w:hint="eastAsia" w:ascii="仿宋" w:hAnsi="仿宋" w:eastAsia="仿宋" w:cs="仿宋"/>
                <w:szCs w:val="21"/>
              </w:rPr>
              <w:t>其他</w:t>
            </w:r>
          </w:p>
          <w:p w14:paraId="76B27A5C">
            <w:pPr>
              <w:jc w:val="center"/>
              <w:rPr>
                <w:rFonts w:ascii="仿宋" w:hAnsi="仿宋" w:eastAsia="仿宋" w:cs="仿宋"/>
                <w:szCs w:val="21"/>
              </w:rPr>
            </w:pPr>
            <w:r>
              <w:rPr>
                <w:rFonts w:hint="eastAsia" w:ascii="仿宋" w:hAnsi="仿宋" w:eastAsia="仿宋" w:cs="仿宋"/>
                <w:szCs w:val="21"/>
              </w:rPr>
              <w:t>检测</w:t>
            </w:r>
          </w:p>
        </w:tc>
        <w:tc>
          <w:tcPr>
            <w:tcW w:w="1739" w:type="dxa"/>
            <w:noWrap/>
            <w:vAlign w:val="center"/>
          </w:tcPr>
          <w:p w14:paraId="380D249E">
            <w:pPr>
              <w:jc w:val="center"/>
              <w:rPr>
                <w:rFonts w:ascii="仿宋" w:hAnsi="仿宋" w:eastAsia="仿宋" w:cs="仿宋"/>
                <w:szCs w:val="21"/>
              </w:rPr>
            </w:pPr>
            <w:r>
              <w:rPr>
                <w:rFonts w:hint="eastAsia" w:ascii="仿宋" w:hAnsi="仿宋" w:eastAsia="仿宋" w:cs="仿宋"/>
                <w:szCs w:val="21"/>
              </w:rPr>
              <w:t>消防检测</w:t>
            </w:r>
          </w:p>
        </w:tc>
        <w:tc>
          <w:tcPr>
            <w:tcW w:w="6309" w:type="dxa"/>
            <w:vAlign w:val="center"/>
          </w:tcPr>
          <w:p w14:paraId="6B428B5A">
            <w:pPr>
              <w:jc w:val="center"/>
              <w:rPr>
                <w:rFonts w:ascii="仿宋" w:hAnsi="仿宋" w:eastAsia="仿宋" w:cs="仿宋"/>
                <w:szCs w:val="21"/>
              </w:rPr>
            </w:pPr>
            <w:r>
              <w:rPr>
                <w:rFonts w:hint="eastAsia" w:ascii="仿宋" w:hAnsi="仿宋" w:eastAsia="仿宋" w:cs="仿宋"/>
                <w:szCs w:val="21"/>
              </w:rPr>
              <w:t>电气消防安全检测、消防设施检测</w:t>
            </w:r>
          </w:p>
        </w:tc>
      </w:tr>
      <w:tr w14:paraId="17CC0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6AEFC818">
            <w:pPr>
              <w:rPr>
                <w:rFonts w:ascii="仿宋" w:hAnsi="仿宋" w:eastAsia="仿宋" w:cs="仿宋"/>
                <w:szCs w:val="21"/>
              </w:rPr>
            </w:pPr>
          </w:p>
        </w:tc>
        <w:tc>
          <w:tcPr>
            <w:tcW w:w="882" w:type="dxa"/>
            <w:vMerge w:val="continue"/>
            <w:vAlign w:val="center"/>
          </w:tcPr>
          <w:p w14:paraId="0BDC40A0">
            <w:pPr>
              <w:rPr>
                <w:rFonts w:ascii="仿宋" w:hAnsi="仿宋" w:eastAsia="仿宋" w:cs="仿宋"/>
                <w:szCs w:val="21"/>
              </w:rPr>
            </w:pPr>
          </w:p>
        </w:tc>
        <w:tc>
          <w:tcPr>
            <w:tcW w:w="1739" w:type="dxa"/>
            <w:noWrap/>
            <w:vAlign w:val="center"/>
          </w:tcPr>
          <w:p w14:paraId="1BA7F000">
            <w:pPr>
              <w:jc w:val="center"/>
              <w:rPr>
                <w:rFonts w:ascii="仿宋" w:hAnsi="仿宋" w:eastAsia="仿宋" w:cs="仿宋"/>
                <w:szCs w:val="21"/>
              </w:rPr>
            </w:pPr>
            <w:r>
              <w:rPr>
                <w:rFonts w:hint="eastAsia" w:ascii="仿宋" w:hAnsi="仿宋" w:eastAsia="仿宋" w:cs="仿宋"/>
                <w:szCs w:val="21"/>
              </w:rPr>
              <w:t>智能化检测</w:t>
            </w:r>
          </w:p>
        </w:tc>
        <w:tc>
          <w:tcPr>
            <w:tcW w:w="6309" w:type="dxa"/>
            <w:vAlign w:val="center"/>
          </w:tcPr>
          <w:p w14:paraId="14AEFA7B">
            <w:pPr>
              <w:jc w:val="center"/>
              <w:rPr>
                <w:rFonts w:ascii="仿宋" w:hAnsi="仿宋" w:eastAsia="仿宋" w:cs="仿宋"/>
                <w:szCs w:val="21"/>
              </w:rPr>
            </w:pPr>
            <w:r>
              <w:rPr>
                <w:rFonts w:hint="eastAsia" w:ascii="仿宋" w:hAnsi="仿宋" w:eastAsia="仿宋" w:cs="仿宋"/>
                <w:szCs w:val="21"/>
              </w:rPr>
              <w:t>智能系统检测</w:t>
            </w:r>
          </w:p>
        </w:tc>
      </w:tr>
      <w:tr w14:paraId="49FEC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098D361A">
            <w:pPr>
              <w:rPr>
                <w:rFonts w:ascii="仿宋" w:hAnsi="仿宋" w:eastAsia="仿宋" w:cs="仿宋"/>
                <w:szCs w:val="21"/>
              </w:rPr>
            </w:pPr>
          </w:p>
        </w:tc>
        <w:tc>
          <w:tcPr>
            <w:tcW w:w="882" w:type="dxa"/>
            <w:vMerge w:val="continue"/>
            <w:vAlign w:val="center"/>
          </w:tcPr>
          <w:p w14:paraId="09612B3C">
            <w:pPr>
              <w:rPr>
                <w:rFonts w:ascii="仿宋" w:hAnsi="仿宋" w:eastAsia="仿宋" w:cs="仿宋"/>
                <w:szCs w:val="21"/>
              </w:rPr>
            </w:pPr>
          </w:p>
        </w:tc>
        <w:tc>
          <w:tcPr>
            <w:tcW w:w="1739" w:type="dxa"/>
            <w:noWrap/>
            <w:vAlign w:val="center"/>
          </w:tcPr>
          <w:p w14:paraId="6FC46194">
            <w:pPr>
              <w:jc w:val="center"/>
              <w:rPr>
                <w:rFonts w:ascii="仿宋" w:hAnsi="仿宋" w:eastAsia="仿宋" w:cs="仿宋"/>
                <w:szCs w:val="21"/>
              </w:rPr>
            </w:pPr>
            <w:r>
              <w:rPr>
                <w:rFonts w:hint="eastAsia" w:ascii="仿宋" w:hAnsi="仿宋" w:eastAsia="仿宋" w:cs="仿宋"/>
                <w:szCs w:val="21"/>
              </w:rPr>
              <w:t>水质检测</w:t>
            </w:r>
          </w:p>
        </w:tc>
        <w:tc>
          <w:tcPr>
            <w:tcW w:w="6309" w:type="dxa"/>
            <w:vAlign w:val="center"/>
          </w:tcPr>
          <w:p w14:paraId="5BE0613A">
            <w:pPr>
              <w:jc w:val="center"/>
              <w:rPr>
                <w:rFonts w:ascii="仿宋" w:hAnsi="仿宋" w:eastAsia="仿宋" w:cs="仿宋"/>
                <w:szCs w:val="21"/>
              </w:rPr>
            </w:pPr>
            <w:r>
              <w:rPr>
                <w:rFonts w:hint="eastAsia" w:ascii="仿宋" w:hAnsi="仿宋" w:eastAsia="仿宋" w:cs="仿宋"/>
                <w:szCs w:val="21"/>
              </w:rPr>
              <w:t>水质检测</w:t>
            </w:r>
          </w:p>
        </w:tc>
      </w:tr>
      <w:tr w14:paraId="765BB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4F4ABBAD">
            <w:pPr>
              <w:rPr>
                <w:rFonts w:ascii="仿宋" w:hAnsi="仿宋" w:eastAsia="仿宋" w:cs="仿宋"/>
                <w:szCs w:val="21"/>
              </w:rPr>
            </w:pPr>
          </w:p>
        </w:tc>
        <w:tc>
          <w:tcPr>
            <w:tcW w:w="882" w:type="dxa"/>
            <w:vMerge w:val="continue"/>
            <w:vAlign w:val="center"/>
          </w:tcPr>
          <w:p w14:paraId="010EC1FB">
            <w:pPr>
              <w:rPr>
                <w:rFonts w:ascii="仿宋" w:hAnsi="仿宋" w:eastAsia="仿宋" w:cs="仿宋"/>
                <w:szCs w:val="21"/>
              </w:rPr>
            </w:pPr>
          </w:p>
        </w:tc>
        <w:tc>
          <w:tcPr>
            <w:tcW w:w="1739" w:type="dxa"/>
            <w:noWrap/>
            <w:vAlign w:val="center"/>
          </w:tcPr>
          <w:p w14:paraId="2E345D67">
            <w:pPr>
              <w:jc w:val="center"/>
              <w:rPr>
                <w:rFonts w:ascii="仿宋" w:hAnsi="仿宋" w:eastAsia="仿宋" w:cs="仿宋"/>
                <w:szCs w:val="21"/>
              </w:rPr>
            </w:pPr>
            <w:r>
              <w:rPr>
                <w:rFonts w:hint="eastAsia" w:ascii="仿宋" w:hAnsi="仿宋" w:eastAsia="仿宋" w:cs="仿宋"/>
                <w:szCs w:val="21"/>
              </w:rPr>
              <w:t>CCTV管道检测</w:t>
            </w:r>
          </w:p>
        </w:tc>
        <w:tc>
          <w:tcPr>
            <w:tcW w:w="6309" w:type="dxa"/>
            <w:vAlign w:val="center"/>
          </w:tcPr>
          <w:p w14:paraId="29EFFA22">
            <w:pPr>
              <w:jc w:val="center"/>
              <w:rPr>
                <w:rFonts w:ascii="仿宋" w:hAnsi="仿宋" w:eastAsia="仿宋" w:cs="仿宋"/>
                <w:szCs w:val="21"/>
              </w:rPr>
            </w:pPr>
            <w:r>
              <w:rPr>
                <w:rFonts w:hint="eastAsia" w:ascii="仿宋" w:hAnsi="仿宋" w:eastAsia="仿宋" w:cs="仿宋"/>
                <w:szCs w:val="21"/>
              </w:rPr>
              <w:t>CCTV管道检测（闭水试验）</w:t>
            </w:r>
          </w:p>
        </w:tc>
      </w:tr>
      <w:tr w14:paraId="458E5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3733A80D">
            <w:pPr>
              <w:rPr>
                <w:rFonts w:ascii="仿宋" w:hAnsi="仿宋" w:eastAsia="仿宋" w:cs="仿宋"/>
                <w:szCs w:val="21"/>
              </w:rPr>
            </w:pPr>
          </w:p>
        </w:tc>
        <w:tc>
          <w:tcPr>
            <w:tcW w:w="882" w:type="dxa"/>
            <w:vMerge w:val="continue"/>
            <w:vAlign w:val="center"/>
          </w:tcPr>
          <w:p w14:paraId="53C2C3ED">
            <w:pPr>
              <w:rPr>
                <w:rFonts w:ascii="仿宋" w:hAnsi="仿宋" w:eastAsia="仿宋" w:cs="仿宋"/>
                <w:szCs w:val="21"/>
              </w:rPr>
            </w:pPr>
          </w:p>
        </w:tc>
        <w:tc>
          <w:tcPr>
            <w:tcW w:w="1739" w:type="dxa"/>
            <w:noWrap/>
            <w:vAlign w:val="center"/>
          </w:tcPr>
          <w:p w14:paraId="71E346B1">
            <w:pPr>
              <w:jc w:val="center"/>
              <w:rPr>
                <w:rFonts w:ascii="仿宋" w:hAnsi="仿宋" w:eastAsia="仿宋" w:cs="仿宋"/>
                <w:szCs w:val="21"/>
              </w:rPr>
            </w:pPr>
            <w:r>
              <w:rPr>
                <w:rFonts w:hint="eastAsia" w:ascii="仿宋" w:hAnsi="仿宋" w:eastAsia="仿宋" w:cs="仿宋"/>
                <w:szCs w:val="21"/>
              </w:rPr>
              <w:t>景观绿化</w:t>
            </w:r>
          </w:p>
        </w:tc>
        <w:tc>
          <w:tcPr>
            <w:tcW w:w="6309" w:type="dxa"/>
            <w:vAlign w:val="center"/>
          </w:tcPr>
          <w:p w14:paraId="371BEE36">
            <w:pPr>
              <w:jc w:val="center"/>
              <w:rPr>
                <w:rFonts w:ascii="仿宋" w:hAnsi="仿宋" w:eastAsia="仿宋" w:cs="仿宋"/>
                <w:szCs w:val="21"/>
              </w:rPr>
            </w:pPr>
            <w:r>
              <w:rPr>
                <w:rFonts w:hint="eastAsia" w:ascii="仿宋" w:hAnsi="仿宋" w:eastAsia="仿宋" w:cs="仿宋"/>
                <w:szCs w:val="21"/>
              </w:rPr>
              <w:t>景观绿化所有检测</w:t>
            </w:r>
          </w:p>
        </w:tc>
      </w:tr>
      <w:tr w14:paraId="7E8C2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0071E438">
            <w:pPr>
              <w:rPr>
                <w:rFonts w:ascii="仿宋" w:hAnsi="仿宋" w:eastAsia="仿宋" w:cs="仿宋"/>
                <w:szCs w:val="21"/>
              </w:rPr>
            </w:pPr>
          </w:p>
        </w:tc>
        <w:tc>
          <w:tcPr>
            <w:tcW w:w="882" w:type="dxa"/>
            <w:vMerge w:val="continue"/>
            <w:vAlign w:val="center"/>
          </w:tcPr>
          <w:p w14:paraId="2C4CE2FB">
            <w:pPr>
              <w:rPr>
                <w:rFonts w:ascii="仿宋" w:hAnsi="仿宋" w:eastAsia="仿宋" w:cs="仿宋"/>
                <w:szCs w:val="21"/>
              </w:rPr>
            </w:pPr>
          </w:p>
        </w:tc>
        <w:tc>
          <w:tcPr>
            <w:tcW w:w="1739" w:type="dxa"/>
            <w:noWrap/>
            <w:vAlign w:val="center"/>
          </w:tcPr>
          <w:p w14:paraId="1CAC783A">
            <w:pPr>
              <w:jc w:val="center"/>
              <w:rPr>
                <w:rFonts w:ascii="仿宋" w:hAnsi="仿宋" w:eastAsia="仿宋" w:cs="仿宋"/>
                <w:szCs w:val="21"/>
              </w:rPr>
            </w:pPr>
            <w:r>
              <w:rPr>
                <w:rFonts w:hint="eastAsia" w:ascii="仿宋" w:hAnsi="仿宋" w:eastAsia="仿宋" w:cs="仿宋"/>
                <w:szCs w:val="21"/>
              </w:rPr>
              <w:t>照明系统</w:t>
            </w:r>
          </w:p>
        </w:tc>
        <w:tc>
          <w:tcPr>
            <w:tcW w:w="6309" w:type="dxa"/>
            <w:vAlign w:val="center"/>
          </w:tcPr>
          <w:p w14:paraId="1F8CFB2A">
            <w:pPr>
              <w:jc w:val="center"/>
              <w:rPr>
                <w:rFonts w:ascii="仿宋" w:hAnsi="仿宋" w:eastAsia="仿宋" w:cs="仿宋"/>
                <w:szCs w:val="21"/>
              </w:rPr>
            </w:pPr>
            <w:r>
              <w:rPr>
                <w:rFonts w:hint="eastAsia" w:ascii="仿宋" w:hAnsi="仿宋" w:eastAsia="仿宋" w:cs="仿宋"/>
                <w:szCs w:val="21"/>
              </w:rPr>
              <w:t>照明系统检测</w:t>
            </w:r>
          </w:p>
        </w:tc>
      </w:tr>
      <w:tr w14:paraId="72780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62578BD1">
            <w:pPr>
              <w:rPr>
                <w:rFonts w:ascii="仿宋" w:hAnsi="仿宋" w:eastAsia="仿宋" w:cs="仿宋"/>
                <w:szCs w:val="21"/>
              </w:rPr>
            </w:pPr>
          </w:p>
        </w:tc>
        <w:tc>
          <w:tcPr>
            <w:tcW w:w="882" w:type="dxa"/>
            <w:vMerge w:val="continue"/>
            <w:vAlign w:val="center"/>
          </w:tcPr>
          <w:p w14:paraId="539BBEB2">
            <w:pPr>
              <w:rPr>
                <w:rFonts w:ascii="仿宋" w:hAnsi="仿宋" w:eastAsia="仿宋" w:cs="仿宋"/>
                <w:szCs w:val="21"/>
              </w:rPr>
            </w:pPr>
          </w:p>
        </w:tc>
        <w:tc>
          <w:tcPr>
            <w:tcW w:w="1739" w:type="dxa"/>
            <w:noWrap/>
            <w:vAlign w:val="center"/>
          </w:tcPr>
          <w:p w14:paraId="18EF907A">
            <w:pPr>
              <w:jc w:val="center"/>
              <w:rPr>
                <w:rFonts w:ascii="仿宋" w:hAnsi="仿宋" w:eastAsia="仿宋" w:cs="仿宋"/>
                <w:szCs w:val="21"/>
              </w:rPr>
            </w:pPr>
            <w:r>
              <w:rPr>
                <w:rFonts w:hint="eastAsia" w:ascii="仿宋" w:hAnsi="仿宋" w:eastAsia="仿宋" w:cs="仿宋"/>
                <w:szCs w:val="21"/>
              </w:rPr>
              <w:t>防雷检测</w:t>
            </w:r>
          </w:p>
        </w:tc>
        <w:tc>
          <w:tcPr>
            <w:tcW w:w="6309" w:type="dxa"/>
            <w:vAlign w:val="center"/>
          </w:tcPr>
          <w:p w14:paraId="39865BAE">
            <w:pPr>
              <w:jc w:val="center"/>
              <w:rPr>
                <w:rFonts w:ascii="仿宋" w:hAnsi="仿宋" w:eastAsia="仿宋" w:cs="仿宋"/>
                <w:szCs w:val="21"/>
              </w:rPr>
            </w:pPr>
            <w:r>
              <w:rPr>
                <w:rFonts w:hint="eastAsia" w:ascii="仿宋" w:hAnsi="仿宋" w:eastAsia="仿宋" w:cs="仿宋"/>
                <w:szCs w:val="21"/>
              </w:rPr>
              <w:t>接地电阻测试、电涌保护器检测、防雷元件检测、建筑物防雷构造检查、防雷系统整体效能评估</w:t>
            </w:r>
          </w:p>
        </w:tc>
      </w:tr>
      <w:tr w14:paraId="4C701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01BF5CDF">
            <w:pPr>
              <w:rPr>
                <w:rFonts w:ascii="仿宋" w:hAnsi="仿宋" w:eastAsia="仿宋" w:cs="仿宋"/>
                <w:szCs w:val="21"/>
              </w:rPr>
            </w:pPr>
          </w:p>
        </w:tc>
        <w:tc>
          <w:tcPr>
            <w:tcW w:w="882" w:type="dxa"/>
            <w:vMerge w:val="continue"/>
            <w:vAlign w:val="center"/>
          </w:tcPr>
          <w:p w14:paraId="255A81A6">
            <w:pPr>
              <w:rPr>
                <w:rFonts w:ascii="仿宋" w:hAnsi="仿宋" w:eastAsia="仿宋" w:cs="仿宋"/>
                <w:szCs w:val="21"/>
              </w:rPr>
            </w:pPr>
          </w:p>
        </w:tc>
        <w:tc>
          <w:tcPr>
            <w:tcW w:w="1739" w:type="dxa"/>
            <w:noWrap/>
            <w:vAlign w:val="center"/>
          </w:tcPr>
          <w:p w14:paraId="1C2C7E59">
            <w:pPr>
              <w:jc w:val="center"/>
              <w:rPr>
                <w:rFonts w:ascii="仿宋" w:hAnsi="仿宋" w:eastAsia="仿宋" w:cs="仿宋"/>
                <w:szCs w:val="21"/>
              </w:rPr>
            </w:pPr>
            <w:r>
              <w:rPr>
                <w:rFonts w:hint="eastAsia" w:ascii="仿宋" w:hAnsi="仿宋" w:eastAsia="仿宋" w:cs="仿宋"/>
                <w:szCs w:val="21"/>
              </w:rPr>
              <w:t>基坑监测</w:t>
            </w:r>
          </w:p>
        </w:tc>
        <w:tc>
          <w:tcPr>
            <w:tcW w:w="6309" w:type="dxa"/>
            <w:vAlign w:val="center"/>
          </w:tcPr>
          <w:p w14:paraId="71F7D9EC">
            <w:pPr>
              <w:jc w:val="center"/>
              <w:rPr>
                <w:rFonts w:ascii="仿宋" w:hAnsi="仿宋" w:eastAsia="仿宋" w:cs="仿宋"/>
                <w:szCs w:val="21"/>
              </w:rPr>
            </w:pPr>
            <w:r>
              <w:rPr>
                <w:rFonts w:hint="eastAsia" w:ascii="仿宋" w:hAnsi="仿宋" w:eastAsia="仿宋" w:cs="仿宋"/>
                <w:szCs w:val="21"/>
              </w:rPr>
              <w:t>支撑轴力，土体位移、道路沉降、孔隙水压力、地下水位等</w:t>
            </w:r>
          </w:p>
        </w:tc>
      </w:tr>
      <w:tr w14:paraId="7EFBA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036560B8">
            <w:pPr>
              <w:rPr>
                <w:rFonts w:ascii="仿宋" w:hAnsi="仿宋" w:eastAsia="仿宋" w:cs="仿宋"/>
                <w:szCs w:val="21"/>
              </w:rPr>
            </w:pPr>
          </w:p>
        </w:tc>
        <w:tc>
          <w:tcPr>
            <w:tcW w:w="882" w:type="dxa"/>
            <w:vMerge w:val="continue"/>
            <w:vAlign w:val="center"/>
          </w:tcPr>
          <w:p w14:paraId="633C2DE3">
            <w:pPr>
              <w:rPr>
                <w:rFonts w:ascii="仿宋" w:hAnsi="仿宋" w:eastAsia="仿宋" w:cs="仿宋"/>
                <w:szCs w:val="21"/>
              </w:rPr>
            </w:pPr>
          </w:p>
        </w:tc>
        <w:tc>
          <w:tcPr>
            <w:tcW w:w="1739" w:type="dxa"/>
            <w:noWrap/>
            <w:vAlign w:val="center"/>
          </w:tcPr>
          <w:p w14:paraId="16B93C67">
            <w:pPr>
              <w:jc w:val="center"/>
              <w:rPr>
                <w:rFonts w:ascii="仿宋" w:hAnsi="仿宋" w:eastAsia="仿宋" w:cs="仿宋"/>
                <w:szCs w:val="21"/>
              </w:rPr>
            </w:pPr>
            <w:r>
              <w:rPr>
                <w:rFonts w:hint="eastAsia" w:ascii="仿宋" w:hAnsi="仿宋" w:eastAsia="仿宋" w:cs="仿宋"/>
                <w:szCs w:val="21"/>
              </w:rPr>
              <w:t>体育设施检测</w:t>
            </w:r>
          </w:p>
        </w:tc>
        <w:tc>
          <w:tcPr>
            <w:tcW w:w="6309" w:type="dxa"/>
            <w:vAlign w:val="center"/>
          </w:tcPr>
          <w:p w14:paraId="5B4EF436">
            <w:pPr>
              <w:jc w:val="center"/>
              <w:rPr>
                <w:rFonts w:ascii="仿宋" w:hAnsi="仿宋" w:eastAsia="仿宋" w:cs="仿宋"/>
                <w:szCs w:val="21"/>
              </w:rPr>
            </w:pPr>
            <w:r>
              <w:rPr>
                <w:rFonts w:hint="eastAsia" w:ascii="仿宋" w:hAnsi="仿宋" w:eastAsia="仿宋" w:cs="仿宋"/>
                <w:szCs w:val="21"/>
              </w:rPr>
              <w:t>体育设施检测</w:t>
            </w:r>
          </w:p>
        </w:tc>
      </w:tr>
      <w:tr w14:paraId="48C62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618F2405">
            <w:pPr>
              <w:rPr>
                <w:rFonts w:ascii="仿宋" w:hAnsi="仿宋" w:eastAsia="仿宋" w:cs="仿宋"/>
                <w:szCs w:val="21"/>
              </w:rPr>
            </w:pPr>
          </w:p>
        </w:tc>
        <w:tc>
          <w:tcPr>
            <w:tcW w:w="882" w:type="dxa"/>
            <w:vMerge w:val="continue"/>
            <w:vAlign w:val="center"/>
          </w:tcPr>
          <w:p w14:paraId="4B65B692">
            <w:pPr>
              <w:rPr>
                <w:rFonts w:ascii="仿宋" w:hAnsi="仿宋" w:eastAsia="仿宋" w:cs="仿宋"/>
                <w:szCs w:val="21"/>
              </w:rPr>
            </w:pPr>
          </w:p>
        </w:tc>
        <w:tc>
          <w:tcPr>
            <w:tcW w:w="1739" w:type="dxa"/>
            <w:noWrap/>
            <w:vAlign w:val="center"/>
          </w:tcPr>
          <w:p w14:paraId="1819E851">
            <w:pPr>
              <w:jc w:val="center"/>
              <w:rPr>
                <w:rFonts w:hint="eastAsia" w:ascii="仿宋" w:hAnsi="仿宋" w:eastAsia="仿宋" w:cs="仿宋"/>
                <w:szCs w:val="21"/>
              </w:rPr>
            </w:pPr>
            <w:r>
              <w:rPr>
                <w:rFonts w:hint="eastAsia" w:ascii="仿宋" w:hAnsi="仿宋" w:eastAsia="仿宋" w:cs="仿宋"/>
                <w:szCs w:val="21"/>
              </w:rPr>
              <w:t>室内空气检测</w:t>
            </w:r>
          </w:p>
        </w:tc>
        <w:tc>
          <w:tcPr>
            <w:tcW w:w="6309" w:type="dxa"/>
            <w:vAlign w:val="center"/>
          </w:tcPr>
          <w:p w14:paraId="34F226C5">
            <w:pPr>
              <w:jc w:val="center"/>
              <w:rPr>
                <w:rFonts w:hint="eastAsia" w:ascii="仿宋" w:hAnsi="仿宋" w:eastAsia="仿宋" w:cs="仿宋"/>
                <w:szCs w:val="21"/>
              </w:rPr>
            </w:pPr>
            <w:r>
              <w:rPr>
                <w:rFonts w:hint="eastAsia" w:ascii="仿宋" w:hAnsi="仿宋" w:eastAsia="仿宋" w:cs="仿宋"/>
                <w:szCs w:val="21"/>
              </w:rPr>
              <w:t>室内空气检测</w:t>
            </w:r>
          </w:p>
        </w:tc>
      </w:tr>
      <w:tr w14:paraId="745CB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7" w:type="dxa"/>
            <w:vMerge w:val="continue"/>
            <w:vAlign w:val="center"/>
          </w:tcPr>
          <w:p w14:paraId="188F8DEA">
            <w:pPr>
              <w:rPr>
                <w:rFonts w:ascii="仿宋" w:hAnsi="仿宋" w:eastAsia="仿宋" w:cs="仿宋"/>
                <w:szCs w:val="21"/>
              </w:rPr>
            </w:pPr>
          </w:p>
        </w:tc>
        <w:tc>
          <w:tcPr>
            <w:tcW w:w="882" w:type="dxa"/>
            <w:vMerge w:val="continue"/>
            <w:vAlign w:val="center"/>
          </w:tcPr>
          <w:p w14:paraId="56440C78">
            <w:pPr>
              <w:rPr>
                <w:rFonts w:ascii="仿宋" w:hAnsi="仿宋" w:eastAsia="仿宋" w:cs="仿宋"/>
                <w:szCs w:val="21"/>
              </w:rPr>
            </w:pPr>
          </w:p>
        </w:tc>
        <w:tc>
          <w:tcPr>
            <w:tcW w:w="1739" w:type="dxa"/>
            <w:noWrap/>
            <w:vAlign w:val="center"/>
          </w:tcPr>
          <w:p w14:paraId="0B9F35DB">
            <w:pPr>
              <w:jc w:val="center"/>
              <w:rPr>
                <w:rFonts w:ascii="仿宋" w:hAnsi="仿宋" w:eastAsia="仿宋" w:cs="仿宋"/>
                <w:szCs w:val="21"/>
              </w:rPr>
            </w:pPr>
            <w:r>
              <w:rPr>
                <w:rFonts w:hint="eastAsia" w:ascii="仿宋" w:hAnsi="仿宋" w:eastAsia="仿宋" w:cs="仿宋"/>
                <w:szCs w:val="21"/>
              </w:rPr>
              <w:t>建筑物沉降观测</w:t>
            </w:r>
          </w:p>
        </w:tc>
        <w:tc>
          <w:tcPr>
            <w:tcW w:w="6309" w:type="dxa"/>
            <w:vAlign w:val="center"/>
          </w:tcPr>
          <w:p w14:paraId="75E1D95D">
            <w:pPr>
              <w:jc w:val="center"/>
              <w:rPr>
                <w:rFonts w:ascii="仿宋" w:hAnsi="仿宋" w:eastAsia="仿宋" w:cs="仿宋"/>
                <w:szCs w:val="21"/>
              </w:rPr>
            </w:pPr>
            <w:r>
              <w:rPr>
                <w:rFonts w:hint="eastAsia" w:ascii="仿宋" w:hAnsi="仿宋" w:eastAsia="仿宋" w:cs="仿宋"/>
                <w:szCs w:val="21"/>
              </w:rPr>
              <w:t>建筑物沉降观测</w:t>
            </w:r>
          </w:p>
        </w:tc>
      </w:tr>
    </w:tbl>
    <w:p w14:paraId="23FB66BC">
      <w:pPr>
        <w:snapToGrid w:val="0"/>
        <w:spacing w:line="360" w:lineRule="auto"/>
        <w:rPr>
          <w:b/>
        </w:rPr>
      </w:pPr>
    </w:p>
    <w:p w14:paraId="7EA0F629">
      <w:pPr>
        <w:widowControl/>
        <w:tabs>
          <w:tab w:val="left" w:pos="425"/>
        </w:tabs>
        <w:spacing w:line="360" w:lineRule="auto"/>
        <w:ind w:left="400"/>
        <w:rPr>
          <w:rFonts w:ascii="Arial" w:hAnsi="Arial" w:cs="Arial"/>
          <w:szCs w:val="21"/>
        </w:rPr>
      </w:pPr>
    </w:p>
    <w:p w14:paraId="0010881F">
      <w:pPr>
        <w:sectPr>
          <w:footerReference r:id="rId6" w:type="default"/>
          <w:pgSz w:w="11906" w:h="16838"/>
          <w:pgMar w:top="1440" w:right="1080" w:bottom="1440" w:left="1080" w:header="851" w:footer="992" w:gutter="0"/>
          <w:pgNumType w:start="1"/>
          <w:cols w:space="720" w:num="1"/>
          <w:docGrid w:type="lines" w:linePitch="312" w:charSpace="0"/>
        </w:sectPr>
      </w:pPr>
    </w:p>
    <w:p w14:paraId="1542BF3E">
      <w:pPr>
        <w:widowControl/>
        <w:jc w:val="left"/>
      </w:pPr>
    </w:p>
    <w:p w14:paraId="3CAF66EC">
      <w:pPr>
        <w:pStyle w:val="25"/>
        <w:ind w:firstLine="480"/>
        <w:rPr>
          <w:rFonts w:ascii="仿宋" w:hAnsi="仿宋" w:eastAsia="仿宋" w:cs="仿宋"/>
          <w:sz w:val="24"/>
          <w:szCs w:val="24"/>
        </w:rPr>
      </w:pPr>
    </w:p>
    <w:p w14:paraId="300C321D">
      <w:pPr>
        <w:spacing w:line="360" w:lineRule="auto"/>
        <w:ind w:left="720" w:leftChars="343" w:firstLine="1084" w:firstLineChars="300"/>
        <w:outlineLvl w:val="0"/>
        <w:rPr>
          <w:rFonts w:ascii="仿宋" w:hAnsi="仿宋" w:eastAsia="仿宋" w:cs="仿宋"/>
          <w:b/>
          <w:sz w:val="36"/>
          <w:szCs w:val="36"/>
        </w:rPr>
      </w:pPr>
      <w:r>
        <w:rPr>
          <w:rFonts w:hint="eastAsia" w:ascii="仿宋" w:hAnsi="仿宋" w:eastAsia="仿宋" w:cs="仿宋"/>
          <w:b/>
          <w:sz w:val="36"/>
          <w:szCs w:val="36"/>
        </w:rPr>
        <w:t>第四部分  拟签订的合同文本</w:t>
      </w:r>
    </w:p>
    <w:p w14:paraId="5EEB43A5">
      <w:pPr>
        <w:spacing w:line="440" w:lineRule="exact"/>
        <w:ind w:firstLine="440" w:firstLineChars="200"/>
        <w:rPr>
          <w:rFonts w:ascii="仿宋" w:hAnsi="仿宋" w:eastAsia="仿宋" w:cs="仿宋"/>
          <w:sz w:val="22"/>
          <w:szCs w:val="22"/>
        </w:rPr>
      </w:pPr>
      <w:r>
        <w:rPr>
          <w:rFonts w:hint="eastAsia" w:ascii="仿宋" w:hAnsi="仿宋" w:eastAsia="仿宋" w:cs="仿宋"/>
          <w:sz w:val="22"/>
          <w:szCs w:val="22"/>
        </w:rPr>
        <w:t>说明：如甲、乙双方同意，合同格式也可以按照其他形式，仅供参考。</w:t>
      </w:r>
    </w:p>
    <w:p w14:paraId="028F0B3A">
      <w:pPr>
        <w:pStyle w:val="5"/>
        <w:ind w:firstLine="400"/>
        <w:rPr>
          <w:sz w:val="20"/>
        </w:rPr>
      </w:pPr>
    </w:p>
    <w:p w14:paraId="44AE7454">
      <w:pPr>
        <w:pStyle w:val="15"/>
        <w:ind w:left="0" w:leftChars="0" w:firstLine="0" w:firstLineChars="0"/>
        <w:jc w:val="center"/>
        <w:rPr>
          <w:rFonts w:ascii="仿宋" w:hAnsi="仿宋" w:eastAsia="仿宋" w:cs="仿宋"/>
          <w:b/>
        </w:rPr>
      </w:pPr>
      <w:bookmarkStart w:id="90" w:name="_Toc221356961"/>
      <w:bookmarkStart w:id="91" w:name="_Toc221356898"/>
      <w:r>
        <w:rPr>
          <w:rFonts w:hint="eastAsia" w:ascii="仿宋" w:hAnsi="仿宋" w:eastAsia="仿宋" w:cs="仿宋"/>
          <w:b/>
          <w:spacing w:val="-1"/>
          <w:sz w:val="32"/>
          <w:szCs w:val="32"/>
        </w:rPr>
        <w:t>温州市龙湾中学教学综合楼建设项目第三方工程质量检测服务合同</w:t>
      </w:r>
    </w:p>
    <w:p w14:paraId="73B1A690">
      <w:pPr>
        <w:pStyle w:val="8"/>
        <w:spacing w:line="500" w:lineRule="exact"/>
        <w:ind w:firstLine="440" w:firstLineChars="200"/>
        <w:rPr>
          <w:rFonts w:ascii="仿宋" w:hAnsi="仿宋" w:eastAsia="仿宋" w:cs="仿宋"/>
          <w:sz w:val="22"/>
          <w:szCs w:val="22"/>
        </w:rPr>
      </w:pPr>
    </w:p>
    <w:p w14:paraId="014FD050">
      <w:pPr>
        <w:pStyle w:val="8"/>
        <w:spacing w:line="500" w:lineRule="exact"/>
        <w:ind w:firstLine="480" w:firstLineChars="200"/>
        <w:rPr>
          <w:rFonts w:ascii="仿宋" w:hAnsi="仿宋" w:eastAsia="仿宋" w:cs="仿宋"/>
          <w:u w:val="single"/>
        </w:rPr>
      </w:pPr>
      <w:r>
        <w:rPr>
          <w:rFonts w:hint="eastAsia" w:ascii="仿宋" w:hAnsi="仿宋" w:eastAsia="仿宋" w:cs="仿宋"/>
        </w:rPr>
        <w:t>委托方（甲方）：</w:t>
      </w:r>
      <w:r>
        <w:rPr>
          <w:rFonts w:hint="eastAsia" w:ascii="仿宋" w:hAnsi="仿宋" w:eastAsia="仿宋" w:cs="仿宋"/>
          <w:u w:val="single"/>
        </w:rPr>
        <w:t xml:space="preserve">                                           </w:t>
      </w:r>
    </w:p>
    <w:p w14:paraId="6DF7330C">
      <w:pPr>
        <w:pStyle w:val="8"/>
        <w:spacing w:line="500" w:lineRule="exact"/>
        <w:ind w:firstLine="480" w:firstLineChars="200"/>
        <w:rPr>
          <w:rFonts w:ascii="仿宋" w:hAnsi="仿宋" w:eastAsia="仿宋" w:cs="仿宋"/>
        </w:rPr>
      </w:pPr>
      <w:r>
        <w:rPr>
          <w:rFonts w:hint="eastAsia" w:ascii="仿宋" w:hAnsi="仿宋" w:eastAsia="仿宋" w:cs="仿宋"/>
        </w:rPr>
        <w:t>社会统一信用代码证：</w:t>
      </w:r>
      <w:r>
        <w:rPr>
          <w:rFonts w:hint="eastAsia" w:ascii="仿宋" w:hAnsi="仿宋" w:eastAsia="仿宋" w:cs="仿宋"/>
          <w:u w:val="single"/>
        </w:rPr>
        <w:t xml:space="preserve">（合同签订时填写）                     </w:t>
      </w:r>
    </w:p>
    <w:p w14:paraId="3F6E5716">
      <w:pPr>
        <w:pStyle w:val="8"/>
        <w:spacing w:line="500" w:lineRule="exact"/>
        <w:ind w:firstLine="480" w:firstLineChars="200"/>
        <w:rPr>
          <w:rFonts w:ascii="仿宋" w:hAnsi="仿宋" w:eastAsia="仿宋" w:cs="仿宋"/>
        </w:rPr>
      </w:pPr>
      <w:r>
        <w:rPr>
          <w:rFonts w:hint="eastAsia" w:ascii="仿宋" w:hAnsi="仿宋" w:eastAsia="仿宋" w:cs="仿宋"/>
        </w:rPr>
        <w:t>住  所  地：</w:t>
      </w:r>
      <w:r>
        <w:rPr>
          <w:rFonts w:hint="eastAsia" w:ascii="仿宋" w:hAnsi="仿宋" w:eastAsia="仿宋" w:cs="仿宋"/>
          <w:u w:val="single"/>
        </w:rPr>
        <w:t xml:space="preserve">（合同签订时填写）                             </w:t>
      </w:r>
    </w:p>
    <w:p w14:paraId="070FB273">
      <w:pPr>
        <w:pStyle w:val="8"/>
        <w:spacing w:line="500" w:lineRule="exact"/>
        <w:ind w:firstLine="48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（合同签订时填写）                            </w:t>
      </w:r>
    </w:p>
    <w:p w14:paraId="003D95E3">
      <w:pPr>
        <w:pStyle w:val="8"/>
        <w:spacing w:line="500" w:lineRule="exact"/>
        <w:ind w:firstLine="480" w:firstLineChars="200"/>
        <w:rPr>
          <w:rFonts w:ascii="仿宋" w:hAnsi="仿宋" w:eastAsia="仿宋" w:cs="仿宋"/>
        </w:rPr>
      </w:pPr>
      <w:r>
        <w:rPr>
          <w:rFonts w:hint="eastAsia" w:ascii="仿宋" w:hAnsi="仿宋" w:eastAsia="仿宋" w:cs="仿宋"/>
        </w:rPr>
        <w:t>项目联系人：</w:t>
      </w:r>
      <w:r>
        <w:rPr>
          <w:rFonts w:hint="eastAsia" w:ascii="仿宋" w:hAnsi="仿宋" w:eastAsia="仿宋" w:cs="仿宋"/>
          <w:u w:val="single"/>
        </w:rPr>
        <w:t xml:space="preserve">（合同签订时填写）                             </w:t>
      </w:r>
    </w:p>
    <w:p w14:paraId="55ABCA1B">
      <w:pPr>
        <w:pStyle w:val="8"/>
        <w:spacing w:line="500" w:lineRule="exact"/>
        <w:ind w:firstLine="480" w:firstLineChars="200"/>
        <w:rPr>
          <w:rFonts w:ascii="仿宋" w:hAnsi="仿宋" w:eastAsia="仿宋" w:cs="仿宋"/>
        </w:rPr>
      </w:pPr>
      <w:r>
        <w:rPr>
          <w:rFonts w:hint="eastAsia" w:ascii="仿宋" w:hAnsi="仿宋" w:eastAsia="仿宋" w:cs="仿宋"/>
        </w:rPr>
        <w:t>联系方式：</w:t>
      </w:r>
      <w:r>
        <w:rPr>
          <w:rFonts w:hint="eastAsia" w:ascii="仿宋" w:hAnsi="仿宋" w:eastAsia="仿宋" w:cs="仿宋"/>
          <w:u w:val="single"/>
        </w:rPr>
        <w:t xml:space="preserve">（合同签订时填写）                                </w:t>
      </w:r>
    </w:p>
    <w:p w14:paraId="3A7540D5">
      <w:pPr>
        <w:pStyle w:val="8"/>
        <w:spacing w:line="500" w:lineRule="exact"/>
        <w:ind w:firstLine="480" w:firstLineChars="200"/>
        <w:rPr>
          <w:rFonts w:ascii="仿宋" w:hAnsi="仿宋" w:eastAsia="仿宋" w:cs="仿宋"/>
        </w:rPr>
      </w:pPr>
      <w:r>
        <w:rPr>
          <w:rFonts w:hint="eastAsia" w:ascii="仿宋" w:hAnsi="仿宋" w:eastAsia="仿宋" w:cs="仿宋"/>
        </w:rPr>
        <w:t>通讯地址：</w:t>
      </w:r>
      <w:r>
        <w:rPr>
          <w:rFonts w:hint="eastAsia" w:ascii="仿宋" w:hAnsi="仿宋" w:eastAsia="仿宋" w:cs="仿宋"/>
          <w:u w:val="single"/>
        </w:rPr>
        <w:t xml:space="preserve">（合同签订时填写）                                 </w:t>
      </w:r>
    </w:p>
    <w:p w14:paraId="3F44F722">
      <w:pPr>
        <w:pStyle w:val="8"/>
        <w:tabs>
          <w:tab w:val="left" w:pos="5387"/>
        </w:tabs>
        <w:spacing w:line="500" w:lineRule="exact"/>
        <w:ind w:firstLine="480" w:firstLineChars="200"/>
        <w:rPr>
          <w:rFonts w:ascii="仿宋" w:hAnsi="仿宋" w:eastAsia="仿宋" w:cs="仿宋"/>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rPr>
        <w:t>传   真：</w:t>
      </w:r>
      <w:r>
        <w:rPr>
          <w:rFonts w:hint="eastAsia" w:ascii="仿宋" w:hAnsi="仿宋" w:eastAsia="仿宋" w:cs="仿宋"/>
          <w:u w:val="single"/>
        </w:rPr>
        <w:t xml:space="preserve">                    </w:t>
      </w:r>
    </w:p>
    <w:p w14:paraId="53C99F54">
      <w:pPr>
        <w:pStyle w:val="8"/>
        <w:spacing w:line="500" w:lineRule="exact"/>
        <w:ind w:firstLine="480" w:firstLineChars="200"/>
        <w:rPr>
          <w:rFonts w:ascii="仿宋" w:hAnsi="仿宋" w:eastAsia="仿宋" w:cs="仿宋"/>
          <w:u w:val="single"/>
        </w:rPr>
      </w:pPr>
      <w:r>
        <w:rPr>
          <w:rFonts w:hint="eastAsia" w:ascii="仿宋" w:hAnsi="仿宋" w:eastAsia="仿宋" w:cs="仿宋"/>
        </w:rPr>
        <w:t>手    机：</w:t>
      </w:r>
      <w:r>
        <w:rPr>
          <w:rFonts w:hint="eastAsia" w:ascii="仿宋" w:hAnsi="仿宋" w:eastAsia="仿宋" w:cs="仿宋"/>
          <w:u w:val="single"/>
        </w:rPr>
        <w:t xml:space="preserve">                </w:t>
      </w:r>
      <w:r>
        <w:rPr>
          <w:rFonts w:hint="eastAsia" w:ascii="仿宋" w:hAnsi="仿宋" w:eastAsia="仿宋" w:cs="仿宋"/>
        </w:rPr>
        <w:t>电子信箱：</w:t>
      </w:r>
      <w:r>
        <w:rPr>
          <w:rFonts w:hint="eastAsia" w:ascii="仿宋" w:hAnsi="仿宋" w:eastAsia="仿宋" w:cs="仿宋"/>
          <w:u w:val="single"/>
        </w:rPr>
        <w:t xml:space="preserve">                   </w:t>
      </w:r>
    </w:p>
    <w:p w14:paraId="78F23A65">
      <w:pPr>
        <w:pStyle w:val="8"/>
        <w:spacing w:line="500" w:lineRule="exact"/>
        <w:ind w:left="0" w:firstLine="523" w:firstLineChars="218"/>
        <w:rPr>
          <w:rFonts w:ascii="仿宋" w:hAnsi="仿宋" w:eastAsia="仿宋" w:cs="仿宋"/>
          <w:u w:val="single"/>
        </w:rPr>
      </w:pPr>
    </w:p>
    <w:p w14:paraId="7FB72F92">
      <w:pPr>
        <w:pStyle w:val="8"/>
        <w:spacing w:line="500" w:lineRule="exact"/>
        <w:ind w:firstLine="480" w:firstLineChars="200"/>
        <w:rPr>
          <w:rFonts w:ascii="仿宋" w:hAnsi="仿宋" w:eastAsia="仿宋" w:cs="仿宋"/>
          <w:u w:val="single"/>
        </w:rPr>
      </w:pPr>
      <w:r>
        <w:rPr>
          <w:rFonts w:hint="eastAsia" w:ascii="仿宋" w:hAnsi="仿宋" w:eastAsia="仿宋" w:cs="仿宋"/>
        </w:rPr>
        <w:t>乙方（受托方）：</w:t>
      </w:r>
      <w:r>
        <w:rPr>
          <w:rFonts w:hint="eastAsia" w:ascii="仿宋" w:hAnsi="仿宋" w:eastAsia="仿宋" w:cs="仿宋"/>
          <w:u w:val="single"/>
        </w:rPr>
        <w:t xml:space="preserve">                                       </w:t>
      </w:r>
    </w:p>
    <w:p w14:paraId="31A8F00C">
      <w:pPr>
        <w:pStyle w:val="8"/>
        <w:spacing w:line="500" w:lineRule="exact"/>
        <w:ind w:firstLine="480" w:firstLineChars="200"/>
        <w:rPr>
          <w:rFonts w:ascii="仿宋" w:hAnsi="仿宋" w:eastAsia="仿宋" w:cs="仿宋"/>
        </w:rPr>
      </w:pPr>
      <w:r>
        <w:rPr>
          <w:rFonts w:hint="eastAsia" w:ascii="仿宋" w:hAnsi="仿宋" w:eastAsia="仿宋" w:cs="仿宋"/>
        </w:rPr>
        <w:t>社会统一信用代码证：</w:t>
      </w:r>
    </w:p>
    <w:p w14:paraId="390DC783">
      <w:pPr>
        <w:pStyle w:val="8"/>
        <w:spacing w:line="500" w:lineRule="exact"/>
        <w:ind w:firstLine="480" w:firstLineChars="200"/>
        <w:rPr>
          <w:rFonts w:ascii="仿宋" w:hAnsi="仿宋" w:eastAsia="仿宋" w:cs="仿宋"/>
          <w:u w:val="single"/>
        </w:rPr>
      </w:pPr>
      <w:r>
        <w:rPr>
          <w:rFonts w:hint="eastAsia" w:ascii="仿宋" w:hAnsi="仿宋" w:eastAsia="仿宋" w:cs="仿宋"/>
        </w:rPr>
        <w:t>住  所  地：</w:t>
      </w:r>
      <w:r>
        <w:rPr>
          <w:rFonts w:hint="eastAsia" w:ascii="仿宋" w:hAnsi="仿宋" w:eastAsia="仿宋" w:cs="仿宋"/>
          <w:u w:val="single"/>
        </w:rPr>
        <w:t xml:space="preserve">                                          </w:t>
      </w:r>
    </w:p>
    <w:p w14:paraId="60ABCD8C">
      <w:pPr>
        <w:pStyle w:val="8"/>
        <w:spacing w:line="500" w:lineRule="exact"/>
        <w:ind w:firstLine="480" w:firstLineChars="200"/>
        <w:rPr>
          <w:rFonts w:ascii="仿宋" w:hAnsi="仿宋" w:eastAsia="仿宋" w:cs="仿宋"/>
          <w:u w:val="single"/>
        </w:rPr>
      </w:pPr>
      <w:r>
        <w:rPr>
          <w:rFonts w:hint="eastAsia" w:ascii="仿宋" w:hAnsi="仿宋" w:eastAsia="仿宋" w:cs="仿宋"/>
        </w:rPr>
        <w:t>法定代表人：</w:t>
      </w:r>
      <w:r>
        <w:rPr>
          <w:rFonts w:hint="eastAsia" w:ascii="仿宋" w:hAnsi="仿宋" w:eastAsia="仿宋" w:cs="仿宋"/>
          <w:u w:val="single"/>
        </w:rPr>
        <w:t xml:space="preserve">                                          </w:t>
      </w:r>
    </w:p>
    <w:p w14:paraId="39F94F59">
      <w:pPr>
        <w:pStyle w:val="8"/>
        <w:spacing w:line="500" w:lineRule="exact"/>
        <w:ind w:firstLine="480" w:firstLineChars="200"/>
        <w:rPr>
          <w:rFonts w:ascii="仿宋" w:hAnsi="仿宋" w:eastAsia="仿宋" w:cs="仿宋"/>
          <w:u w:val="single"/>
        </w:rPr>
      </w:pPr>
      <w:r>
        <w:rPr>
          <w:rFonts w:hint="eastAsia" w:ascii="仿宋" w:hAnsi="仿宋" w:eastAsia="仿宋" w:cs="仿宋"/>
        </w:rPr>
        <w:t>项目联系人：</w:t>
      </w:r>
      <w:r>
        <w:rPr>
          <w:rFonts w:hint="eastAsia" w:ascii="仿宋" w:hAnsi="仿宋" w:eastAsia="仿宋" w:cs="仿宋"/>
          <w:u w:val="single"/>
        </w:rPr>
        <w:t xml:space="preserve">                                          </w:t>
      </w:r>
    </w:p>
    <w:p w14:paraId="2C65DADB">
      <w:pPr>
        <w:pStyle w:val="8"/>
        <w:spacing w:line="500" w:lineRule="exact"/>
        <w:ind w:firstLine="480" w:firstLineChars="200"/>
        <w:rPr>
          <w:rFonts w:ascii="仿宋" w:hAnsi="仿宋" w:eastAsia="仿宋" w:cs="仿宋"/>
        </w:rPr>
      </w:pPr>
      <w:r>
        <w:rPr>
          <w:rFonts w:hint="eastAsia" w:ascii="仿宋" w:hAnsi="仿宋" w:eastAsia="仿宋" w:cs="仿宋"/>
        </w:rPr>
        <w:t xml:space="preserve">联系方式: </w:t>
      </w:r>
      <w:r>
        <w:rPr>
          <w:rFonts w:hint="eastAsia" w:ascii="仿宋" w:hAnsi="仿宋" w:eastAsia="仿宋" w:cs="仿宋"/>
          <w:u w:val="single"/>
        </w:rPr>
        <w:t xml:space="preserve">                                            </w:t>
      </w:r>
    </w:p>
    <w:p w14:paraId="5A89CF03">
      <w:pPr>
        <w:pStyle w:val="8"/>
        <w:spacing w:line="500" w:lineRule="exact"/>
        <w:ind w:firstLine="480" w:firstLineChars="200"/>
        <w:rPr>
          <w:rFonts w:ascii="仿宋" w:hAnsi="仿宋" w:eastAsia="仿宋" w:cs="仿宋"/>
          <w:u w:val="single"/>
        </w:rPr>
      </w:pPr>
      <w:r>
        <w:rPr>
          <w:rFonts w:hint="eastAsia" w:ascii="仿宋" w:hAnsi="仿宋" w:eastAsia="仿宋" w:cs="仿宋"/>
        </w:rPr>
        <w:t>通讯地址：</w:t>
      </w:r>
      <w:r>
        <w:rPr>
          <w:rFonts w:hint="eastAsia" w:ascii="仿宋" w:hAnsi="仿宋" w:eastAsia="仿宋" w:cs="仿宋"/>
          <w:u w:val="single"/>
        </w:rPr>
        <w:t xml:space="preserve">                                            </w:t>
      </w:r>
    </w:p>
    <w:p w14:paraId="73D77C8E">
      <w:pPr>
        <w:pStyle w:val="8"/>
        <w:spacing w:line="500" w:lineRule="exact"/>
        <w:ind w:firstLine="480" w:firstLineChars="200"/>
        <w:rPr>
          <w:rFonts w:ascii="仿宋" w:hAnsi="仿宋" w:eastAsia="仿宋" w:cs="仿宋"/>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rPr>
        <w:t>传   真：</w:t>
      </w:r>
      <w:r>
        <w:rPr>
          <w:rFonts w:hint="eastAsia" w:ascii="仿宋" w:hAnsi="仿宋" w:eastAsia="仿宋" w:cs="仿宋"/>
          <w:u w:val="single"/>
        </w:rPr>
        <w:t xml:space="preserve">                   </w:t>
      </w:r>
    </w:p>
    <w:p w14:paraId="2CD244F4">
      <w:pPr>
        <w:pStyle w:val="8"/>
        <w:spacing w:line="500" w:lineRule="exact"/>
        <w:ind w:firstLine="480" w:firstLineChars="200"/>
        <w:rPr>
          <w:rFonts w:ascii="仿宋" w:hAnsi="仿宋" w:eastAsia="仿宋" w:cs="仿宋"/>
          <w:u w:val="single"/>
        </w:rPr>
      </w:pPr>
      <w:r>
        <w:rPr>
          <w:rFonts w:hint="eastAsia" w:ascii="仿宋" w:hAnsi="仿宋" w:eastAsia="仿宋" w:cs="仿宋"/>
        </w:rPr>
        <w:t>手    机：</w:t>
      </w:r>
      <w:r>
        <w:rPr>
          <w:rFonts w:hint="eastAsia" w:ascii="仿宋" w:hAnsi="仿宋" w:eastAsia="仿宋" w:cs="仿宋"/>
          <w:u w:val="single"/>
        </w:rPr>
        <w:t xml:space="preserve">                </w:t>
      </w:r>
      <w:r>
        <w:rPr>
          <w:rFonts w:hint="eastAsia" w:ascii="仿宋" w:hAnsi="仿宋" w:eastAsia="仿宋" w:cs="仿宋"/>
        </w:rPr>
        <w:t>电子信箱：</w:t>
      </w:r>
      <w:r>
        <w:rPr>
          <w:rFonts w:hint="eastAsia" w:ascii="仿宋" w:hAnsi="仿宋" w:eastAsia="仿宋" w:cs="仿宋"/>
          <w:u w:val="single"/>
        </w:rPr>
        <w:t xml:space="preserve">                  </w:t>
      </w:r>
    </w:p>
    <w:p w14:paraId="19AC17BD">
      <w:pPr>
        <w:spacing w:line="360" w:lineRule="auto"/>
        <w:ind w:firstLine="404" w:firstLineChars="200"/>
        <w:jc w:val="left"/>
        <w:rPr>
          <w:rFonts w:ascii="仿宋" w:hAnsi="仿宋" w:eastAsia="仿宋" w:cs="仿宋"/>
          <w:sz w:val="24"/>
        </w:rPr>
      </w:pPr>
      <w:r>
        <w:rPr>
          <w:rFonts w:hint="eastAsia" w:ascii="仿宋" w:hAnsi="仿宋" w:eastAsia="仿宋" w:cs="仿宋"/>
          <w:spacing w:val="-9"/>
          <w:sz w:val="22"/>
          <w:szCs w:val="22"/>
        </w:rPr>
        <w:br w:type="page"/>
      </w:r>
      <w:r>
        <w:rPr>
          <w:rFonts w:hint="eastAsia" w:ascii="仿宋" w:hAnsi="仿宋" w:eastAsia="仿宋" w:cs="仿宋"/>
          <w:sz w:val="24"/>
        </w:rPr>
        <w:t>根据《中华人民共和国民法典》《建设工程质量检测管理办法》及其他法律、法规的规定，甲、乙双方就</w:t>
      </w:r>
      <w:r>
        <w:rPr>
          <w:rFonts w:hint="eastAsia" w:ascii="仿宋" w:hAnsi="仿宋" w:eastAsia="仿宋" w:cs="仿宋"/>
          <w:sz w:val="24"/>
          <w:u w:val="single"/>
        </w:rPr>
        <w:t>温州市龙湾中学教学综合楼建设项目第三方工程质量检测服务</w:t>
      </w:r>
      <w:r>
        <w:rPr>
          <w:rFonts w:hint="eastAsia" w:ascii="仿宋" w:hAnsi="仿宋" w:eastAsia="仿宋" w:cs="仿宋"/>
          <w:sz w:val="24"/>
        </w:rPr>
        <w:t>工作一事，经友好协商，在真实、充分地表达各自意愿的基础上，达成以下条款，以资共同遵守。</w:t>
      </w:r>
    </w:p>
    <w:tbl>
      <w:tblPr>
        <w:tblStyle w:val="16"/>
        <w:tblpPr w:leftFromText="180" w:rightFromText="180" w:vertAnchor="text" w:horzAnchor="page" w:tblpX="1506" w:tblpY="458"/>
        <w:tblOverlap w:val="never"/>
        <w:tblW w:w="89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0"/>
        <w:gridCol w:w="878"/>
        <w:gridCol w:w="810"/>
        <w:gridCol w:w="1468"/>
        <w:gridCol w:w="1417"/>
        <w:gridCol w:w="812"/>
        <w:gridCol w:w="1230"/>
        <w:gridCol w:w="890"/>
      </w:tblGrid>
      <w:tr w14:paraId="7506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80" w:type="dxa"/>
            <w:tcBorders>
              <w:top w:val="single" w:color="000000" w:sz="6" w:space="0"/>
              <w:left w:val="single" w:color="000000" w:sz="6" w:space="0"/>
              <w:bottom w:val="single" w:color="000000" w:sz="2" w:space="0"/>
              <w:right w:val="single" w:color="000000" w:sz="2" w:space="0"/>
            </w:tcBorders>
            <w:vAlign w:val="center"/>
          </w:tcPr>
          <w:p w14:paraId="7A1771FE">
            <w:pPr>
              <w:autoSpaceDE w:val="0"/>
              <w:jc w:val="center"/>
              <w:rPr>
                <w:rFonts w:ascii="仿宋" w:hAnsi="仿宋" w:eastAsia="仿宋" w:cs="仿宋"/>
                <w:sz w:val="24"/>
              </w:rPr>
            </w:pPr>
            <w:r>
              <w:rPr>
                <w:rFonts w:hint="eastAsia" w:ascii="仿宋" w:hAnsi="仿宋" w:eastAsia="仿宋" w:cs="仿宋"/>
                <w:sz w:val="24"/>
              </w:rPr>
              <w:t>工程名称</w:t>
            </w:r>
          </w:p>
        </w:tc>
        <w:tc>
          <w:tcPr>
            <w:tcW w:w="3156" w:type="dxa"/>
            <w:gridSpan w:val="3"/>
            <w:tcBorders>
              <w:top w:val="single" w:color="000000" w:sz="6" w:space="0"/>
              <w:left w:val="single" w:color="000000" w:sz="2" w:space="0"/>
              <w:bottom w:val="single" w:color="000000" w:sz="2" w:space="0"/>
              <w:right w:val="single" w:color="000000" w:sz="2" w:space="0"/>
            </w:tcBorders>
            <w:vAlign w:val="center"/>
          </w:tcPr>
          <w:p w14:paraId="707D1049">
            <w:pPr>
              <w:ind w:left="105" w:leftChars="50" w:right="105" w:rightChars="50"/>
              <w:jc w:val="left"/>
              <w:rPr>
                <w:rFonts w:ascii="仿宋" w:hAnsi="仿宋" w:eastAsia="仿宋" w:cs="仿宋"/>
                <w:sz w:val="24"/>
              </w:rPr>
            </w:pPr>
            <w:r>
              <w:rPr>
                <w:rFonts w:hint="eastAsia" w:ascii="仿宋" w:hAnsi="仿宋" w:eastAsia="仿宋" w:cs="仿宋"/>
                <w:sz w:val="24"/>
              </w:rPr>
              <w:t>温州市龙湾中学教学综合楼建设项目</w:t>
            </w:r>
          </w:p>
        </w:tc>
        <w:tc>
          <w:tcPr>
            <w:tcW w:w="1417" w:type="dxa"/>
            <w:tcBorders>
              <w:top w:val="single" w:color="000000" w:sz="6" w:space="0"/>
              <w:left w:val="single" w:color="000000" w:sz="2" w:space="0"/>
              <w:bottom w:val="single" w:color="000000" w:sz="2" w:space="0"/>
              <w:right w:val="single" w:color="000000" w:sz="2" w:space="0"/>
            </w:tcBorders>
            <w:vAlign w:val="center"/>
          </w:tcPr>
          <w:p w14:paraId="08E6B9D5">
            <w:pPr>
              <w:jc w:val="center"/>
              <w:rPr>
                <w:rFonts w:ascii="仿宋" w:hAnsi="仿宋" w:eastAsia="仿宋" w:cs="仿宋"/>
                <w:sz w:val="24"/>
              </w:rPr>
            </w:pPr>
            <w:r>
              <w:rPr>
                <w:rFonts w:hint="eastAsia" w:ascii="仿宋" w:hAnsi="仿宋" w:eastAsia="仿宋" w:cs="仿宋"/>
                <w:spacing w:val="-1"/>
                <w:sz w:val="24"/>
              </w:rPr>
              <w:t>监督注册号</w:t>
            </w:r>
          </w:p>
        </w:tc>
        <w:tc>
          <w:tcPr>
            <w:tcW w:w="2932" w:type="dxa"/>
            <w:gridSpan w:val="3"/>
            <w:tcBorders>
              <w:top w:val="single" w:color="000000" w:sz="6" w:space="0"/>
              <w:left w:val="single" w:color="000000" w:sz="2" w:space="0"/>
              <w:bottom w:val="single" w:color="000000" w:sz="2" w:space="0"/>
              <w:right w:val="single" w:color="000000" w:sz="6" w:space="0"/>
            </w:tcBorders>
            <w:vAlign w:val="center"/>
          </w:tcPr>
          <w:p w14:paraId="1673D6DB">
            <w:pPr>
              <w:ind w:left="105" w:leftChars="50" w:right="105" w:rightChars="50"/>
              <w:jc w:val="left"/>
              <w:rPr>
                <w:rFonts w:ascii="仿宋" w:hAnsi="仿宋" w:eastAsia="仿宋" w:cs="仿宋"/>
                <w:sz w:val="24"/>
              </w:rPr>
            </w:pPr>
          </w:p>
        </w:tc>
      </w:tr>
      <w:tr w14:paraId="4C95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80" w:type="dxa"/>
            <w:tcBorders>
              <w:top w:val="single" w:color="000000" w:sz="2" w:space="0"/>
              <w:left w:val="single" w:color="000000" w:sz="6" w:space="0"/>
              <w:bottom w:val="single" w:color="000000" w:sz="2" w:space="0"/>
              <w:right w:val="single" w:color="000000" w:sz="2" w:space="0"/>
            </w:tcBorders>
            <w:vAlign w:val="center"/>
          </w:tcPr>
          <w:p w14:paraId="0C941E74">
            <w:pPr>
              <w:autoSpaceDE w:val="0"/>
              <w:jc w:val="center"/>
              <w:rPr>
                <w:rFonts w:ascii="仿宋" w:hAnsi="仿宋" w:eastAsia="仿宋" w:cs="仿宋"/>
                <w:sz w:val="24"/>
              </w:rPr>
            </w:pPr>
            <w:r>
              <w:rPr>
                <w:rFonts w:hint="eastAsia" w:ascii="仿宋" w:hAnsi="仿宋" w:eastAsia="仿宋" w:cs="仿宋"/>
                <w:sz w:val="24"/>
              </w:rPr>
              <w:t>建设单位</w:t>
            </w:r>
          </w:p>
        </w:tc>
        <w:tc>
          <w:tcPr>
            <w:tcW w:w="3156" w:type="dxa"/>
            <w:gridSpan w:val="3"/>
            <w:tcBorders>
              <w:top w:val="single" w:color="000000" w:sz="2" w:space="0"/>
              <w:left w:val="single" w:color="000000" w:sz="2" w:space="0"/>
              <w:bottom w:val="single" w:color="000000" w:sz="2" w:space="0"/>
              <w:right w:val="single" w:color="000000" w:sz="2" w:space="0"/>
            </w:tcBorders>
            <w:vAlign w:val="center"/>
          </w:tcPr>
          <w:p w14:paraId="2960FF11">
            <w:pPr>
              <w:ind w:left="105" w:leftChars="50" w:right="105" w:rightChars="50"/>
              <w:jc w:val="left"/>
              <w:rPr>
                <w:rFonts w:ascii="仿宋" w:hAnsi="仿宋" w:eastAsia="仿宋" w:cs="仿宋"/>
                <w:sz w:val="24"/>
              </w:rPr>
            </w:pPr>
          </w:p>
        </w:tc>
        <w:tc>
          <w:tcPr>
            <w:tcW w:w="1417" w:type="dxa"/>
            <w:tcBorders>
              <w:top w:val="single" w:color="000000" w:sz="2" w:space="0"/>
              <w:left w:val="single" w:color="000000" w:sz="2" w:space="0"/>
              <w:bottom w:val="single" w:color="000000" w:sz="2" w:space="0"/>
              <w:right w:val="single" w:color="000000" w:sz="2" w:space="0"/>
            </w:tcBorders>
            <w:vAlign w:val="center"/>
          </w:tcPr>
          <w:p w14:paraId="0925E820">
            <w:pPr>
              <w:jc w:val="center"/>
              <w:rPr>
                <w:rFonts w:ascii="仿宋" w:hAnsi="仿宋" w:eastAsia="仿宋" w:cs="仿宋"/>
                <w:sz w:val="24"/>
              </w:rPr>
            </w:pPr>
            <w:r>
              <w:rPr>
                <w:rFonts w:hint="eastAsia" w:ascii="仿宋" w:hAnsi="仿宋" w:eastAsia="仿宋" w:cs="仿宋"/>
                <w:sz w:val="24"/>
              </w:rPr>
              <w:t>监理单位</w:t>
            </w:r>
          </w:p>
        </w:tc>
        <w:tc>
          <w:tcPr>
            <w:tcW w:w="2932" w:type="dxa"/>
            <w:gridSpan w:val="3"/>
            <w:tcBorders>
              <w:top w:val="single" w:color="000000" w:sz="2" w:space="0"/>
              <w:left w:val="single" w:color="000000" w:sz="2" w:space="0"/>
              <w:bottom w:val="single" w:color="000000" w:sz="2" w:space="0"/>
              <w:right w:val="single" w:color="000000" w:sz="6" w:space="0"/>
            </w:tcBorders>
            <w:vAlign w:val="center"/>
          </w:tcPr>
          <w:p w14:paraId="0E46C8E7">
            <w:pPr>
              <w:ind w:left="105" w:leftChars="50" w:right="105" w:rightChars="50"/>
              <w:jc w:val="left"/>
              <w:rPr>
                <w:rFonts w:ascii="仿宋" w:hAnsi="仿宋" w:eastAsia="仿宋" w:cs="仿宋"/>
                <w:sz w:val="24"/>
              </w:rPr>
            </w:pPr>
          </w:p>
        </w:tc>
      </w:tr>
      <w:tr w14:paraId="44F5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80" w:type="dxa"/>
            <w:tcBorders>
              <w:top w:val="single" w:color="000000" w:sz="2" w:space="0"/>
              <w:left w:val="single" w:color="000000" w:sz="6" w:space="0"/>
              <w:bottom w:val="single" w:color="000000" w:sz="2" w:space="0"/>
              <w:right w:val="single" w:color="000000" w:sz="2" w:space="0"/>
            </w:tcBorders>
            <w:vAlign w:val="center"/>
          </w:tcPr>
          <w:p w14:paraId="3164FFAA">
            <w:pPr>
              <w:autoSpaceDE w:val="0"/>
              <w:jc w:val="center"/>
              <w:rPr>
                <w:rFonts w:ascii="仿宋" w:hAnsi="仿宋" w:eastAsia="仿宋" w:cs="仿宋"/>
                <w:sz w:val="24"/>
              </w:rPr>
            </w:pPr>
            <w:r>
              <w:rPr>
                <w:rFonts w:hint="eastAsia" w:ascii="仿宋" w:hAnsi="仿宋" w:eastAsia="仿宋" w:cs="仿宋"/>
                <w:sz w:val="24"/>
              </w:rPr>
              <w:t>施工单位</w:t>
            </w:r>
          </w:p>
        </w:tc>
        <w:tc>
          <w:tcPr>
            <w:tcW w:w="3156" w:type="dxa"/>
            <w:gridSpan w:val="3"/>
            <w:tcBorders>
              <w:top w:val="single" w:color="000000" w:sz="2" w:space="0"/>
              <w:left w:val="single" w:color="000000" w:sz="2" w:space="0"/>
              <w:bottom w:val="single" w:color="000000" w:sz="2" w:space="0"/>
              <w:right w:val="single" w:color="000000" w:sz="2" w:space="0"/>
            </w:tcBorders>
            <w:vAlign w:val="center"/>
          </w:tcPr>
          <w:p w14:paraId="0AB0F3FA">
            <w:pPr>
              <w:ind w:left="105" w:leftChars="50" w:right="105" w:rightChars="50"/>
              <w:jc w:val="left"/>
              <w:rPr>
                <w:rFonts w:ascii="仿宋" w:hAnsi="仿宋" w:eastAsia="仿宋" w:cs="仿宋"/>
                <w:sz w:val="24"/>
              </w:rPr>
            </w:pPr>
          </w:p>
        </w:tc>
        <w:tc>
          <w:tcPr>
            <w:tcW w:w="1417" w:type="dxa"/>
            <w:tcBorders>
              <w:top w:val="single" w:color="000000" w:sz="2" w:space="0"/>
              <w:left w:val="single" w:color="000000" w:sz="2" w:space="0"/>
              <w:bottom w:val="single" w:color="000000" w:sz="2" w:space="0"/>
              <w:right w:val="single" w:color="000000" w:sz="2" w:space="0"/>
            </w:tcBorders>
            <w:vAlign w:val="center"/>
          </w:tcPr>
          <w:p w14:paraId="418C81C8">
            <w:pPr>
              <w:jc w:val="center"/>
              <w:rPr>
                <w:rFonts w:ascii="仿宋" w:hAnsi="仿宋" w:eastAsia="仿宋" w:cs="仿宋"/>
                <w:sz w:val="24"/>
              </w:rPr>
            </w:pPr>
            <w:r>
              <w:rPr>
                <w:rFonts w:hint="eastAsia" w:ascii="仿宋" w:hAnsi="仿宋" w:eastAsia="仿宋" w:cs="仿宋"/>
                <w:sz w:val="24"/>
              </w:rPr>
              <w:t>结构类型</w:t>
            </w:r>
          </w:p>
        </w:tc>
        <w:tc>
          <w:tcPr>
            <w:tcW w:w="2932" w:type="dxa"/>
            <w:gridSpan w:val="3"/>
            <w:tcBorders>
              <w:top w:val="single" w:color="000000" w:sz="2" w:space="0"/>
              <w:left w:val="single" w:color="000000" w:sz="2" w:space="0"/>
              <w:bottom w:val="single" w:color="000000" w:sz="2" w:space="0"/>
              <w:right w:val="single" w:color="000000" w:sz="6" w:space="0"/>
            </w:tcBorders>
            <w:vAlign w:val="center"/>
          </w:tcPr>
          <w:p w14:paraId="465BA5D4">
            <w:pPr>
              <w:ind w:left="105" w:leftChars="50" w:right="105" w:rightChars="50"/>
              <w:jc w:val="left"/>
              <w:rPr>
                <w:rFonts w:ascii="仿宋" w:hAnsi="仿宋" w:eastAsia="仿宋" w:cs="仿宋"/>
                <w:sz w:val="24"/>
              </w:rPr>
            </w:pPr>
          </w:p>
        </w:tc>
      </w:tr>
      <w:tr w14:paraId="64E4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80" w:type="dxa"/>
            <w:tcBorders>
              <w:top w:val="single" w:color="000000" w:sz="2" w:space="0"/>
              <w:left w:val="single" w:color="000000" w:sz="6" w:space="0"/>
              <w:bottom w:val="single" w:color="000000" w:sz="2" w:space="0"/>
              <w:right w:val="single" w:color="000000" w:sz="2" w:space="0"/>
            </w:tcBorders>
            <w:vAlign w:val="center"/>
          </w:tcPr>
          <w:p w14:paraId="1DA7BEB2">
            <w:pPr>
              <w:autoSpaceDE w:val="0"/>
              <w:jc w:val="center"/>
              <w:rPr>
                <w:rFonts w:ascii="仿宋" w:hAnsi="仿宋" w:eastAsia="仿宋" w:cs="仿宋"/>
                <w:sz w:val="24"/>
              </w:rPr>
            </w:pPr>
            <w:r>
              <w:rPr>
                <w:rFonts w:hint="eastAsia" w:ascii="仿宋" w:hAnsi="仿宋" w:eastAsia="仿宋" w:cs="仿宋"/>
                <w:sz w:val="24"/>
              </w:rPr>
              <w:t>工程造价</w:t>
            </w:r>
          </w:p>
        </w:tc>
        <w:tc>
          <w:tcPr>
            <w:tcW w:w="3156" w:type="dxa"/>
            <w:gridSpan w:val="3"/>
            <w:tcBorders>
              <w:top w:val="single" w:color="000000" w:sz="2" w:space="0"/>
              <w:left w:val="single" w:color="000000" w:sz="2" w:space="0"/>
              <w:bottom w:val="single" w:color="000000" w:sz="2" w:space="0"/>
              <w:right w:val="single" w:color="000000" w:sz="2" w:space="0"/>
            </w:tcBorders>
            <w:vAlign w:val="center"/>
          </w:tcPr>
          <w:p w14:paraId="474B76EC">
            <w:pPr>
              <w:ind w:firstLine="600"/>
              <w:jc w:val="center"/>
              <w:rPr>
                <w:rFonts w:ascii="仿宋" w:hAnsi="仿宋" w:eastAsia="仿宋" w:cs="仿宋"/>
                <w:sz w:val="24"/>
              </w:rPr>
            </w:pPr>
            <w:r>
              <w:rPr>
                <w:rFonts w:hint="eastAsia" w:ascii="仿宋" w:hAnsi="仿宋" w:eastAsia="仿宋" w:cs="仿宋"/>
                <w:sz w:val="24"/>
              </w:rPr>
              <w:t>万元</w:t>
            </w:r>
          </w:p>
        </w:tc>
        <w:tc>
          <w:tcPr>
            <w:tcW w:w="1417" w:type="dxa"/>
            <w:tcBorders>
              <w:top w:val="single" w:color="000000" w:sz="2" w:space="0"/>
              <w:left w:val="single" w:color="000000" w:sz="2" w:space="0"/>
              <w:bottom w:val="single" w:color="000000" w:sz="2" w:space="0"/>
              <w:right w:val="single" w:color="000000" w:sz="2" w:space="0"/>
            </w:tcBorders>
            <w:vAlign w:val="center"/>
          </w:tcPr>
          <w:p w14:paraId="351E27C8">
            <w:pPr>
              <w:jc w:val="center"/>
              <w:rPr>
                <w:rFonts w:ascii="仿宋" w:hAnsi="仿宋" w:eastAsia="仿宋" w:cs="仿宋"/>
                <w:sz w:val="24"/>
              </w:rPr>
            </w:pPr>
            <w:r>
              <w:rPr>
                <w:rFonts w:hint="eastAsia" w:ascii="仿宋" w:hAnsi="仿宋" w:eastAsia="仿宋" w:cs="仿宋"/>
                <w:sz w:val="24"/>
              </w:rPr>
              <w:t>建筑面积</w:t>
            </w:r>
          </w:p>
        </w:tc>
        <w:tc>
          <w:tcPr>
            <w:tcW w:w="2932" w:type="dxa"/>
            <w:gridSpan w:val="3"/>
            <w:tcBorders>
              <w:top w:val="single" w:color="000000" w:sz="2" w:space="0"/>
              <w:left w:val="single" w:color="000000" w:sz="2" w:space="0"/>
              <w:bottom w:val="single" w:color="000000" w:sz="2" w:space="0"/>
              <w:right w:val="single" w:color="000000" w:sz="6" w:space="0"/>
            </w:tcBorders>
            <w:vAlign w:val="center"/>
          </w:tcPr>
          <w:p w14:paraId="60E8FAA5">
            <w:pPr>
              <w:ind w:firstLine="600"/>
              <w:jc w:val="center"/>
              <w:rPr>
                <w:rFonts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r>
      <w:tr w14:paraId="5809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80" w:type="dxa"/>
            <w:tcBorders>
              <w:top w:val="single" w:color="000000" w:sz="2" w:space="0"/>
              <w:left w:val="single" w:color="000000" w:sz="6" w:space="0"/>
              <w:bottom w:val="single" w:color="000000" w:sz="2" w:space="0"/>
              <w:right w:val="single" w:color="000000" w:sz="2" w:space="0"/>
            </w:tcBorders>
            <w:vAlign w:val="center"/>
          </w:tcPr>
          <w:p w14:paraId="2E37A0BF">
            <w:pPr>
              <w:autoSpaceDE w:val="0"/>
              <w:jc w:val="center"/>
              <w:rPr>
                <w:rFonts w:ascii="仿宋" w:hAnsi="仿宋" w:eastAsia="仿宋" w:cs="仿宋"/>
                <w:sz w:val="24"/>
              </w:rPr>
            </w:pPr>
            <w:r>
              <w:rPr>
                <w:rFonts w:hint="eastAsia" w:ascii="仿宋" w:hAnsi="仿宋" w:eastAsia="仿宋" w:cs="仿宋"/>
                <w:sz w:val="24"/>
              </w:rPr>
              <w:t>工程概况</w:t>
            </w:r>
          </w:p>
        </w:tc>
        <w:tc>
          <w:tcPr>
            <w:tcW w:w="7505" w:type="dxa"/>
            <w:gridSpan w:val="7"/>
            <w:tcBorders>
              <w:top w:val="single" w:color="000000" w:sz="2" w:space="0"/>
              <w:left w:val="single" w:color="000000" w:sz="2" w:space="0"/>
              <w:bottom w:val="single" w:color="000000" w:sz="2" w:space="0"/>
              <w:right w:val="single" w:color="000000" w:sz="6" w:space="0"/>
            </w:tcBorders>
            <w:vAlign w:val="center"/>
          </w:tcPr>
          <w:p w14:paraId="271E7F61">
            <w:pPr>
              <w:ind w:left="105" w:leftChars="50" w:right="105" w:rightChars="50"/>
              <w:jc w:val="left"/>
              <w:rPr>
                <w:rFonts w:ascii="仿宋" w:hAnsi="仿宋" w:eastAsia="仿宋" w:cs="仿宋"/>
                <w:sz w:val="24"/>
              </w:rPr>
            </w:pPr>
          </w:p>
        </w:tc>
      </w:tr>
      <w:tr w14:paraId="562B3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480" w:type="dxa"/>
            <w:tcBorders>
              <w:top w:val="single" w:color="000000" w:sz="2" w:space="0"/>
              <w:left w:val="single" w:color="000000" w:sz="6" w:space="0"/>
              <w:bottom w:val="single" w:color="000000" w:sz="2" w:space="0"/>
              <w:right w:val="single" w:color="000000" w:sz="2" w:space="0"/>
            </w:tcBorders>
            <w:vAlign w:val="center"/>
          </w:tcPr>
          <w:p w14:paraId="7B5BF921">
            <w:pPr>
              <w:autoSpaceDE w:val="0"/>
              <w:jc w:val="center"/>
              <w:rPr>
                <w:rFonts w:ascii="仿宋" w:hAnsi="仿宋" w:eastAsia="仿宋" w:cs="仿宋"/>
                <w:sz w:val="24"/>
              </w:rPr>
            </w:pPr>
            <w:r>
              <w:rPr>
                <w:rFonts w:hint="eastAsia" w:ascii="仿宋" w:hAnsi="仿宋" w:eastAsia="仿宋" w:cs="仿宋"/>
                <w:sz w:val="24"/>
              </w:rPr>
              <w:t>见证人员</w:t>
            </w:r>
          </w:p>
        </w:tc>
        <w:tc>
          <w:tcPr>
            <w:tcW w:w="878" w:type="dxa"/>
            <w:tcBorders>
              <w:top w:val="single" w:color="000000" w:sz="2" w:space="0"/>
              <w:left w:val="single" w:color="000000" w:sz="2" w:space="0"/>
              <w:bottom w:val="single" w:color="000000" w:sz="2" w:space="0"/>
              <w:right w:val="single" w:color="000000" w:sz="2" w:space="0"/>
            </w:tcBorders>
            <w:vAlign w:val="center"/>
          </w:tcPr>
          <w:p w14:paraId="127173C8">
            <w:pPr>
              <w:ind w:firstLine="600"/>
              <w:jc w:val="center"/>
              <w:rPr>
                <w:rFonts w:ascii="仿宋" w:hAnsi="仿宋" w:eastAsia="仿宋" w:cs="仿宋"/>
                <w:sz w:val="24"/>
              </w:rPr>
            </w:pPr>
          </w:p>
        </w:tc>
        <w:tc>
          <w:tcPr>
            <w:tcW w:w="810" w:type="dxa"/>
            <w:tcBorders>
              <w:top w:val="single" w:color="000000" w:sz="2" w:space="0"/>
              <w:left w:val="single" w:color="000000" w:sz="2" w:space="0"/>
              <w:bottom w:val="single" w:color="000000" w:sz="2" w:space="0"/>
              <w:right w:val="single" w:color="000000" w:sz="2" w:space="0"/>
            </w:tcBorders>
            <w:vAlign w:val="center"/>
          </w:tcPr>
          <w:p w14:paraId="25737ED3">
            <w:pPr>
              <w:jc w:val="center"/>
              <w:rPr>
                <w:rFonts w:ascii="仿宋" w:hAnsi="仿宋" w:eastAsia="仿宋" w:cs="仿宋"/>
                <w:sz w:val="24"/>
              </w:rPr>
            </w:pPr>
            <w:r>
              <w:rPr>
                <w:rFonts w:hint="eastAsia" w:ascii="仿宋" w:hAnsi="仿宋" w:eastAsia="仿宋" w:cs="仿宋"/>
                <w:spacing w:val="-4"/>
                <w:sz w:val="24"/>
              </w:rPr>
              <w:t>电话</w:t>
            </w:r>
          </w:p>
        </w:tc>
        <w:tc>
          <w:tcPr>
            <w:tcW w:w="1468" w:type="dxa"/>
            <w:tcBorders>
              <w:top w:val="single" w:color="000000" w:sz="2" w:space="0"/>
              <w:left w:val="single" w:color="000000" w:sz="2" w:space="0"/>
              <w:bottom w:val="single" w:color="000000" w:sz="2" w:space="0"/>
              <w:right w:val="single" w:color="000000" w:sz="2" w:space="0"/>
            </w:tcBorders>
            <w:vAlign w:val="center"/>
          </w:tcPr>
          <w:p w14:paraId="5AD51CD9">
            <w:pPr>
              <w:ind w:firstLine="600"/>
              <w:jc w:val="center"/>
              <w:rPr>
                <w:rFonts w:ascii="仿宋" w:hAnsi="仿宋" w:eastAsia="仿宋" w:cs="仿宋"/>
                <w:sz w:val="24"/>
              </w:rPr>
            </w:pPr>
          </w:p>
        </w:tc>
        <w:tc>
          <w:tcPr>
            <w:tcW w:w="1417" w:type="dxa"/>
            <w:tcBorders>
              <w:top w:val="single" w:color="000000" w:sz="2" w:space="0"/>
              <w:left w:val="single" w:color="000000" w:sz="2" w:space="0"/>
              <w:bottom w:val="single" w:color="000000" w:sz="2" w:space="0"/>
              <w:right w:val="single" w:color="000000" w:sz="2" w:space="0"/>
            </w:tcBorders>
            <w:vAlign w:val="center"/>
          </w:tcPr>
          <w:p w14:paraId="3CC09383">
            <w:pPr>
              <w:jc w:val="center"/>
              <w:rPr>
                <w:rFonts w:ascii="仿宋" w:hAnsi="仿宋" w:eastAsia="仿宋" w:cs="仿宋"/>
                <w:sz w:val="24"/>
              </w:rPr>
            </w:pPr>
            <w:r>
              <w:rPr>
                <w:rFonts w:hint="eastAsia" w:ascii="仿宋" w:hAnsi="仿宋" w:eastAsia="仿宋" w:cs="仿宋"/>
                <w:sz w:val="24"/>
              </w:rPr>
              <w:t>见证员号</w:t>
            </w:r>
          </w:p>
        </w:tc>
        <w:tc>
          <w:tcPr>
            <w:tcW w:w="2932" w:type="dxa"/>
            <w:gridSpan w:val="3"/>
            <w:tcBorders>
              <w:top w:val="single" w:color="000000" w:sz="2" w:space="0"/>
              <w:left w:val="single" w:color="000000" w:sz="2" w:space="0"/>
              <w:bottom w:val="single" w:color="000000" w:sz="2" w:space="0"/>
              <w:right w:val="single" w:color="000000" w:sz="6" w:space="0"/>
            </w:tcBorders>
            <w:vAlign w:val="center"/>
          </w:tcPr>
          <w:p w14:paraId="42E7EAE5">
            <w:pPr>
              <w:ind w:firstLine="600"/>
              <w:jc w:val="center"/>
              <w:rPr>
                <w:rFonts w:ascii="仿宋" w:hAnsi="仿宋" w:eastAsia="仿宋" w:cs="仿宋"/>
                <w:sz w:val="24"/>
              </w:rPr>
            </w:pPr>
          </w:p>
        </w:tc>
      </w:tr>
      <w:tr w14:paraId="4AA7D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trPr>
        <w:tc>
          <w:tcPr>
            <w:tcW w:w="1480" w:type="dxa"/>
            <w:tcBorders>
              <w:top w:val="single" w:color="000000" w:sz="2" w:space="0"/>
              <w:left w:val="single" w:color="000000" w:sz="6" w:space="0"/>
              <w:bottom w:val="single" w:color="000000" w:sz="2" w:space="0"/>
              <w:right w:val="single" w:color="000000" w:sz="2" w:space="0"/>
            </w:tcBorders>
            <w:vAlign w:val="center"/>
          </w:tcPr>
          <w:p w14:paraId="533748E3">
            <w:pPr>
              <w:autoSpaceDE w:val="0"/>
              <w:jc w:val="center"/>
              <w:rPr>
                <w:rFonts w:ascii="仿宋" w:hAnsi="仿宋" w:eastAsia="仿宋" w:cs="仿宋"/>
                <w:spacing w:val="-3"/>
                <w:sz w:val="24"/>
              </w:rPr>
            </w:pPr>
            <w:r>
              <w:rPr>
                <w:rFonts w:hint="eastAsia" w:ascii="仿宋" w:hAnsi="仿宋" w:eastAsia="仿宋" w:cs="仿宋"/>
                <w:spacing w:val="-3"/>
                <w:sz w:val="24"/>
              </w:rPr>
              <w:t>施工方联系人</w:t>
            </w:r>
          </w:p>
        </w:tc>
        <w:tc>
          <w:tcPr>
            <w:tcW w:w="878" w:type="dxa"/>
            <w:tcBorders>
              <w:top w:val="single" w:color="000000" w:sz="2" w:space="0"/>
              <w:left w:val="single" w:color="000000" w:sz="2" w:space="0"/>
              <w:bottom w:val="single" w:color="000000" w:sz="2" w:space="0"/>
              <w:right w:val="single" w:color="000000" w:sz="2" w:space="0"/>
            </w:tcBorders>
            <w:vAlign w:val="center"/>
          </w:tcPr>
          <w:p w14:paraId="0AF3FEAA">
            <w:pPr>
              <w:autoSpaceDE w:val="0"/>
              <w:jc w:val="center"/>
              <w:rPr>
                <w:rFonts w:ascii="仿宋" w:hAnsi="仿宋" w:eastAsia="仿宋" w:cs="仿宋"/>
                <w:sz w:val="24"/>
              </w:rPr>
            </w:pPr>
          </w:p>
        </w:tc>
        <w:tc>
          <w:tcPr>
            <w:tcW w:w="810" w:type="dxa"/>
            <w:tcBorders>
              <w:top w:val="single" w:color="000000" w:sz="2" w:space="0"/>
              <w:left w:val="single" w:color="000000" w:sz="2" w:space="0"/>
              <w:bottom w:val="single" w:color="000000" w:sz="2" w:space="0"/>
              <w:right w:val="single" w:color="000000" w:sz="2" w:space="0"/>
            </w:tcBorders>
            <w:vAlign w:val="center"/>
          </w:tcPr>
          <w:p w14:paraId="4D7D7D33">
            <w:pPr>
              <w:autoSpaceDE w:val="0"/>
              <w:jc w:val="center"/>
              <w:rPr>
                <w:rFonts w:ascii="仿宋" w:hAnsi="仿宋" w:eastAsia="仿宋" w:cs="仿宋"/>
                <w:sz w:val="24"/>
              </w:rPr>
            </w:pPr>
            <w:r>
              <w:rPr>
                <w:rFonts w:hint="eastAsia" w:ascii="仿宋" w:hAnsi="仿宋" w:eastAsia="仿宋" w:cs="仿宋"/>
                <w:sz w:val="24"/>
              </w:rPr>
              <w:t>电话</w:t>
            </w:r>
          </w:p>
        </w:tc>
        <w:tc>
          <w:tcPr>
            <w:tcW w:w="1468" w:type="dxa"/>
            <w:tcBorders>
              <w:top w:val="single" w:color="000000" w:sz="2" w:space="0"/>
              <w:left w:val="single" w:color="000000" w:sz="2" w:space="0"/>
              <w:bottom w:val="single" w:color="000000" w:sz="2" w:space="0"/>
              <w:right w:val="single" w:color="000000" w:sz="2" w:space="0"/>
            </w:tcBorders>
            <w:vAlign w:val="center"/>
          </w:tcPr>
          <w:p w14:paraId="6238E544">
            <w:pPr>
              <w:autoSpaceDE w:val="0"/>
              <w:jc w:val="center"/>
              <w:rPr>
                <w:rFonts w:ascii="仿宋" w:hAnsi="仿宋" w:eastAsia="仿宋" w:cs="仿宋"/>
                <w:sz w:val="24"/>
              </w:rPr>
            </w:pPr>
          </w:p>
        </w:tc>
        <w:tc>
          <w:tcPr>
            <w:tcW w:w="1417" w:type="dxa"/>
            <w:tcBorders>
              <w:top w:val="single" w:color="000000" w:sz="2" w:space="0"/>
              <w:left w:val="single" w:color="000000" w:sz="2" w:space="0"/>
              <w:bottom w:val="single" w:color="000000" w:sz="2" w:space="0"/>
              <w:right w:val="single" w:color="000000" w:sz="2" w:space="0"/>
            </w:tcBorders>
            <w:vAlign w:val="center"/>
          </w:tcPr>
          <w:p w14:paraId="3BC05671">
            <w:pPr>
              <w:autoSpaceDE w:val="0"/>
              <w:jc w:val="center"/>
              <w:rPr>
                <w:rFonts w:ascii="仿宋" w:hAnsi="仿宋" w:eastAsia="仿宋" w:cs="仿宋"/>
                <w:sz w:val="24"/>
              </w:rPr>
            </w:pPr>
            <w:r>
              <w:rPr>
                <w:rFonts w:hint="eastAsia" w:ascii="仿宋" w:hAnsi="仿宋" w:eastAsia="仿宋" w:cs="仿宋"/>
                <w:sz w:val="24"/>
              </w:rPr>
              <w:t>通信地址</w:t>
            </w:r>
          </w:p>
        </w:tc>
        <w:tc>
          <w:tcPr>
            <w:tcW w:w="812" w:type="dxa"/>
            <w:tcBorders>
              <w:top w:val="single" w:color="000000" w:sz="2" w:space="0"/>
              <w:left w:val="single" w:color="000000" w:sz="2" w:space="0"/>
              <w:bottom w:val="single" w:color="000000" w:sz="2" w:space="0"/>
              <w:right w:val="single" w:color="000000" w:sz="2" w:space="0"/>
            </w:tcBorders>
            <w:vAlign w:val="center"/>
          </w:tcPr>
          <w:p w14:paraId="5CC106BD">
            <w:pPr>
              <w:autoSpaceDE w:val="0"/>
              <w:jc w:val="center"/>
              <w:rPr>
                <w:rFonts w:ascii="仿宋" w:hAnsi="仿宋" w:eastAsia="仿宋" w:cs="仿宋"/>
                <w:sz w:val="24"/>
              </w:rPr>
            </w:pPr>
          </w:p>
        </w:tc>
        <w:tc>
          <w:tcPr>
            <w:tcW w:w="1230" w:type="dxa"/>
            <w:tcBorders>
              <w:top w:val="single" w:color="000000" w:sz="2" w:space="0"/>
              <w:left w:val="single" w:color="000000" w:sz="2" w:space="0"/>
              <w:bottom w:val="single" w:color="000000" w:sz="2" w:space="0"/>
              <w:right w:val="single" w:color="000000" w:sz="2" w:space="0"/>
            </w:tcBorders>
            <w:vAlign w:val="center"/>
          </w:tcPr>
          <w:p w14:paraId="742C6AC1">
            <w:pPr>
              <w:autoSpaceDE w:val="0"/>
              <w:jc w:val="center"/>
              <w:rPr>
                <w:rFonts w:ascii="仿宋" w:hAnsi="仿宋" w:eastAsia="仿宋" w:cs="仿宋"/>
                <w:spacing w:val="-3"/>
                <w:sz w:val="24"/>
              </w:rPr>
            </w:pPr>
            <w:r>
              <w:rPr>
                <w:rFonts w:hint="eastAsia" w:ascii="仿宋" w:hAnsi="仿宋" w:eastAsia="仿宋" w:cs="仿宋"/>
                <w:spacing w:val="-3"/>
                <w:sz w:val="24"/>
              </w:rPr>
              <w:t>通信邮箱</w:t>
            </w:r>
          </w:p>
        </w:tc>
        <w:tc>
          <w:tcPr>
            <w:tcW w:w="890" w:type="dxa"/>
            <w:tcBorders>
              <w:top w:val="single" w:color="000000" w:sz="2" w:space="0"/>
              <w:left w:val="single" w:color="000000" w:sz="2" w:space="0"/>
              <w:bottom w:val="single" w:color="000000" w:sz="2" w:space="0"/>
              <w:right w:val="single" w:color="000000" w:sz="6" w:space="0"/>
            </w:tcBorders>
            <w:vAlign w:val="center"/>
          </w:tcPr>
          <w:p w14:paraId="6708761B">
            <w:pPr>
              <w:autoSpaceDE w:val="0"/>
              <w:jc w:val="center"/>
              <w:rPr>
                <w:rFonts w:ascii="仿宋" w:hAnsi="仿宋" w:eastAsia="仿宋" w:cs="仿宋"/>
                <w:sz w:val="24"/>
              </w:rPr>
            </w:pPr>
          </w:p>
        </w:tc>
      </w:tr>
    </w:tbl>
    <w:p w14:paraId="24F1DBF9">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一、工程基本信息</w:t>
      </w:r>
    </w:p>
    <w:p w14:paraId="6D90AA28">
      <w:pPr>
        <w:spacing w:line="500" w:lineRule="exact"/>
        <w:ind w:firstLine="480" w:firstLineChars="200"/>
        <w:rPr>
          <w:rFonts w:ascii="仿宋" w:hAnsi="仿宋" w:eastAsia="仿宋" w:cs="仿宋"/>
          <w:sz w:val="24"/>
          <w:szCs w:val="32"/>
        </w:rPr>
      </w:pPr>
      <w:r>
        <w:rPr>
          <w:rFonts w:hint="eastAsia" w:ascii="仿宋" w:hAnsi="仿宋" w:eastAsia="仿宋" w:cs="仿宋"/>
          <w:sz w:val="24"/>
          <w:szCs w:val="32"/>
        </w:rPr>
        <w:t>1.1本招标项目位于</w:t>
      </w:r>
      <w:r>
        <w:rPr>
          <w:rFonts w:hint="eastAsia" w:ascii="仿宋" w:hAnsi="仿宋" w:eastAsia="仿宋" w:cs="仿宋"/>
          <w:sz w:val="24"/>
          <w:szCs w:val="32"/>
          <w:u w:val="single"/>
        </w:rPr>
        <w:t>本项目位于温州市龙湾中学校园内（原校园二期预留发展用地），施工区域总建设用地面积7964.92平方米。</w:t>
      </w:r>
    </w:p>
    <w:p w14:paraId="61DCC467">
      <w:pPr>
        <w:spacing w:line="500" w:lineRule="exact"/>
        <w:ind w:firstLine="480" w:firstLineChars="200"/>
        <w:rPr>
          <w:rFonts w:ascii="仿宋" w:hAnsi="仿宋" w:eastAsia="仿宋" w:cs="仿宋"/>
          <w:sz w:val="24"/>
          <w:szCs w:val="32"/>
          <w:u w:val="single"/>
        </w:rPr>
      </w:pPr>
      <w:r>
        <w:rPr>
          <w:rFonts w:hint="eastAsia" w:ascii="仿宋" w:hAnsi="仿宋" w:eastAsia="仿宋" w:cs="仿宋"/>
          <w:sz w:val="24"/>
          <w:szCs w:val="32"/>
        </w:rPr>
        <w:t>1.2建设规模：</w:t>
      </w:r>
      <w:r>
        <w:rPr>
          <w:rFonts w:hint="eastAsia" w:ascii="仿宋" w:hAnsi="仿宋" w:eastAsia="仿宋" w:cs="仿宋"/>
          <w:sz w:val="24"/>
          <w:szCs w:val="32"/>
          <w:u w:val="single"/>
        </w:rPr>
        <w:t>本项目概算总投资7149.40万元，其中工程费用 6261.87万元。项目新建地上建筑面积8689.86平方米（教学用房4669.29平方米、教师办公用房309.84平方米，教职工及学生厕所256.85平方米、配电房120.57平方米、楼梯及公共空间3333.31平方米）；新建地下建筑面积4215.20平方米（不含消防水池179.02平方米）。</w:t>
      </w:r>
    </w:p>
    <w:p w14:paraId="6D6797A1">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二、检测内容与技术要求</w:t>
      </w:r>
    </w:p>
    <w:p w14:paraId="3A30F120">
      <w:pPr>
        <w:spacing w:line="360" w:lineRule="auto"/>
        <w:ind w:firstLine="566"/>
        <w:rPr>
          <w:rFonts w:ascii="仿宋" w:hAnsi="仿宋" w:eastAsia="仿宋" w:cs="仿宋"/>
          <w:sz w:val="24"/>
        </w:rPr>
      </w:pPr>
      <w:r>
        <w:rPr>
          <w:rFonts w:hint="eastAsia" w:ascii="仿宋" w:hAnsi="仿宋" w:eastAsia="仿宋" w:cs="仿宋"/>
          <w:b/>
          <w:sz w:val="24"/>
        </w:rPr>
        <w:t>（一）</w:t>
      </w:r>
      <w:r>
        <w:rPr>
          <w:rFonts w:hint="eastAsia" w:ascii="仿宋" w:hAnsi="仿宋" w:eastAsia="仿宋" w:cs="仿宋"/>
          <w:sz w:val="24"/>
        </w:rPr>
        <w:t>检测项目类别：包括但不限于本项目采购文件第三部分采购需求附件1在内的检测项目、以及其他满足温州市龙湾中学教学综合楼建设项目竣工验收所必需的所有检测项目。</w:t>
      </w:r>
    </w:p>
    <w:p w14:paraId="029F395D">
      <w:pPr>
        <w:spacing w:line="360" w:lineRule="auto"/>
        <w:ind w:firstLine="566"/>
        <w:rPr>
          <w:rFonts w:ascii="仿宋" w:hAnsi="仿宋" w:eastAsia="仿宋" w:cs="仿宋"/>
          <w:sz w:val="24"/>
        </w:rPr>
      </w:pPr>
      <w:r>
        <w:rPr>
          <w:rFonts w:hint="eastAsia" w:ascii="仿宋" w:hAnsi="仿宋" w:eastAsia="仿宋" w:cs="仿宋"/>
          <w:b/>
          <w:sz w:val="24"/>
        </w:rPr>
        <w:t>（二）</w:t>
      </w:r>
      <w:r>
        <w:rPr>
          <w:rFonts w:hint="eastAsia" w:ascii="仿宋" w:hAnsi="仿宋" w:eastAsia="仿宋" w:cs="仿宋"/>
          <w:sz w:val="24"/>
        </w:rPr>
        <w:t>主要检测项目：包括但不限于本项目采购文件第三部分采购需求附件1在内的检测项目、以及其他满足温州市龙湾中学教学综合楼建设项目竣工验收所必需的所有检测项目。</w:t>
      </w:r>
    </w:p>
    <w:p w14:paraId="31684501">
      <w:pPr>
        <w:spacing w:line="360" w:lineRule="auto"/>
        <w:ind w:firstLine="566"/>
        <w:rPr>
          <w:rFonts w:ascii="仿宋" w:hAnsi="仿宋" w:eastAsia="仿宋" w:cs="仿宋"/>
          <w:sz w:val="24"/>
        </w:rPr>
      </w:pPr>
      <w:r>
        <w:rPr>
          <w:rFonts w:hint="eastAsia" w:ascii="仿宋" w:hAnsi="仿宋" w:eastAsia="仿宋" w:cs="仿宋"/>
          <w:b/>
          <w:sz w:val="24"/>
        </w:rPr>
        <w:t>（三）</w:t>
      </w:r>
      <w:r>
        <w:rPr>
          <w:rFonts w:hint="eastAsia" w:ascii="仿宋" w:hAnsi="仿宋" w:eastAsia="仿宋" w:cs="仿宋"/>
          <w:sz w:val="24"/>
        </w:rPr>
        <w:t>检测依据：根据相关标准规范、设计文件要求等，以委托单约定为准。</w:t>
      </w:r>
    </w:p>
    <w:p w14:paraId="082C1541">
      <w:pPr>
        <w:spacing w:line="360" w:lineRule="auto"/>
        <w:ind w:firstLine="566"/>
        <w:rPr>
          <w:rFonts w:ascii="仿宋" w:hAnsi="仿宋" w:eastAsia="仿宋" w:cs="仿宋"/>
          <w:sz w:val="24"/>
        </w:rPr>
      </w:pPr>
      <w:r>
        <w:rPr>
          <w:rFonts w:hint="eastAsia" w:ascii="仿宋" w:hAnsi="仿宋" w:eastAsia="仿宋" w:cs="仿宋"/>
          <w:b/>
          <w:sz w:val="24"/>
        </w:rPr>
        <w:t>（四）</w:t>
      </w:r>
      <w:r>
        <w:rPr>
          <w:rFonts w:hint="eastAsia" w:ascii="仿宋" w:hAnsi="仿宋" w:eastAsia="仿宋" w:cs="仿宋"/>
          <w:sz w:val="24"/>
        </w:rPr>
        <w:t>检测数量：包括但不限于采购文件第三部分采购需求附件1在内的检测项目，以及其他满足温州市龙湾中学教学综合楼建设项目竣工验收所必需的所有检测项目，相关项目的检测数量和频次应满足规范要求。</w:t>
      </w:r>
    </w:p>
    <w:p w14:paraId="1E381996">
      <w:pPr>
        <w:spacing w:line="360" w:lineRule="auto"/>
        <w:ind w:firstLine="566"/>
        <w:rPr>
          <w:rFonts w:ascii="仿宋" w:hAnsi="仿宋" w:eastAsia="仿宋" w:cs="仿宋"/>
          <w:sz w:val="24"/>
        </w:rPr>
      </w:pPr>
      <w:r>
        <w:rPr>
          <w:rFonts w:hint="eastAsia" w:ascii="仿宋" w:hAnsi="仿宋" w:eastAsia="仿宋" w:cs="仿宋"/>
          <w:b/>
          <w:sz w:val="24"/>
        </w:rPr>
        <w:t>（五）</w:t>
      </w:r>
      <w:r>
        <w:rPr>
          <w:rFonts w:hint="eastAsia" w:ascii="仿宋" w:hAnsi="仿宋" w:eastAsia="仿宋" w:cs="仿宋"/>
          <w:sz w:val="24"/>
        </w:rPr>
        <w:t>检测价格：详见“六、合同价款和支付方式”。</w:t>
      </w:r>
    </w:p>
    <w:p w14:paraId="693A4118">
      <w:pPr>
        <w:spacing w:line="360" w:lineRule="auto"/>
        <w:ind w:firstLine="566"/>
        <w:rPr>
          <w:rFonts w:ascii="仿宋" w:hAnsi="仿宋" w:eastAsia="仿宋" w:cs="仿宋"/>
          <w:sz w:val="24"/>
        </w:rPr>
      </w:pPr>
      <w:r>
        <w:rPr>
          <w:rFonts w:hint="eastAsia" w:ascii="仿宋" w:hAnsi="仿宋" w:eastAsia="仿宋" w:cs="仿宋"/>
          <w:b/>
          <w:sz w:val="24"/>
        </w:rPr>
        <w:t>（六）</w:t>
      </w:r>
      <w:r>
        <w:rPr>
          <w:rFonts w:hint="eastAsia" w:ascii="仿宋" w:hAnsi="仿宋" w:eastAsia="仿宋" w:cs="仿宋"/>
          <w:sz w:val="24"/>
        </w:rPr>
        <w:t>技术要求(包含但不限于)：</w:t>
      </w:r>
    </w:p>
    <w:p w14:paraId="7AE018FF">
      <w:pPr>
        <w:spacing w:line="360" w:lineRule="auto"/>
        <w:ind w:firstLine="566"/>
        <w:rPr>
          <w:rFonts w:ascii="仿宋" w:hAnsi="仿宋" w:eastAsia="仿宋" w:cs="仿宋"/>
          <w:sz w:val="24"/>
        </w:rPr>
      </w:pPr>
      <w:r>
        <w:rPr>
          <w:rFonts w:hint="eastAsia" w:ascii="仿宋" w:hAnsi="仿宋" w:eastAsia="仿宋" w:cs="仿宋"/>
          <w:sz w:val="24"/>
        </w:rPr>
        <w:t>1、《建设工程质量管理条例》</w:t>
      </w:r>
    </w:p>
    <w:p w14:paraId="022BE255">
      <w:pPr>
        <w:spacing w:line="360" w:lineRule="auto"/>
        <w:ind w:firstLine="566"/>
        <w:rPr>
          <w:rFonts w:ascii="仿宋" w:hAnsi="仿宋" w:eastAsia="仿宋" w:cs="仿宋"/>
          <w:sz w:val="24"/>
        </w:rPr>
      </w:pPr>
      <w:r>
        <w:rPr>
          <w:rFonts w:hint="eastAsia" w:ascii="仿宋" w:hAnsi="仿宋" w:eastAsia="仿宋" w:cs="仿宋"/>
          <w:sz w:val="24"/>
        </w:rPr>
        <w:t>2、《建设工程质量检测管理办法》（住房和城乡建设部令第57号）</w:t>
      </w:r>
    </w:p>
    <w:p w14:paraId="6896755F">
      <w:pPr>
        <w:spacing w:line="360" w:lineRule="auto"/>
        <w:ind w:firstLine="566"/>
        <w:rPr>
          <w:rFonts w:ascii="仿宋" w:hAnsi="仿宋" w:eastAsia="仿宋" w:cs="仿宋"/>
          <w:sz w:val="24"/>
        </w:rPr>
      </w:pPr>
      <w:r>
        <w:rPr>
          <w:rFonts w:hint="eastAsia" w:ascii="仿宋" w:hAnsi="仿宋" w:eastAsia="仿宋" w:cs="仿宋"/>
          <w:sz w:val="24"/>
        </w:rPr>
        <w:t>3、《浙江省建设工程质量检测管理实施细则》（浙建【2023】12号）</w:t>
      </w:r>
    </w:p>
    <w:p w14:paraId="6F21BAF1">
      <w:pPr>
        <w:spacing w:line="360" w:lineRule="auto"/>
        <w:ind w:firstLine="566"/>
        <w:rPr>
          <w:rFonts w:ascii="仿宋" w:hAnsi="仿宋" w:eastAsia="仿宋" w:cs="仿宋"/>
          <w:sz w:val="24"/>
        </w:rPr>
      </w:pPr>
      <w:r>
        <w:rPr>
          <w:rFonts w:hint="eastAsia" w:ascii="仿宋" w:hAnsi="仿宋" w:eastAsia="仿宋" w:cs="仿宋"/>
          <w:sz w:val="24"/>
        </w:rPr>
        <w:t>4、《民用建筑工程室内环境污染控制标准》GB 50325-2020</w:t>
      </w:r>
    </w:p>
    <w:p w14:paraId="7C0DA2F0">
      <w:pPr>
        <w:spacing w:line="360" w:lineRule="auto"/>
        <w:ind w:firstLine="566"/>
        <w:rPr>
          <w:rFonts w:ascii="仿宋" w:hAnsi="仿宋" w:eastAsia="仿宋" w:cs="仿宋"/>
          <w:sz w:val="24"/>
        </w:rPr>
      </w:pPr>
      <w:r>
        <w:rPr>
          <w:rFonts w:hint="eastAsia" w:ascii="仿宋" w:hAnsi="仿宋" w:eastAsia="仿宋" w:cs="仿宋"/>
          <w:sz w:val="24"/>
        </w:rPr>
        <w:t>5、《城市道路照明涉及标准》CJJ 45-2015</w:t>
      </w:r>
    </w:p>
    <w:p w14:paraId="3230C6E7">
      <w:pPr>
        <w:spacing w:line="360" w:lineRule="auto"/>
        <w:ind w:firstLine="566"/>
        <w:rPr>
          <w:rFonts w:ascii="仿宋" w:hAnsi="仿宋" w:eastAsia="仿宋" w:cs="仿宋"/>
          <w:sz w:val="24"/>
        </w:rPr>
      </w:pPr>
      <w:r>
        <w:rPr>
          <w:rFonts w:hint="eastAsia" w:ascii="仿宋" w:hAnsi="仿宋" w:eastAsia="仿宋" w:cs="仿宋"/>
          <w:sz w:val="24"/>
        </w:rPr>
        <w:t>6、《建筑采光设计标准》GB 50033</w:t>
      </w:r>
    </w:p>
    <w:p w14:paraId="144B4D2F">
      <w:pPr>
        <w:spacing w:line="360" w:lineRule="auto"/>
        <w:ind w:firstLine="566"/>
        <w:rPr>
          <w:rFonts w:ascii="仿宋" w:hAnsi="仿宋" w:eastAsia="仿宋" w:cs="仿宋"/>
          <w:sz w:val="24"/>
        </w:rPr>
      </w:pPr>
      <w:r>
        <w:rPr>
          <w:rFonts w:hint="eastAsia" w:ascii="仿宋" w:hAnsi="仿宋" w:eastAsia="仿宋" w:cs="仿宋"/>
          <w:sz w:val="24"/>
        </w:rPr>
        <w:t>7、《建筑幕墙、门窗通用技术条件》GB/T 31433</w:t>
      </w:r>
    </w:p>
    <w:p w14:paraId="27DCBF92">
      <w:pPr>
        <w:spacing w:line="360" w:lineRule="auto"/>
        <w:ind w:firstLine="566"/>
        <w:rPr>
          <w:rFonts w:ascii="仿宋" w:hAnsi="仿宋" w:eastAsia="仿宋" w:cs="仿宋"/>
          <w:sz w:val="24"/>
        </w:rPr>
      </w:pPr>
      <w:r>
        <w:rPr>
          <w:rFonts w:hint="eastAsia" w:ascii="仿宋" w:hAnsi="仿宋" w:eastAsia="仿宋" w:cs="仿宋"/>
          <w:sz w:val="24"/>
        </w:rPr>
        <w:t>8、《室内空气质量标准》GB/T 18883</w:t>
      </w:r>
    </w:p>
    <w:p w14:paraId="5AAE000E">
      <w:pPr>
        <w:spacing w:line="360" w:lineRule="auto"/>
        <w:ind w:firstLine="566"/>
        <w:rPr>
          <w:rFonts w:ascii="仿宋" w:hAnsi="仿宋" w:eastAsia="仿宋" w:cs="仿宋"/>
          <w:sz w:val="24"/>
        </w:rPr>
      </w:pPr>
      <w:r>
        <w:rPr>
          <w:rFonts w:hint="eastAsia" w:ascii="仿宋" w:hAnsi="仿宋" w:eastAsia="仿宋" w:cs="仿宋"/>
          <w:sz w:val="24"/>
        </w:rPr>
        <w:t>9、《建筑地面工程防滑技术规程》JGJ/T 331</w:t>
      </w:r>
    </w:p>
    <w:p w14:paraId="604505E1">
      <w:pPr>
        <w:spacing w:line="360" w:lineRule="auto"/>
        <w:ind w:firstLine="566"/>
        <w:rPr>
          <w:rFonts w:ascii="仿宋" w:hAnsi="仿宋" w:eastAsia="仿宋" w:cs="仿宋"/>
          <w:sz w:val="24"/>
        </w:rPr>
      </w:pPr>
      <w:r>
        <w:rPr>
          <w:rFonts w:hint="eastAsia" w:ascii="仿宋" w:hAnsi="仿宋" w:eastAsia="仿宋" w:cs="仿宋"/>
          <w:sz w:val="24"/>
        </w:rPr>
        <w:t>10、《声环境质量标准》GB 3096</w:t>
      </w:r>
    </w:p>
    <w:p w14:paraId="52FF7F0D">
      <w:pPr>
        <w:spacing w:line="360" w:lineRule="auto"/>
        <w:ind w:firstLine="566"/>
        <w:rPr>
          <w:rFonts w:ascii="仿宋" w:hAnsi="仿宋" w:eastAsia="仿宋" w:cs="仿宋"/>
          <w:sz w:val="24"/>
        </w:rPr>
      </w:pPr>
      <w:r>
        <w:rPr>
          <w:rFonts w:hint="eastAsia" w:ascii="仿宋" w:hAnsi="仿宋" w:eastAsia="仿宋" w:cs="仿宋"/>
          <w:sz w:val="24"/>
        </w:rPr>
        <w:t>11、《民用建筑隔声设计规范》GB 50118</w:t>
      </w:r>
    </w:p>
    <w:p w14:paraId="2EB9E84C">
      <w:pPr>
        <w:spacing w:line="360" w:lineRule="auto"/>
        <w:ind w:firstLine="566"/>
        <w:rPr>
          <w:rFonts w:ascii="仿宋" w:hAnsi="仿宋" w:eastAsia="仿宋" w:cs="仿宋"/>
          <w:sz w:val="24"/>
        </w:rPr>
      </w:pPr>
      <w:r>
        <w:rPr>
          <w:rFonts w:hint="eastAsia" w:ascii="仿宋" w:hAnsi="仿宋" w:eastAsia="仿宋" w:cs="仿宋"/>
          <w:sz w:val="24"/>
        </w:rPr>
        <w:t>12、《剧场、电影院和多用途厅堂建筑声学设计规范》GB/T 50356</w:t>
      </w:r>
    </w:p>
    <w:p w14:paraId="2D116588">
      <w:pPr>
        <w:spacing w:line="360" w:lineRule="auto"/>
        <w:ind w:firstLine="566"/>
        <w:rPr>
          <w:rFonts w:ascii="仿宋" w:hAnsi="仿宋" w:eastAsia="仿宋" w:cs="仿宋"/>
          <w:sz w:val="24"/>
        </w:rPr>
      </w:pPr>
      <w:r>
        <w:rPr>
          <w:rFonts w:hint="eastAsia" w:ascii="仿宋" w:hAnsi="仿宋" w:eastAsia="仿宋" w:cs="仿宋"/>
          <w:sz w:val="24"/>
        </w:rPr>
        <w:t>13、《生活饮用水卫生标准》GB 5749</w:t>
      </w:r>
    </w:p>
    <w:p w14:paraId="0F70D58C">
      <w:pPr>
        <w:spacing w:line="360" w:lineRule="auto"/>
        <w:ind w:firstLine="566"/>
        <w:rPr>
          <w:rFonts w:ascii="仿宋" w:hAnsi="仿宋" w:eastAsia="仿宋" w:cs="仿宋"/>
          <w:sz w:val="24"/>
        </w:rPr>
      </w:pPr>
      <w:r>
        <w:rPr>
          <w:rFonts w:hint="eastAsia" w:ascii="仿宋" w:hAnsi="仿宋" w:eastAsia="仿宋" w:cs="仿宋"/>
          <w:sz w:val="24"/>
        </w:rPr>
        <w:t>14、《二次供水设施卫生规范》GB 17051；</w:t>
      </w:r>
    </w:p>
    <w:p w14:paraId="76BD05BE">
      <w:pPr>
        <w:spacing w:line="360" w:lineRule="auto"/>
        <w:ind w:firstLine="566"/>
        <w:rPr>
          <w:rFonts w:ascii="仿宋" w:hAnsi="仿宋" w:eastAsia="仿宋" w:cs="仿宋"/>
          <w:sz w:val="24"/>
        </w:rPr>
      </w:pPr>
      <w:r>
        <w:rPr>
          <w:rFonts w:hint="eastAsia" w:ascii="仿宋" w:hAnsi="仿宋" w:eastAsia="仿宋" w:cs="仿宋"/>
          <w:sz w:val="24"/>
        </w:rPr>
        <w:t>15、《饮用净水水质标准》CJ 94等现行饮用净水相关水质标准和设备标准</w:t>
      </w:r>
    </w:p>
    <w:p w14:paraId="4C923878">
      <w:pPr>
        <w:spacing w:line="360" w:lineRule="auto"/>
        <w:ind w:firstLine="566"/>
        <w:rPr>
          <w:rFonts w:ascii="仿宋" w:hAnsi="仿宋" w:eastAsia="仿宋" w:cs="仿宋"/>
          <w:sz w:val="24"/>
        </w:rPr>
      </w:pPr>
      <w:r>
        <w:rPr>
          <w:rFonts w:hint="eastAsia" w:ascii="仿宋" w:hAnsi="仿宋" w:eastAsia="仿宋" w:cs="仿宋"/>
          <w:sz w:val="24"/>
        </w:rPr>
        <w:t>16、《城市污水再生利用 城市杂用水水质》GB/T 18920</w:t>
      </w:r>
    </w:p>
    <w:p w14:paraId="208D238B">
      <w:pPr>
        <w:spacing w:line="360" w:lineRule="auto"/>
        <w:ind w:firstLine="566"/>
        <w:rPr>
          <w:rFonts w:ascii="仿宋" w:hAnsi="仿宋" w:eastAsia="仿宋" w:cs="仿宋"/>
          <w:sz w:val="24"/>
        </w:rPr>
      </w:pPr>
      <w:r>
        <w:rPr>
          <w:rFonts w:hint="eastAsia" w:ascii="仿宋" w:hAnsi="仿宋" w:eastAsia="仿宋" w:cs="仿宋"/>
          <w:sz w:val="24"/>
        </w:rPr>
        <w:t>17、《城市污水再生利用 绿地灌溉水质》GB/T 25499</w:t>
      </w:r>
    </w:p>
    <w:p w14:paraId="61995E11">
      <w:pPr>
        <w:spacing w:line="360" w:lineRule="auto"/>
        <w:ind w:firstLine="566"/>
        <w:rPr>
          <w:rFonts w:ascii="仿宋" w:hAnsi="仿宋" w:eastAsia="仿宋" w:cs="仿宋"/>
          <w:sz w:val="24"/>
        </w:rPr>
      </w:pPr>
      <w:r>
        <w:rPr>
          <w:rFonts w:hint="eastAsia" w:ascii="仿宋" w:hAnsi="仿宋" w:eastAsia="仿宋" w:cs="仿宋"/>
          <w:sz w:val="24"/>
        </w:rPr>
        <w:t>18、《城市污水再生利用 景观环境用水水质》GB/T 18921等城市污水再生利用系列标准；</w:t>
      </w:r>
    </w:p>
    <w:p w14:paraId="53BA9275">
      <w:pPr>
        <w:spacing w:line="360" w:lineRule="auto"/>
        <w:ind w:firstLine="566"/>
        <w:rPr>
          <w:rFonts w:ascii="仿宋" w:hAnsi="仿宋" w:eastAsia="仿宋" w:cs="仿宋"/>
          <w:sz w:val="24"/>
        </w:rPr>
      </w:pPr>
      <w:r>
        <w:rPr>
          <w:rFonts w:hint="eastAsia" w:ascii="仿宋" w:hAnsi="仿宋" w:eastAsia="仿宋" w:cs="仿宋"/>
          <w:sz w:val="24"/>
        </w:rPr>
        <w:t>19、《生活饮用水卫生标准》GB 5749</w:t>
      </w:r>
    </w:p>
    <w:p w14:paraId="37917C01">
      <w:pPr>
        <w:spacing w:line="360" w:lineRule="auto"/>
        <w:ind w:firstLine="566"/>
        <w:rPr>
          <w:rFonts w:ascii="仿宋" w:hAnsi="仿宋" w:eastAsia="仿宋" w:cs="仿宋"/>
          <w:sz w:val="24"/>
        </w:rPr>
      </w:pPr>
      <w:r>
        <w:rPr>
          <w:rFonts w:hint="eastAsia" w:ascii="仿宋" w:hAnsi="仿宋" w:eastAsia="仿宋" w:cs="仿宋"/>
          <w:sz w:val="24"/>
        </w:rPr>
        <w:t>20、《生活热水水质标准》CJ/T 521；</w:t>
      </w:r>
    </w:p>
    <w:p w14:paraId="634F029C">
      <w:pPr>
        <w:spacing w:line="360" w:lineRule="auto"/>
        <w:ind w:firstLine="566"/>
        <w:rPr>
          <w:rFonts w:ascii="仿宋" w:hAnsi="仿宋" w:eastAsia="仿宋" w:cs="仿宋"/>
          <w:sz w:val="24"/>
        </w:rPr>
      </w:pPr>
      <w:r>
        <w:rPr>
          <w:rFonts w:hint="eastAsia" w:ascii="仿宋" w:hAnsi="仿宋" w:eastAsia="仿宋" w:cs="仿宋"/>
          <w:sz w:val="24"/>
        </w:rPr>
        <w:t>21、《近零能耗建筑测评标准》T/CABEE 003</w:t>
      </w:r>
    </w:p>
    <w:p w14:paraId="6924091D">
      <w:pPr>
        <w:spacing w:line="360" w:lineRule="auto"/>
        <w:ind w:firstLine="566"/>
        <w:rPr>
          <w:rFonts w:ascii="仿宋" w:hAnsi="仿宋" w:eastAsia="仿宋" w:cs="仿宋"/>
          <w:sz w:val="24"/>
        </w:rPr>
      </w:pPr>
      <w:r>
        <w:rPr>
          <w:rFonts w:hint="eastAsia" w:ascii="仿宋" w:hAnsi="仿宋" w:eastAsia="仿宋" w:cs="仿宋"/>
          <w:sz w:val="24"/>
        </w:rPr>
        <w:t>22、《近零能耗建筑检测评价标准》T/CECS 740</w:t>
      </w:r>
    </w:p>
    <w:p w14:paraId="267E93B3">
      <w:pPr>
        <w:spacing w:line="360" w:lineRule="auto"/>
        <w:ind w:firstLine="566"/>
        <w:rPr>
          <w:rFonts w:ascii="仿宋" w:hAnsi="仿宋" w:eastAsia="仿宋" w:cs="仿宋"/>
          <w:sz w:val="24"/>
        </w:rPr>
      </w:pPr>
      <w:r>
        <w:rPr>
          <w:rFonts w:hint="eastAsia" w:ascii="仿宋" w:hAnsi="仿宋" w:eastAsia="仿宋" w:cs="仿宋"/>
          <w:sz w:val="24"/>
        </w:rPr>
        <w:t>23、《近零能耗建筑技术标准》GB/T 51350</w:t>
      </w:r>
    </w:p>
    <w:p w14:paraId="60F4FEA9">
      <w:pPr>
        <w:spacing w:line="360" w:lineRule="auto"/>
        <w:ind w:firstLine="566"/>
        <w:rPr>
          <w:rFonts w:ascii="仿宋" w:hAnsi="仿宋" w:eastAsia="仿宋" w:cs="仿宋"/>
          <w:sz w:val="24"/>
        </w:rPr>
      </w:pPr>
      <w:r>
        <w:rPr>
          <w:rFonts w:hint="eastAsia" w:ascii="仿宋" w:hAnsi="仿宋" w:eastAsia="仿宋" w:cs="仿宋"/>
          <w:sz w:val="24"/>
        </w:rPr>
        <w:t>24、其他相关国家规范、规程及标准；</w:t>
      </w:r>
    </w:p>
    <w:p w14:paraId="31DA81EC">
      <w:pPr>
        <w:spacing w:line="360" w:lineRule="auto"/>
        <w:ind w:firstLine="566"/>
        <w:rPr>
          <w:rFonts w:ascii="仿宋" w:hAnsi="仿宋" w:eastAsia="仿宋" w:cs="仿宋"/>
          <w:sz w:val="24"/>
        </w:rPr>
      </w:pPr>
      <w:r>
        <w:rPr>
          <w:rFonts w:hint="eastAsia" w:ascii="仿宋" w:hAnsi="仿宋" w:eastAsia="仿宋" w:cs="仿宋"/>
          <w:sz w:val="24"/>
        </w:rPr>
        <w:t>25、招标单位提出的招标范围内的标准要求等。</w:t>
      </w:r>
    </w:p>
    <w:p w14:paraId="26B6FD1F">
      <w:pPr>
        <w:spacing w:line="360" w:lineRule="auto"/>
        <w:ind w:firstLine="566"/>
        <w:rPr>
          <w:rFonts w:ascii="仿宋" w:hAnsi="仿宋" w:eastAsia="仿宋" w:cs="仿宋"/>
          <w:sz w:val="24"/>
        </w:rPr>
      </w:pPr>
      <w:r>
        <w:rPr>
          <w:rFonts w:hint="eastAsia" w:ascii="仿宋" w:hAnsi="仿宋" w:eastAsia="仿宋" w:cs="仿宋"/>
          <w:sz w:val="24"/>
        </w:rPr>
        <w:t>18、中华人民共和国及浙江省、温州市、及行业的其他最新法规、规范、技术标准、技术条件等的要求。</w:t>
      </w:r>
    </w:p>
    <w:p w14:paraId="5519658D">
      <w:pPr>
        <w:spacing w:line="360" w:lineRule="auto"/>
        <w:ind w:firstLine="566"/>
        <w:rPr>
          <w:rFonts w:ascii="仿宋" w:hAnsi="仿宋" w:eastAsia="仿宋" w:cs="仿宋"/>
          <w:sz w:val="24"/>
        </w:rPr>
      </w:pPr>
      <w:r>
        <w:rPr>
          <w:rFonts w:hint="eastAsia" w:ascii="仿宋" w:hAnsi="仿宋" w:eastAsia="仿宋" w:cs="仿宋"/>
          <w:sz w:val="24"/>
        </w:rPr>
        <w:t>19、本工程设计图纸。</w:t>
      </w:r>
    </w:p>
    <w:p w14:paraId="4A59C384">
      <w:pPr>
        <w:pStyle w:val="11"/>
        <w:rPr>
          <w:rFonts w:eastAsia="仿宋"/>
        </w:rPr>
      </w:pPr>
      <w:r>
        <w:rPr>
          <w:rFonts w:hint="eastAsia" w:ascii="仿宋" w:hAnsi="仿宋" w:eastAsia="仿宋" w:cs="仿宋"/>
          <w:sz w:val="24"/>
        </w:rPr>
        <w:t>20、本项目采购文件及投标文件。</w:t>
      </w:r>
    </w:p>
    <w:p w14:paraId="70AE6B01">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三、双方的主要义务</w:t>
      </w:r>
    </w:p>
    <w:p w14:paraId="6E4BED36">
      <w:pPr>
        <w:spacing w:line="360" w:lineRule="auto"/>
        <w:ind w:firstLine="566"/>
        <w:rPr>
          <w:rFonts w:ascii="仿宋" w:hAnsi="仿宋" w:eastAsia="仿宋" w:cs="仿宋"/>
          <w:b/>
          <w:sz w:val="24"/>
        </w:rPr>
      </w:pPr>
      <w:r>
        <w:rPr>
          <w:rFonts w:hint="eastAsia" w:ascii="仿宋" w:hAnsi="仿宋" w:eastAsia="仿宋" w:cs="仿宋"/>
          <w:b/>
          <w:sz w:val="24"/>
        </w:rPr>
        <w:t>（一）甲方的主要义务：</w:t>
      </w:r>
    </w:p>
    <w:p w14:paraId="71D82787">
      <w:pPr>
        <w:spacing w:line="360" w:lineRule="auto"/>
        <w:ind w:firstLine="564"/>
        <w:rPr>
          <w:rFonts w:ascii="仿宋" w:hAnsi="仿宋" w:eastAsia="仿宋" w:cs="仿宋"/>
          <w:sz w:val="24"/>
        </w:rPr>
      </w:pPr>
      <w:r>
        <w:rPr>
          <w:rFonts w:hint="eastAsia" w:ascii="仿宋" w:hAnsi="仿宋" w:eastAsia="仿宋" w:cs="仿宋"/>
          <w:sz w:val="24"/>
        </w:rPr>
        <w:t>1. 授权（可为多人）姓名：</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，为现场检测联络代表，全权负责与乙方联系检测事宜。当本合同中相关信息及检测项目发生变化时，甲方应在三日内书面告知乙方办理合同变更手续。</w:t>
      </w:r>
    </w:p>
    <w:p w14:paraId="0C714A13">
      <w:pPr>
        <w:spacing w:line="360" w:lineRule="auto"/>
        <w:ind w:firstLine="564"/>
        <w:rPr>
          <w:rFonts w:ascii="仿宋" w:hAnsi="仿宋" w:eastAsia="仿宋" w:cs="仿宋"/>
          <w:sz w:val="24"/>
        </w:rPr>
      </w:pPr>
      <w:r>
        <w:rPr>
          <w:rFonts w:hint="eastAsia" w:ascii="仿宋" w:hAnsi="仿宋" w:eastAsia="仿宋" w:cs="仿宋"/>
          <w:sz w:val="24"/>
        </w:rPr>
        <w:t>2. 按照标准规范和相关要求进行检测，并保证数据的真实性。</w:t>
      </w:r>
    </w:p>
    <w:p w14:paraId="71338142">
      <w:pPr>
        <w:spacing w:line="360" w:lineRule="auto"/>
        <w:ind w:firstLine="564"/>
        <w:rPr>
          <w:rFonts w:ascii="仿宋" w:hAnsi="仿宋" w:eastAsia="仿宋" w:cs="仿宋"/>
          <w:sz w:val="24"/>
        </w:rPr>
      </w:pPr>
      <w:r>
        <w:rPr>
          <w:rFonts w:hint="eastAsia" w:ascii="仿宋" w:hAnsi="仿宋" w:eastAsia="仿宋" w:cs="仿宋"/>
          <w:sz w:val="24"/>
        </w:rPr>
        <w:t>3. 现场检测时，检测条件要具备相关规定要求并提供必要的协助。</w:t>
      </w:r>
    </w:p>
    <w:p w14:paraId="5FF2B052">
      <w:pPr>
        <w:spacing w:line="360" w:lineRule="auto"/>
        <w:ind w:firstLine="564"/>
        <w:rPr>
          <w:rFonts w:ascii="仿宋" w:hAnsi="仿宋" w:eastAsia="仿宋" w:cs="仿宋"/>
          <w:sz w:val="24"/>
        </w:rPr>
      </w:pPr>
      <w:r>
        <w:rPr>
          <w:rFonts w:hint="eastAsia" w:ascii="仿宋" w:hAnsi="仿宋" w:eastAsia="仿宋" w:cs="仿宋"/>
          <w:sz w:val="24"/>
        </w:rPr>
        <w:t>4. 甲方负责提供检测所需的设计文件及变更文件等相关资料，并负责协调、联系、接洽相关的检测工作。</w:t>
      </w:r>
    </w:p>
    <w:p w14:paraId="7C6310A1">
      <w:pPr>
        <w:spacing w:line="360" w:lineRule="auto"/>
        <w:ind w:firstLine="564"/>
        <w:rPr>
          <w:rFonts w:ascii="仿宋" w:hAnsi="仿宋" w:eastAsia="仿宋" w:cs="仿宋"/>
          <w:sz w:val="24"/>
        </w:rPr>
      </w:pPr>
      <w:r>
        <w:rPr>
          <w:rFonts w:hint="eastAsia" w:ascii="仿宋" w:hAnsi="仿宋" w:eastAsia="仿宋" w:cs="仿宋"/>
          <w:sz w:val="24"/>
        </w:rPr>
        <w:t>5. 甲方不得以任何方式干预乙方检测工作的公正性。</w:t>
      </w:r>
    </w:p>
    <w:p w14:paraId="7F81DE54">
      <w:pPr>
        <w:spacing w:line="360" w:lineRule="auto"/>
        <w:ind w:firstLine="564"/>
        <w:rPr>
          <w:rFonts w:ascii="仿宋" w:hAnsi="仿宋" w:eastAsia="仿宋" w:cs="仿宋"/>
          <w:sz w:val="24"/>
        </w:rPr>
      </w:pPr>
      <w:r>
        <w:rPr>
          <w:rFonts w:hint="eastAsia" w:ascii="仿宋" w:hAnsi="仿宋" w:eastAsia="仿宋" w:cs="仿宋"/>
          <w:sz w:val="24"/>
        </w:rPr>
        <w:t>6. 甲方不得以任何方式要求乙方出具虚假检测报告。</w:t>
      </w:r>
    </w:p>
    <w:p w14:paraId="343B47CF">
      <w:pPr>
        <w:spacing w:line="360" w:lineRule="auto"/>
        <w:ind w:firstLine="564"/>
        <w:rPr>
          <w:rFonts w:ascii="仿宋" w:hAnsi="仿宋" w:eastAsia="仿宋" w:cs="仿宋"/>
          <w:sz w:val="24"/>
        </w:rPr>
      </w:pPr>
      <w:r>
        <w:rPr>
          <w:rFonts w:hint="eastAsia" w:ascii="仿宋" w:hAnsi="仿宋" w:eastAsia="仿宋" w:cs="仿宋"/>
          <w:sz w:val="24"/>
        </w:rPr>
        <w:t>7．按照本合同约定支付费用。</w:t>
      </w:r>
    </w:p>
    <w:p w14:paraId="613E9D73">
      <w:pPr>
        <w:spacing w:line="360" w:lineRule="auto"/>
        <w:ind w:firstLine="564"/>
        <w:rPr>
          <w:rFonts w:ascii="仿宋" w:hAnsi="仿宋" w:eastAsia="仿宋" w:cs="仿宋"/>
          <w:sz w:val="24"/>
        </w:rPr>
      </w:pPr>
      <w:r>
        <w:rPr>
          <w:rFonts w:hint="eastAsia" w:ascii="仿宋" w:hAnsi="仿宋" w:eastAsia="仿宋" w:cs="仿宋"/>
          <w:sz w:val="24"/>
        </w:rPr>
        <w:t>8．甲方向乙方提供有关资料文件</w:t>
      </w:r>
    </w:p>
    <w:tbl>
      <w:tblPr>
        <w:tblStyle w:val="16"/>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094"/>
        <w:gridCol w:w="1410"/>
        <w:gridCol w:w="1670"/>
        <w:gridCol w:w="1417"/>
      </w:tblGrid>
      <w:tr w14:paraId="1EAD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A2B2908">
            <w:pPr>
              <w:widowControl/>
              <w:kinsoku w:val="0"/>
              <w:autoSpaceDE w:val="0"/>
              <w:autoSpaceDN w:val="0"/>
              <w:snapToGrid w:val="0"/>
              <w:jc w:val="center"/>
              <w:textAlignment w:val="baseline"/>
              <w:rPr>
                <w:rFonts w:ascii="仿宋" w:hAnsi="仿宋" w:eastAsia="仿宋" w:cs="仿宋"/>
                <w:sz w:val="24"/>
              </w:rPr>
            </w:pPr>
            <w:r>
              <w:rPr>
                <w:rFonts w:hint="eastAsia" w:ascii="仿宋" w:hAnsi="仿宋" w:eastAsia="仿宋" w:cs="仿宋"/>
                <w:sz w:val="24"/>
              </w:rPr>
              <w:t>序号</w:t>
            </w:r>
          </w:p>
        </w:tc>
        <w:tc>
          <w:tcPr>
            <w:tcW w:w="3094" w:type="dxa"/>
            <w:tcBorders>
              <w:top w:val="single" w:color="auto" w:sz="4" w:space="0"/>
              <w:left w:val="single" w:color="auto" w:sz="4" w:space="0"/>
              <w:bottom w:val="single" w:color="auto" w:sz="4" w:space="0"/>
              <w:right w:val="single" w:color="auto" w:sz="4" w:space="0"/>
            </w:tcBorders>
            <w:vAlign w:val="center"/>
          </w:tcPr>
          <w:p w14:paraId="24D1F319">
            <w:pPr>
              <w:widowControl/>
              <w:kinsoku w:val="0"/>
              <w:autoSpaceDE w:val="0"/>
              <w:autoSpaceDN w:val="0"/>
              <w:snapToGrid w:val="0"/>
              <w:jc w:val="center"/>
              <w:textAlignment w:val="baseline"/>
              <w:rPr>
                <w:rFonts w:ascii="仿宋" w:hAnsi="仿宋" w:eastAsia="仿宋" w:cs="仿宋"/>
                <w:sz w:val="24"/>
              </w:rPr>
            </w:pPr>
            <w:r>
              <w:rPr>
                <w:rFonts w:hint="eastAsia" w:ascii="仿宋" w:hAnsi="仿宋" w:eastAsia="仿宋" w:cs="仿宋"/>
                <w:sz w:val="24"/>
              </w:rPr>
              <w:t>资料文件名称</w:t>
            </w:r>
          </w:p>
        </w:tc>
        <w:tc>
          <w:tcPr>
            <w:tcW w:w="1410" w:type="dxa"/>
            <w:tcBorders>
              <w:top w:val="single" w:color="auto" w:sz="4" w:space="0"/>
              <w:left w:val="single" w:color="auto" w:sz="4" w:space="0"/>
              <w:bottom w:val="single" w:color="auto" w:sz="4" w:space="0"/>
              <w:right w:val="single" w:color="auto" w:sz="4" w:space="0"/>
            </w:tcBorders>
            <w:vAlign w:val="center"/>
          </w:tcPr>
          <w:p w14:paraId="2567BBBC">
            <w:pPr>
              <w:widowControl/>
              <w:kinsoku w:val="0"/>
              <w:autoSpaceDE w:val="0"/>
              <w:autoSpaceDN w:val="0"/>
              <w:snapToGrid w:val="0"/>
              <w:jc w:val="center"/>
              <w:textAlignment w:val="baseline"/>
              <w:rPr>
                <w:rFonts w:ascii="仿宋" w:hAnsi="仿宋" w:eastAsia="仿宋" w:cs="仿宋"/>
                <w:sz w:val="24"/>
              </w:rPr>
            </w:pPr>
            <w:r>
              <w:rPr>
                <w:rFonts w:hint="eastAsia" w:ascii="仿宋" w:hAnsi="仿宋" w:eastAsia="仿宋" w:cs="仿宋"/>
                <w:sz w:val="24"/>
              </w:rPr>
              <w:t>份数</w:t>
            </w:r>
          </w:p>
        </w:tc>
        <w:tc>
          <w:tcPr>
            <w:tcW w:w="1670" w:type="dxa"/>
            <w:tcBorders>
              <w:top w:val="single" w:color="auto" w:sz="4" w:space="0"/>
              <w:left w:val="single" w:color="auto" w:sz="4" w:space="0"/>
              <w:bottom w:val="single" w:color="auto" w:sz="4" w:space="0"/>
              <w:right w:val="single" w:color="auto" w:sz="4" w:space="0"/>
            </w:tcBorders>
            <w:vAlign w:val="center"/>
          </w:tcPr>
          <w:p w14:paraId="1799D0E0">
            <w:pPr>
              <w:widowControl/>
              <w:kinsoku w:val="0"/>
              <w:autoSpaceDE w:val="0"/>
              <w:autoSpaceDN w:val="0"/>
              <w:snapToGrid w:val="0"/>
              <w:jc w:val="center"/>
              <w:textAlignment w:val="baseline"/>
              <w:rPr>
                <w:rFonts w:ascii="仿宋" w:hAnsi="仿宋" w:eastAsia="仿宋" w:cs="仿宋"/>
                <w:sz w:val="24"/>
              </w:rPr>
            </w:pPr>
            <w:r>
              <w:rPr>
                <w:rFonts w:hint="eastAsia" w:ascii="仿宋" w:hAnsi="仿宋" w:eastAsia="仿宋" w:cs="仿宋"/>
                <w:sz w:val="24"/>
              </w:rPr>
              <w:t>内容要求</w:t>
            </w:r>
          </w:p>
        </w:tc>
        <w:tc>
          <w:tcPr>
            <w:tcW w:w="1417" w:type="dxa"/>
            <w:tcBorders>
              <w:top w:val="single" w:color="auto" w:sz="4" w:space="0"/>
              <w:left w:val="single" w:color="auto" w:sz="4" w:space="0"/>
              <w:bottom w:val="single" w:color="auto" w:sz="4" w:space="0"/>
              <w:right w:val="single" w:color="auto" w:sz="4" w:space="0"/>
            </w:tcBorders>
            <w:vAlign w:val="center"/>
          </w:tcPr>
          <w:p w14:paraId="02EECFFC">
            <w:pPr>
              <w:widowControl/>
              <w:kinsoku w:val="0"/>
              <w:autoSpaceDE w:val="0"/>
              <w:autoSpaceDN w:val="0"/>
              <w:snapToGrid w:val="0"/>
              <w:jc w:val="center"/>
              <w:textAlignment w:val="baseline"/>
              <w:rPr>
                <w:rFonts w:ascii="仿宋" w:hAnsi="仿宋" w:eastAsia="仿宋" w:cs="仿宋"/>
                <w:sz w:val="24"/>
              </w:rPr>
            </w:pPr>
            <w:r>
              <w:rPr>
                <w:rFonts w:hint="eastAsia" w:ascii="仿宋" w:hAnsi="仿宋" w:eastAsia="仿宋" w:cs="仿宋"/>
                <w:sz w:val="24"/>
              </w:rPr>
              <w:t>提交时间</w:t>
            </w:r>
          </w:p>
        </w:tc>
      </w:tr>
      <w:tr w14:paraId="061E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743BB27">
            <w:pPr>
              <w:widowControl/>
              <w:kinsoku w:val="0"/>
              <w:autoSpaceDE w:val="0"/>
              <w:autoSpaceDN w:val="0"/>
              <w:snapToGrid w:val="0"/>
              <w:ind w:firstLine="480" w:firstLineChars="200"/>
              <w:jc w:val="center"/>
              <w:textAlignment w:val="baseline"/>
              <w:rPr>
                <w:rFonts w:ascii="仿宋" w:hAnsi="仿宋" w:eastAsia="仿宋" w:cs="仿宋"/>
                <w:sz w:val="24"/>
              </w:rPr>
            </w:pPr>
          </w:p>
        </w:tc>
        <w:tc>
          <w:tcPr>
            <w:tcW w:w="3094" w:type="dxa"/>
            <w:tcBorders>
              <w:top w:val="single" w:color="auto" w:sz="4" w:space="0"/>
              <w:left w:val="single" w:color="auto" w:sz="4" w:space="0"/>
              <w:bottom w:val="single" w:color="auto" w:sz="4" w:space="0"/>
              <w:right w:val="single" w:color="auto" w:sz="4" w:space="0"/>
            </w:tcBorders>
          </w:tcPr>
          <w:p w14:paraId="4C6F6DAE">
            <w:pPr>
              <w:widowControl/>
              <w:kinsoku w:val="0"/>
              <w:autoSpaceDE w:val="0"/>
              <w:autoSpaceDN w:val="0"/>
              <w:snapToGrid w:val="0"/>
              <w:ind w:firstLine="480" w:firstLineChars="200"/>
              <w:textAlignment w:val="baseline"/>
              <w:rPr>
                <w:rFonts w:ascii="仿宋" w:hAnsi="仿宋" w:eastAsia="仿宋" w:cs="仿宋"/>
                <w:sz w:val="24"/>
              </w:rPr>
            </w:pPr>
          </w:p>
        </w:tc>
        <w:tc>
          <w:tcPr>
            <w:tcW w:w="1410" w:type="dxa"/>
            <w:tcBorders>
              <w:top w:val="single" w:color="auto" w:sz="4" w:space="0"/>
              <w:left w:val="single" w:color="auto" w:sz="4" w:space="0"/>
              <w:bottom w:val="single" w:color="auto" w:sz="4" w:space="0"/>
              <w:right w:val="single" w:color="auto" w:sz="4" w:space="0"/>
            </w:tcBorders>
            <w:vAlign w:val="center"/>
          </w:tcPr>
          <w:p w14:paraId="69CF93FC">
            <w:pPr>
              <w:widowControl/>
              <w:kinsoku w:val="0"/>
              <w:autoSpaceDE w:val="0"/>
              <w:autoSpaceDN w:val="0"/>
              <w:snapToGrid w:val="0"/>
              <w:ind w:firstLine="480" w:firstLineChars="200"/>
              <w:jc w:val="center"/>
              <w:textAlignment w:val="baseline"/>
              <w:rPr>
                <w:rFonts w:ascii="仿宋" w:hAnsi="仿宋" w:eastAsia="仿宋" w:cs="仿宋"/>
                <w:sz w:val="24"/>
              </w:rPr>
            </w:pPr>
          </w:p>
        </w:tc>
        <w:tc>
          <w:tcPr>
            <w:tcW w:w="1670" w:type="dxa"/>
            <w:tcBorders>
              <w:top w:val="single" w:color="auto" w:sz="4" w:space="0"/>
              <w:left w:val="single" w:color="auto" w:sz="4" w:space="0"/>
              <w:bottom w:val="single" w:color="auto" w:sz="4" w:space="0"/>
              <w:right w:val="single" w:color="auto" w:sz="4" w:space="0"/>
            </w:tcBorders>
          </w:tcPr>
          <w:p w14:paraId="5B6D1A57">
            <w:pPr>
              <w:widowControl/>
              <w:kinsoku w:val="0"/>
              <w:autoSpaceDE w:val="0"/>
              <w:autoSpaceDN w:val="0"/>
              <w:snapToGrid w:val="0"/>
              <w:ind w:firstLine="480" w:firstLineChars="200"/>
              <w:textAlignment w:val="baseline"/>
              <w:rPr>
                <w:rFonts w:ascii="仿宋" w:hAnsi="仿宋" w:eastAsia="仿宋" w:cs="仿宋"/>
                <w:sz w:val="24"/>
              </w:rPr>
            </w:pPr>
          </w:p>
        </w:tc>
        <w:tc>
          <w:tcPr>
            <w:tcW w:w="1417" w:type="dxa"/>
            <w:tcBorders>
              <w:top w:val="single" w:color="auto" w:sz="4" w:space="0"/>
              <w:left w:val="single" w:color="auto" w:sz="4" w:space="0"/>
              <w:bottom w:val="single" w:color="auto" w:sz="4" w:space="0"/>
              <w:right w:val="single" w:color="auto" w:sz="4" w:space="0"/>
            </w:tcBorders>
          </w:tcPr>
          <w:p w14:paraId="039855C0">
            <w:pPr>
              <w:widowControl/>
              <w:kinsoku w:val="0"/>
              <w:autoSpaceDE w:val="0"/>
              <w:autoSpaceDN w:val="0"/>
              <w:snapToGrid w:val="0"/>
              <w:ind w:firstLine="480" w:firstLineChars="200"/>
              <w:textAlignment w:val="baseline"/>
              <w:rPr>
                <w:rFonts w:ascii="仿宋" w:hAnsi="仿宋" w:eastAsia="仿宋" w:cs="仿宋"/>
                <w:sz w:val="24"/>
              </w:rPr>
            </w:pPr>
          </w:p>
        </w:tc>
      </w:tr>
      <w:tr w14:paraId="4F0C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52AC74F2">
            <w:pPr>
              <w:widowControl/>
              <w:kinsoku w:val="0"/>
              <w:autoSpaceDE w:val="0"/>
              <w:autoSpaceDN w:val="0"/>
              <w:snapToGrid w:val="0"/>
              <w:ind w:firstLine="480" w:firstLineChars="200"/>
              <w:jc w:val="center"/>
              <w:textAlignment w:val="baseline"/>
              <w:rPr>
                <w:rFonts w:ascii="仿宋" w:hAnsi="仿宋" w:eastAsia="仿宋" w:cs="仿宋"/>
                <w:sz w:val="24"/>
              </w:rPr>
            </w:pPr>
          </w:p>
        </w:tc>
        <w:tc>
          <w:tcPr>
            <w:tcW w:w="3094" w:type="dxa"/>
            <w:tcBorders>
              <w:top w:val="single" w:color="auto" w:sz="4" w:space="0"/>
              <w:left w:val="single" w:color="auto" w:sz="4" w:space="0"/>
              <w:bottom w:val="single" w:color="auto" w:sz="4" w:space="0"/>
              <w:right w:val="single" w:color="auto" w:sz="4" w:space="0"/>
            </w:tcBorders>
          </w:tcPr>
          <w:p w14:paraId="3D0F37A3">
            <w:pPr>
              <w:widowControl/>
              <w:kinsoku w:val="0"/>
              <w:autoSpaceDE w:val="0"/>
              <w:autoSpaceDN w:val="0"/>
              <w:snapToGrid w:val="0"/>
              <w:ind w:firstLine="480" w:firstLineChars="200"/>
              <w:textAlignment w:val="baseline"/>
              <w:rPr>
                <w:rFonts w:ascii="仿宋" w:hAnsi="仿宋" w:eastAsia="仿宋" w:cs="仿宋"/>
                <w:sz w:val="24"/>
              </w:rPr>
            </w:pPr>
          </w:p>
        </w:tc>
        <w:tc>
          <w:tcPr>
            <w:tcW w:w="1410" w:type="dxa"/>
            <w:tcBorders>
              <w:top w:val="single" w:color="auto" w:sz="4" w:space="0"/>
              <w:left w:val="single" w:color="auto" w:sz="4" w:space="0"/>
              <w:bottom w:val="single" w:color="auto" w:sz="4" w:space="0"/>
              <w:right w:val="single" w:color="auto" w:sz="4" w:space="0"/>
            </w:tcBorders>
            <w:vAlign w:val="center"/>
          </w:tcPr>
          <w:p w14:paraId="0BD64C3F">
            <w:pPr>
              <w:widowControl/>
              <w:kinsoku w:val="0"/>
              <w:autoSpaceDE w:val="0"/>
              <w:autoSpaceDN w:val="0"/>
              <w:snapToGrid w:val="0"/>
              <w:ind w:firstLine="480" w:firstLineChars="200"/>
              <w:jc w:val="center"/>
              <w:textAlignment w:val="baseline"/>
              <w:rPr>
                <w:rFonts w:ascii="仿宋" w:hAnsi="仿宋" w:eastAsia="仿宋" w:cs="仿宋"/>
                <w:sz w:val="24"/>
              </w:rPr>
            </w:pPr>
          </w:p>
        </w:tc>
        <w:tc>
          <w:tcPr>
            <w:tcW w:w="1670" w:type="dxa"/>
            <w:tcBorders>
              <w:top w:val="single" w:color="auto" w:sz="4" w:space="0"/>
              <w:left w:val="single" w:color="auto" w:sz="4" w:space="0"/>
              <w:bottom w:val="single" w:color="auto" w:sz="4" w:space="0"/>
              <w:right w:val="single" w:color="auto" w:sz="4" w:space="0"/>
            </w:tcBorders>
          </w:tcPr>
          <w:p w14:paraId="3737D32C">
            <w:pPr>
              <w:widowControl/>
              <w:kinsoku w:val="0"/>
              <w:autoSpaceDE w:val="0"/>
              <w:autoSpaceDN w:val="0"/>
              <w:snapToGrid w:val="0"/>
              <w:ind w:firstLine="480" w:firstLineChars="200"/>
              <w:textAlignment w:val="baseline"/>
              <w:rPr>
                <w:rFonts w:ascii="仿宋" w:hAnsi="仿宋" w:eastAsia="仿宋" w:cs="仿宋"/>
                <w:sz w:val="24"/>
              </w:rPr>
            </w:pPr>
          </w:p>
        </w:tc>
        <w:tc>
          <w:tcPr>
            <w:tcW w:w="1417" w:type="dxa"/>
            <w:tcBorders>
              <w:top w:val="single" w:color="auto" w:sz="4" w:space="0"/>
              <w:left w:val="single" w:color="auto" w:sz="4" w:space="0"/>
              <w:bottom w:val="single" w:color="auto" w:sz="4" w:space="0"/>
              <w:right w:val="single" w:color="auto" w:sz="4" w:space="0"/>
            </w:tcBorders>
          </w:tcPr>
          <w:p w14:paraId="73AD00FE">
            <w:pPr>
              <w:widowControl/>
              <w:kinsoku w:val="0"/>
              <w:autoSpaceDE w:val="0"/>
              <w:autoSpaceDN w:val="0"/>
              <w:snapToGrid w:val="0"/>
              <w:ind w:firstLine="480" w:firstLineChars="200"/>
              <w:textAlignment w:val="baseline"/>
              <w:rPr>
                <w:rFonts w:ascii="仿宋" w:hAnsi="仿宋" w:eastAsia="仿宋" w:cs="仿宋"/>
                <w:sz w:val="24"/>
              </w:rPr>
            </w:pPr>
          </w:p>
        </w:tc>
      </w:tr>
    </w:tbl>
    <w:p w14:paraId="1D064850">
      <w:pPr>
        <w:spacing w:line="360" w:lineRule="auto"/>
        <w:ind w:firstLine="564"/>
        <w:rPr>
          <w:rFonts w:ascii="仿宋" w:hAnsi="仿宋" w:eastAsia="仿宋" w:cs="仿宋"/>
          <w:sz w:val="24"/>
        </w:rPr>
      </w:pPr>
      <w:r>
        <w:rPr>
          <w:rFonts w:hint="eastAsia" w:ascii="仿宋" w:hAnsi="仿宋" w:eastAsia="仿宋" w:cs="仿宋"/>
          <w:sz w:val="24"/>
        </w:rPr>
        <w:t>甲方按上述规定的内容，在规定的时间内向乙方提供资料文件，并对其完整性、正确性及时限性负责；甲方提供上述资料、文件超过规定期限的，乙方按合同规定交付报告、成果、文件的时间顺延。</w:t>
      </w:r>
    </w:p>
    <w:p w14:paraId="1510EF3F">
      <w:pPr>
        <w:numPr>
          <w:ilvl w:val="0"/>
          <w:numId w:val="10"/>
        </w:numPr>
        <w:spacing w:line="360" w:lineRule="auto"/>
        <w:ind w:firstLine="564"/>
        <w:rPr>
          <w:rFonts w:ascii="仿宋" w:hAnsi="仿宋" w:eastAsia="仿宋" w:cs="仿宋"/>
          <w:sz w:val="24"/>
        </w:rPr>
      </w:pPr>
      <w:r>
        <w:rPr>
          <w:rFonts w:hint="eastAsia" w:ascii="仿宋" w:hAnsi="仿宋" w:eastAsia="仿宋" w:cs="仿宋"/>
          <w:sz w:val="24"/>
        </w:rPr>
        <w:t>甲方应保护乙方的投标书、报告书、文件、检测成果、专利技术、特殊工艺和合理化建议，未经乙方同意，甲方不得复制泄露或向第三人转让用于本合同外的项目，如发生上述情况，甲方应负法律责任，乙方有权索赔。</w:t>
      </w:r>
    </w:p>
    <w:p w14:paraId="45B6F09E">
      <w:pPr>
        <w:numPr>
          <w:ilvl w:val="0"/>
          <w:numId w:val="10"/>
        </w:numPr>
        <w:spacing w:line="360" w:lineRule="auto"/>
        <w:ind w:firstLine="564"/>
        <w:rPr>
          <w:rFonts w:ascii="仿宋" w:hAnsi="仿宋" w:eastAsia="仿宋" w:cs="仿宋"/>
          <w:sz w:val="24"/>
        </w:rPr>
      </w:pPr>
      <w:r>
        <w:rPr>
          <w:rFonts w:hint="eastAsia" w:ascii="仿宋" w:hAnsi="仿宋" w:eastAsia="仿宋" w:cs="仿宋"/>
          <w:sz w:val="24"/>
        </w:rPr>
        <w:t>甲方应为乙方现场工作人员提供必要的生产条件。</w:t>
      </w:r>
    </w:p>
    <w:p w14:paraId="1639C819">
      <w:pPr>
        <w:numPr>
          <w:ilvl w:val="0"/>
          <w:numId w:val="10"/>
        </w:numPr>
        <w:spacing w:line="360" w:lineRule="auto"/>
        <w:ind w:firstLine="564"/>
        <w:rPr>
          <w:rFonts w:ascii="仿宋" w:hAnsi="仿宋" w:eastAsia="仿宋" w:cs="仿宋"/>
          <w:sz w:val="24"/>
        </w:rPr>
      </w:pPr>
      <w:r>
        <w:rPr>
          <w:rFonts w:hint="eastAsia" w:ascii="仿宋" w:hAnsi="仿宋" w:eastAsia="仿宋" w:cs="仿宋"/>
          <w:sz w:val="24"/>
        </w:rPr>
        <w:t>本合同中有关条款规定和补充协议中甲方应负的责任。</w:t>
      </w:r>
    </w:p>
    <w:p w14:paraId="41BE33BC">
      <w:pPr>
        <w:spacing w:line="360" w:lineRule="auto"/>
        <w:ind w:firstLine="566"/>
        <w:rPr>
          <w:rFonts w:ascii="仿宋" w:hAnsi="仿宋" w:eastAsia="仿宋" w:cs="仿宋"/>
          <w:b/>
          <w:sz w:val="24"/>
        </w:rPr>
      </w:pPr>
      <w:r>
        <w:rPr>
          <w:rFonts w:hint="eastAsia" w:ascii="仿宋" w:hAnsi="仿宋" w:eastAsia="仿宋" w:cs="仿宋"/>
          <w:b/>
          <w:sz w:val="24"/>
        </w:rPr>
        <w:t>（二）乙方的主要义务：</w:t>
      </w:r>
    </w:p>
    <w:p w14:paraId="38D3862B">
      <w:pPr>
        <w:spacing w:line="360" w:lineRule="auto"/>
        <w:ind w:firstLine="564"/>
        <w:rPr>
          <w:rFonts w:ascii="仿宋" w:hAnsi="仿宋" w:eastAsia="仿宋" w:cs="仿宋"/>
          <w:sz w:val="24"/>
        </w:rPr>
      </w:pPr>
      <w:r>
        <w:rPr>
          <w:rFonts w:hint="eastAsia" w:ascii="仿宋" w:hAnsi="仿宋" w:eastAsia="仿宋" w:cs="仿宋"/>
          <w:sz w:val="24"/>
        </w:rPr>
        <w:t>1.按期完成甲方委托，按甲方要求提交检测报告。本工程分批分项目进行检测，根据甲方要求的内容进场检测，实际检测工作完成后甲方要求提交检测报告。检测结果的反馈必须及时准确。当检测结果不合格时，应及时向甲方代表、监理单位、质量监督部门进行报告。</w:t>
      </w:r>
    </w:p>
    <w:p w14:paraId="25CEF56A">
      <w:pPr>
        <w:spacing w:line="360" w:lineRule="auto"/>
        <w:ind w:firstLine="564"/>
        <w:rPr>
          <w:rFonts w:ascii="仿宋" w:hAnsi="仿宋" w:eastAsia="仿宋" w:cs="仿宋"/>
          <w:sz w:val="24"/>
        </w:rPr>
      </w:pPr>
      <w:r>
        <w:rPr>
          <w:rFonts w:hint="eastAsia" w:ascii="仿宋" w:hAnsi="仿宋" w:eastAsia="仿宋" w:cs="仿宋"/>
          <w:sz w:val="24"/>
        </w:rPr>
        <w:t>2.严格按相关标准规范进行检测，确保数据公正、准确。</w:t>
      </w:r>
    </w:p>
    <w:p w14:paraId="0FA9BC87">
      <w:pPr>
        <w:spacing w:line="360" w:lineRule="auto"/>
        <w:ind w:firstLine="564"/>
        <w:rPr>
          <w:rFonts w:ascii="仿宋" w:hAnsi="仿宋" w:eastAsia="仿宋" w:cs="仿宋"/>
          <w:sz w:val="24"/>
        </w:rPr>
      </w:pPr>
      <w:r>
        <w:rPr>
          <w:rFonts w:hint="eastAsia" w:ascii="仿宋" w:hAnsi="仿宋" w:eastAsia="仿宋" w:cs="仿宋"/>
          <w:sz w:val="24"/>
        </w:rPr>
        <w:t>3.除按规定需上报或上传的检测信息外，对甲方的资料信息进行保密。</w:t>
      </w:r>
    </w:p>
    <w:p w14:paraId="7DB2326C">
      <w:pPr>
        <w:spacing w:line="360" w:lineRule="auto"/>
        <w:ind w:firstLine="564"/>
        <w:rPr>
          <w:rFonts w:ascii="仿宋" w:hAnsi="仿宋" w:eastAsia="仿宋" w:cs="仿宋"/>
          <w:sz w:val="24"/>
        </w:rPr>
      </w:pPr>
      <w:r>
        <w:rPr>
          <w:rFonts w:hint="eastAsia" w:ascii="仿宋" w:hAnsi="仿宋" w:eastAsia="仿宋" w:cs="仿宋"/>
          <w:sz w:val="24"/>
        </w:rPr>
        <w:t>4.向甲方提供必要的检测咨询服务。</w:t>
      </w:r>
    </w:p>
    <w:p w14:paraId="38455FF5">
      <w:pPr>
        <w:spacing w:line="360" w:lineRule="auto"/>
        <w:ind w:firstLine="564"/>
        <w:rPr>
          <w:rFonts w:ascii="仿宋" w:hAnsi="仿宋" w:eastAsia="仿宋" w:cs="仿宋"/>
          <w:sz w:val="24"/>
        </w:rPr>
      </w:pPr>
      <w:r>
        <w:rPr>
          <w:rFonts w:hint="eastAsia" w:ascii="仿宋" w:hAnsi="仿宋" w:eastAsia="仿宋" w:cs="仿宋"/>
          <w:sz w:val="24"/>
        </w:rPr>
        <w:t>5.按本合同规定的内容、时间、数量向甲方交付报告、成果、文件，并对其质量负责。</w:t>
      </w:r>
    </w:p>
    <w:p w14:paraId="587F0442">
      <w:pPr>
        <w:spacing w:line="360" w:lineRule="auto"/>
        <w:ind w:firstLine="564"/>
        <w:rPr>
          <w:rFonts w:ascii="仿宋" w:hAnsi="仿宋" w:eastAsia="仿宋" w:cs="仿宋"/>
          <w:sz w:val="24"/>
        </w:rPr>
      </w:pPr>
      <w:r>
        <w:rPr>
          <w:rFonts w:hint="eastAsia" w:ascii="仿宋" w:hAnsi="仿宋" w:eastAsia="仿宋" w:cs="仿宋"/>
          <w:sz w:val="24"/>
        </w:rPr>
        <w:t>6.对报告、成果、文件出现的遗漏或错误负责修改补充；由于乙方的遗漏、错误造成工程质量事故，乙方除负法律责任和负责采取补救措施外，应免收直接受损失部分。</w:t>
      </w:r>
    </w:p>
    <w:p w14:paraId="1BD3320B">
      <w:pPr>
        <w:spacing w:line="360" w:lineRule="auto"/>
        <w:ind w:firstLine="564"/>
        <w:rPr>
          <w:rFonts w:ascii="仿宋" w:hAnsi="仿宋" w:eastAsia="仿宋" w:cs="仿宋"/>
          <w:sz w:val="24"/>
        </w:rPr>
      </w:pPr>
      <w:r>
        <w:rPr>
          <w:rFonts w:hint="eastAsia" w:ascii="仿宋" w:hAnsi="仿宋" w:eastAsia="仿宋" w:cs="仿宋"/>
          <w:sz w:val="24"/>
        </w:rPr>
        <w:t>7.编写检测大纲（方案），组织专家讨论会议确定方案，并承担费用。</w:t>
      </w:r>
    </w:p>
    <w:p w14:paraId="10339036">
      <w:pPr>
        <w:spacing w:line="360" w:lineRule="auto"/>
        <w:ind w:firstLine="564"/>
        <w:rPr>
          <w:rFonts w:ascii="仿宋" w:hAnsi="仿宋" w:eastAsia="仿宋" w:cs="仿宋"/>
          <w:sz w:val="24"/>
        </w:rPr>
      </w:pPr>
      <w:r>
        <w:rPr>
          <w:rFonts w:hint="eastAsia" w:ascii="仿宋" w:hAnsi="仿宋" w:eastAsia="仿宋" w:cs="仿宋"/>
          <w:sz w:val="24"/>
        </w:rPr>
        <w:t>8.检测过程中如需多次进退场、场内多次场地转移，乙方必须无条件服从，所需费用已在投标报价中计入。</w:t>
      </w:r>
    </w:p>
    <w:p w14:paraId="253034A5">
      <w:pPr>
        <w:spacing w:line="360" w:lineRule="auto"/>
        <w:ind w:firstLine="564"/>
        <w:rPr>
          <w:rFonts w:ascii="仿宋" w:hAnsi="仿宋" w:eastAsia="仿宋" w:cs="仿宋"/>
          <w:sz w:val="24"/>
        </w:rPr>
      </w:pPr>
      <w:r>
        <w:rPr>
          <w:rFonts w:hint="eastAsia" w:ascii="仿宋" w:hAnsi="仿宋" w:eastAsia="仿宋" w:cs="仿宋"/>
          <w:sz w:val="24"/>
        </w:rPr>
        <w:t>9.不得向第三人扩散、转让第二条中甲方提供的技术资料、文件。发生上述情况，乙方应负法律责任，甲方有权索赔。</w:t>
      </w:r>
    </w:p>
    <w:p w14:paraId="45606D4A">
      <w:pPr>
        <w:spacing w:line="360" w:lineRule="auto"/>
        <w:ind w:firstLine="564"/>
        <w:rPr>
          <w:rFonts w:ascii="仿宋" w:hAnsi="仿宋" w:eastAsia="仿宋" w:cs="仿宋"/>
          <w:sz w:val="24"/>
        </w:rPr>
      </w:pPr>
      <w:r>
        <w:rPr>
          <w:rFonts w:hint="eastAsia" w:ascii="仿宋" w:hAnsi="仿宋" w:eastAsia="仿宋" w:cs="仿宋"/>
          <w:sz w:val="24"/>
        </w:rPr>
        <w:t>10.乙方现场检测时应遵守工程安全管理及其他工程现场管理制度。</w:t>
      </w:r>
    </w:p>
    <w:p w14:paraId="1F4D9770">
      <w:pPr>
        <w:spacing w:line="360" w:lineRule="auto"/>
        <w:ind w:firstLine="564"/>
        <w:rPr>
          <w:rFonts w:ascii="仿宋" w:hAnsi="仿宋" w:eastAsia="仿宋" w:cs="仿宋"/>
          <w:sz w:val="24"/>
        </w:rPr>
      </w:pPr>
      <w:r>
        <w:rPr>
          <w:rFonts w:hint="eastAsia" w:ascii="仿宋" w:hAnsi="仿宋" w:eastAsia="仿宋" w:cs="仿宋"/>
          <w:sz w:val="24"/>
        </w:rPr>
        <w:t>11.检测结果不合格的，乙方应在获得检测结果后1日内通知甲方和工程质量监督机构（如需要）。</w:t>
      </w:r>
    </w:p>
    <w:p w14:paraId="7EB75835">
      <w:pPr>
        <w:spacing w:line="360" w:lineRule="auto"/>
        <w:ind w:firstLine="564"/>
        <w:rPr>
          <w:rFonts w:ascii="仿宋" w:hAnsi="仿宋" w:eastAsia="仿宋" w:cs="仿宋"/>
          <w:sz w:val="24"/>
        </w:rPr>
      </w:pPr>
      <w:r>
        <w:rPr>
          <w:rFonts w:hint="eastAsia" w:ascii="仿宋" w:hAnsi="仿宋" w:eastAsia="仿宋" w:cs="仿宋"/>
          <w:sz w:val="24"/>
        </w:rPr>
        <w:t>12.检测单位需充分考虑各项因素，按照现场实际需求，配备充足的检测设备和人员，不得因设备和人员不足影响工期。</w:t>
      </w:r>
    </w:p>
    <w:p w14:paraId="5ABFF61E">
      <w:pPr>
        <w:spacing w:line="360" w:lineRule="auto"/>
        <w:ind w:firstLine="564"/>
        <w:rPr>
          <w:rFonts w:ascii="仿宋" w:hAnsi="仿宋" w:eastAsia="仿宋" w:cs="仿宋"/>
          <w:sz w:val="24"/>
        </w:rPr>
      </w:pPr>
      <w:r>
        <w:rPr>
          <w:rFonts w:hint="eastAsia" w:ascii="仿宋" w:hAnsi="仿宋" w:eastAsia="仿宋" w:cs="仿宋"/>
          <w:sz w:val="24"/>
        </w:rPr>
        <w:t xml:space="preserve">13.遵守国家及当地有关部门对工作现场的有关管理规定，做到文明施工。 </w:t>
      </w:r>
    </w:p>
    <w:p w14:paraId="1151C953">
      <w:pPr>
        <w:spacing w:line="360" w:lineRule="auto"/>
        <w:ind w:firstLine="564"/>
        <w:rPr>
          <w:rFonts w:ascii="仿宋" w:hAnsi="仿宋" w:eastAsia="仿宋" w:cs="仿宋"/>
          <w:sz w:val="24"/>
        </w:rPr>
      </w:pPr>
      <w:r>
        <w:rPr>
          <w:rFonts w:hint="eastAsia" w:ascii="仿宋" w:hAnsi="仿宋" w:eastAsia="仿宋" w:cs="仿宋"/>
          <w:sz w:val="24"/>
        </w:rPr>
        <w:t>14.本合同有关条款规定和补充协议中乙方应负的责任。</w:t>
      </w:r>
    </w:p>
    <w:p w14:paraId="09A52243">
      <w:pPr>
        <w:spacing w:line="360" w:lineRule="auto"/>
        <w:ind w:firstLine="564"/>
        <w:rPr>
          <w:rFonts w:ascii="仿宋" w:hAnsi="仿宋" w:eastAsia="仿宋" w:cs="仿宋"/>
          <w:sz w:val="24"/>
        </w:rPr>
      </w:pPr>
      <w:r>
        <w:rPr>
          <w:rFonts w:hint="eastAsia" w:ascii="仿宋" w:hAnsi="仿宋" w:eastAsia="仿宋" w:cs="仿宋"/>
          <w:sz w:val="24"/>
        </w:rPr>
        <w:t xml:space="preserve">15.若因工程检测需要，甲方有权要求乙方投标书中承诺的人员到项目所在地办公。 </w:t>
      </w:r>
    </w:p>
    <w:p w14:paraId="1F202528">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四、检测程序</w:t>
      </w:r>
    </w:p>
    <w:p w14:paraId="2F3E2794">
      <w:pPr>
        <w:spacing w:line="360" w:lineRule="auto"/>
        <w:ind w:firstLine="566"/>
        <w:rPr>
          <w:rFonts w:ascii="仿宋" w:hAnsi="仿宋" w:eastAsia="仿宋" w:cs="仿宋"/>
          <w:sz w:val="24"/>
        </w:rPr>
      </w:pPr>
      <w:r>
        <w:rPr>
          <w:rFonts w:hint="eastAsia" w:ascii="仿宋" w:hAnsi="仿宋" w:eastAsia="仿宋" w:cs="仿宋"/>
          <w:sz w:val="24"/>
        </w:rPr>
        <w:t>（一）由甲方按规定将检测部位或受检测项目委托乙方实施检测。</w:t>
      </w:r>
    </w:p>
    <w:p w14:paraId="7E812D82">
      <w:pPr>
        <w:spacing w:line="360" w:lineRule="auto"/>
        <w:ind w:firstLine="566"/>
        <w:rPr>
          <w:rFonts w:ascii="仿宋" w:hAnsi="仿宋" w:eastAsia="仿宋" w:cs="仿宋"/>
          <w:sz w:val="24"/>
        </w:rPr>
      </w:pPr>
      <w:r>
        <w:rPr>
          <w:rFonts w:hint="eastAsia" w:ascii="仿宋" w:hAnsi="仿宋" w:eastAsia="仿宋" w:cs="仿宋"/>
          <w:sz w:val="24"/>
        </w:rPr>
        <w:t>（二）乙方需要随时与施工单位、监理、甲方保持沟通，踏勘现场关注项目实施进度，在接到甲方通知后按合同约定时间进场检测。</w:t>
      </w:r>
    </w:p>
    <w:p w14:paraId="3CBBBEC6">
      <w:pPr>
        <w:spacing w:line="360" w:lineRule="auto"/>
        <w:ind w:firstLine="480" w:firstLineChars="200"/>
        <w:jc w:val="left"/>
        <w:rPr>
          <w:rFonts w:ascii="仿宋" w:hAnsi="仿宋" w:eastAsia="仿宋" w:cs="仿宋"/>
          <w:b/>
          <w:sz w:val="24"/>
        </w:rPr>
      </w:pPr>
      <w:r>
        <w:rPr>
          <w:rFonts w:hint="eastAsia" w:ascii="仿宋" w:hAnsi="仿宋" w:eastAsia="仿宋" w:cs="仿宋"/>
          <w:sz w:val="24"/>
        </w:rPr>
        <w:t>（三）乙方应在约定的时限内向甲方出具检测结果，并提供</w:t>
      </w:r>
      <w:r>
        <w:rPr>
          <w:rFonts w:hint="eastAsia" w:ascii="仿宋" w:hAnsi="仿宋" w:eastAsia="仿宋" w:cs="仿宋"/>
          <w:sz w:val="24"/>
          <w:u w:val="single"/>
        </w:rPr>
        <w:t xml:space="preserve"> 6 </w:t>
      </w:r>
      <w:r>
        <w:rPr>
          <w:rFonts w:hint="eastAsia" w:ascii="仿宋" w:hAnsi="仿宋" w:eastAsia="仿宋" w:cs="仿宋"/>
          <w:sz w:val="24"/>
        </w:rPr>
        <w:t>份有效的检测报告。</w:t>
      </w:r>
    </w:p>
    <w:p w14:paraId="09929729">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五、履行方式及期限</w:t>
      </w:r>
    </w:p>
    <w:p w14:paraId="57BDC294">
      <w:pPr>
        <w:autoSpaceDE w:val="0"/>
        <w:spacing w:line="360" w:lineRule="auto"/>
        <w:ind w:firstLine="567"/>
        <w:rPr>
          <w:rFonts w:ascii="仿宋" w:hAnsi="仿宋" w:eastAsia="仿宋" w:cs="仿宋"/>
          <w:b/>
          <w:bCs/>
          <w:sz w:val="24"/>
        </w:rPr>
      </w:pPr>
      <w:r>
        <w:rPr>
          <w:rFonts w:hint="eastAsia" w:ascii="仿宋" w:hAnsi="仿宋" w:eastAsia="仿宋" w:cs="仿宋"/>
          <w:b/>
          <w:bCs/>
          <w:sz w:val="24"/>
        </w:rPr>
        <w:t>（一）</w:t>
      </w:r>
      <w:r>
        <w:rPr>
          <w:rFonts w:hint="eastAsia" w:ascii="仿宋" w:hAnsi="仿宋" w:eastAsia="仿宋" w:cs="仿宋"/>
          <w:sz w:val="24"/>
        </w:rPr>
        <w:t>本合同的履行期限自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日开始，甲方、乙方履行完合同规定的义务后，本合同终止。</w:t>
      </w:r>
    </w:p>
    <w:p w14:paraId="25DE9AEF">
      <w:pPr>
        <w:autoSpaceDE w:val="0"/>
        <w:spacing w:line="360" w:lineRule="auto"/>
        <w:ind w:firstLine="567"/>
        <w:rPr>
          <w:rFonts w:ascii="仿宋" w:hAnsi="仿宋" w:eastAsia="仿宋" w:cs="仿宋"/>
          <w:sz w:val="24"/>
        </w:rPr>
      </w:pPr>
      <w:r>
        <w:rPr>
          <w:rFonts w:hint="eastAsia" w:ascii="仿宋" w:hAnsi="仿宋" w:eastAsia="仿宋" w:cs="仿宋"/>
          <w:sz w:val="24"/>
        </w:rPr>
        <w:t>（二）工期：检测单位应自本工程检测合同签订生效开始（按发包人要求进场施工，包括人员和检测设备的进场，不得以任何理由拖延），实施完成检测合同范围内的全部合格工程及缺陷工程的质量检测报告。交付时间：检测完成后</w:t>
      </w:r>
      <w:r>
        <w:rPr>
          <w:rFonts w:ascii="仿宋" w:hAnsi="仿宋" w:eastAsia="仿宋" w:cs="仿宋"/>
          <w:sz w:val="24"/>
        </w:rPr>
        <w:t>3</w:t>
      </w:r>
      <w:r>
        <w:rPr>
          <w:rFonts w:hint="eastAsia" w:ascii="仿宋" w:hAnsi="仿宋" w:eastAsia="仿宋" w:cs="仿宋"/>
          <w:sz w:val="24"/>
        </w:rPr>
        <w:t>日内提供检测成果报告6套。</w:t>
      </w:r>
    </w:p>
    <w:p w14:paraId="67EA7D44">
      <w:pPr>
        <w:autoSpaceDE w:val="0"/>
        <w:spacing w:line="360" w:lineRule="auto"/>
        <w:ind w:firstLine="567"/>
        <w:rPr>
          <w:rFonts w:ascii="仿宋" w:hAnsi="仿宋" w:eastAsia="仿宋" w:cs="仿宋"/>
          <w:sz w:val="24"/>
        </w:rPr>
      </w:pPr>
      <w:r>
        <w:rPr>
          <w:rFonts w:hint="eastAsia" w:ascii="仿宋" w:hAnsi="仿宋" w:eastAsia="仿宋" w:cs="仿宋"/>
          <w:sz w:val="24"/>
        </w:rPr>
        <w:t>（三）整体的检测进度要按照施工现场进度跟进。</w:t>
      </w:r>
    </w:p>
    <w:p w14:paraId="29D48D9E">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六、合同价款和支付方式</w:t>
      </w:r>
    </w:p>
    <w:p w14:paraId="5A49C029">
      <w:pPr>
        <w:autoSpaceDE w:val="0"/>
        <w:snapToGrid w:val="0"/>
        <w:spacing w:line="360" w:lineRule="auto"/>
        <w:ind w:firstLine="455" w:firstLineChars="189"/>
        <w:jc w:val="left"/>
        <w:rPr>
          <w:rFonts w:ascii="仿宋" w:hAnsi="仿宋" w:eastAsia="仿宋" w:cs="仿宋"/>
          <w:b/>
          <w:sz w:val="24"/>
        </w:rPr>
      </w:pPr>
      <w:r>
        <w:rPr>
          <w:rFonts w:hint="eastAsia" w:ascii="仿宋" w:hAnsi="仿宋" w:eastAsia="仿宋" w:cs="仿宋"/>
          <w:b/>
          <w:sz w:val="24"/>
        </w:rPr>
        <w:t>合同价格形式采用固定总价合同。</w:t>
      </w:r>
    </w:p>
    <w:p w14:paraId="5A5DD5F6">
      <w:pPr>
        <w:autoSpaceDE w:val="0"/>
        <w:snapToGrid w:val="0"/>
        <w:spacing w:line="360" w:lineRule="auto"/>
        <w:ind w:firstLine="453" w:firstLineChars="189"/>
        <w:jc w:val="left"/>
        <w:rPr>
          <w:rFonts w:ascii="仿宋" w:hAnsi="仿宋" w:eastAsia="仿宋" w:cs="仿宋"/>
          <w:bCs/>
          <w:sz w:val="24"/>
        </w:rPr>
      </w:pPr>
      <w:r>
        <w:rPr>
          <w:rFonts w:hint="eastAsia" w:ascii="仿宋" w:hAnsi="仿宋" w:eastAsia="仿宋" w:cs="仿宋"/>
          <w:bCs/>
          <w:sz w:val="24"/>
        </w:rPr>
        <w:t>合同金额（含税）：总计人民币（大写）</w:t>
      </w:r>
      <w:r>
        <w:rPr>
          <w:rFonts w:hint="eastAsia" w:ascii="仿宋" w:hAnsi="仿宋" w:eastAsia="仿宋" w:cs="仿宋"/>
          <w:bCs/>
          <w:sz w:val="24"/>
          <w:u w:val="single"/>
        </w:rPr>
        <w:t xml:space="preserve">          </w:t>
      </w:r>
      <w:r>
        <w:rPr>
          <w:rFonts w:hint="eastAsia" w:ascii="仿宋" w:hAnsi="仿宋" w:eastAsia="仿宋" w:cs="仿宋"/>
          <w:bCs/>
          <w:sz w:val="24"/>
        </w:rPr>
        <w:t>，（小写）</w:t>
      </w:r>
      <w:r>
        <w:rPr>
          <w:rFonts w:hint="eastAsia" w:ascii="仿宋" w:hAnsi="仿宋" w:eastAsia="仿宋" w:cs="仿宋"/>
          <w:bCs/>
          <w:sz w:val="24"/>
          <w:u w:val="single"/>
        </w:rPr>
        <w:t xml:space="preserve">       </w:t>
      </w:r>
      <w:r>
        <w:rPr>
          <w:rFonts w:hint="eastAsia" w:ascii="仿宋" w:hAnsi="仿宋" w:eastAsia="仿宋" w:cs="仿宋"/>
          <w:bCs/>
          <w:sz w:val="24"/>
        </w:rPr>
        <w:t>。</w:t>
      </w:r>
    </w:p>
    <w:p w14:paraId="5CE61BE0">
      <w:pPr>
        <w:autoSpaceDE w:val="0"/>
        <w:snapToGrid w:val="0"/>
        <w:spacing w:line="360" w:lineRule="auto"/>
        <w:ind w:firstLine="453" w:firstLineChars="189"/>
        <w:jc w:val="left"/>
        <w:rPr>
          <w:rFonts w:ascii="仿宋" w:hAnsi="仿宋" w:eastAsia="仿宋" w:cs="仿宋"/>
          <w:sz w:val="24"/>
        </w:rPr>
      </w:pPr>
      <w:r>
        <w:rPr>
          <w:rFonts w:hint="eastAsia" w:ascii="仿宋" w:hAnsi="仿宋" w:eastAsia="仿宋" w:cs="仿宋"/>
          <w:sz w:val="24"/>
        </w:rPr>
        <w:t>其中：不含税金额为</w:t>
      </w:r>
      <w:r>
        <w:rPr>
          <w:rFonts w:hint="eastAsia" w:ascii="仿宋" w:hAnsi="仿宋" w:eastAsia="仿宋" w:cs="仿宋"/>
          <w:sz w:val="24"/>
          <w:u w:val="single"/>
        </w:rPr>
        <w:t xml:space="preserve">           </w:t>
      </w:r>
      <w:r>
        <w:rPr>
          <w:rFonts w:hint="eastAsia" w:ascii="仿宋" w:hAnsi="仿宋" w:eastAsia="仿宋" w:cs="仿宋"/>
          <w:sz w:val="24"/>
        </w:rPr>
        <w:t>元，税金为</w:t>
      </w:r>
      <w:r>
        <w:rPr>
          <w:rFonts w:hint="eastAsia" w:ascii="仿宋" w:hAnsi="仿宋" w:eastAsia="仿宋" w:cs="仿宋"/>
          <w:sz w:val="24"/>
          <w:u w:val="single"/>
        </w:rPr>
        <w:t xml:space="preserve">           </w:t>
      </w:r>
      <w:r>
        <w:rPr>
          <w:rFonts w:hint="eastAsia" w:ascii="仿宋" w:hAnsi="仿宋" w:eastAsia="仿宋" w:cs="仿宋"/>
          <w:sz w:val="24"/>
        </w:rPr>
        <w:t>元。</w:t>
      </w:r>
    </w:p>
    <w:p w14:paraId="02C85498">
      <w:pPr>
        <w:autoSpaceDE w:val="0"/>
        <w:snapToGrid w:val="0"/>
        <w:spacing w:line="360" w:lineRule="auto"/>
        <w:ind w:firstLine="455" w:firstLineChars="189"/>
        <w:jc w:val="left"/>
        <w:rPr>
          <w:rFonts w:ascii="仿宋" w:hAnsi="仿宋" w:eastAsia="仿宋" w:cs="仿宋"/>
          <w:b/>
          <w:bCs/>
          <w:sz w:val="24"/>
        </w:rPr>
      </w:pPr>
      <w:r>
        <w:rPr>
          <w:rFonts w:hint="eastAsia" w:ascii="仿宋" w:hAnsi="仿宋" w:eastAsia="仿宋" w:cs="仿宋"/>
          <w:b/>
          <w:bCs/>
          <w:sz w:val="24"/>
        </w:rPr>
        <w:t>1、本项目为总价合同，投标报价应是成交供应商在正确地完全履行合同义务（满足温州市龙湾中学教学综合楼建设项目竣工验收所必需检测服务）后采购人应支付给成交供应商的全部服务费用，本项目以总价包干形式完成所有的服务内容，结算时不做调整，合同总价中均包括完成该项工程项目的人工费、材料费、施工机械使用费、设备进出场费（包含多次进场）、施工措施费、检测不合格需重新检测、企业管理费、利润、税金、保险、规费、安全施工费、风险费及检验试验费等政策性文件规定及合同包含的所有风险、责任、安全伤亡事故等一切费。</w:t>
      </w:r>
    </w:p>
    <w:p w14:paraId="5A61F421">
      <w:pPr>
        <w:autoSpaceDE w:val="0"/>
        <w:snapToGrid w:val="0"/>
        <w:spacing w:line="360" w:lineRule="auto"/>
        <w:ind w:firstLine="455" w:firstLineChars="189"/>
        <w:jc w:val="left"/>
        <w:rPr>
          <w:rFonts w:ascii="仿宋" w:hAnsi="仿宋" w:eastAsia="仿宋" w:cs="仿宋"/>
          <w:b/>
          <w:bCs/>
          <w:sz w:val="24"/>
        </w:rPr>
      </w:pPr>
      <w:r>
        <w:rPr>
          <w:rFonts w:hint="eastAsia" w:ascii="仿宋" w:hAnsi="仿宋" w:eastAsia="仿宋" w:cs="仿宋"/>
          <w:b/>
          <w:bCs/>
          <w:sz w:val="24"/>
        </w:rPr>
        <w:t>2、下列风险已经计入合同价格，如发生，则合同价格不予调整：</w:t>
      </w:r>
    </w:p>
    <w:p w14:paraId="7ADF7692">
      <w:pPr>
        <w:autoSpaceDE w:val="0"/>
        <w:snapToGrid w:val="0"/>
        <w:spacing w:line="360" w:lineRule="auto"/>
        <w:ind w:firstLine="455" w:firstLineChars="189"/>
        <w:jc w:val="left"/>
        <w:rPr>
          <w:rFonts w:ascii="仿宋" w:hAnsi="仿宋" w:eastAsia="仿宋" w:cs="仿宋"/>
          <w:b/>
          <w:bCs/>
          <w:sz w:val="24"/>
        </w:rPr>
      </w:pPr>
      <w:r>
        <w:rPr>
          <w:rFonts w:hint="eastAsia" w:ascii="仿宋" w:hAnsi="仿宋" w:eastAsia="仿宋" w:cs="仿宋"/>
          <w:b/>
          <w:bCs/>
          <w:sz w:val="24"/>
        </w:rPr>
        <w:t>（1）由于各种原因使今后施工工期延长，从而导致服务期延长的，合同价仍按第六条第1款执行，承包人已经在投标报价中综合、充分的考虑此项风险。</w:t>
      </w:r>
    </w:p>
    <w:p w14:paraId="69D4B50D">
      <w:pPr>
        <w:autoSpaceDE w:val="0"/>
        <w:snapToGrid w:val="0"/>
        <w:spacing w:line="360" w:lineRule="auto"/>
        <w:ind w:firstLine="455" w:firstLineChars="189"/>
        <w:jc w:val="left"/>
        <w:rPr>
          <w:rFonts w:ascii="仿宋" w:hAnsi="仿宋" w:eastAsia="仿宋" w:cs="仿宋"/>
          <w:b/>
          <w:bCs/>
          <w:sz w:val="24"/>
        </w:rPr>
      </w:pPr>
      <w:r>
        <w:rPr>
          <w:rFonts w:hint="eastAsia" w:ascii="仿宋" w:hAnsi="仿宋" w:eastAsia="仿宋" w:cs="仿宋"/>
          <w:b/>
          <w:bCs/>
          <w:sz w:val="24"/>
        </w:rPr>
        <w:t>（2）承包人在投标阶段自行列明费用清单，由于工程所在地质量监督部门相关规定和检测要求进行检测和测量的内容，投标供应商漏报、少报或缺项的，均由投标人自行承担费用，合同价格不再调整。对于招标阶段招标人提供的技术资料，承包人应当自行研究并测算涉及本工程的所有检测测量等内容，承包人不得以招标人提供的资料不全，以漏报、少报或缺项工程量增加合同价格；发生此项情况的，均由投标人自行承担费用，合同价格不再调整。</w:t>
      </w:r>
    </w:p>
    <w:p w14:paraId="203290DC">
      <w:pPr>
        <w:autoSpaceDE w:val="0"/>
        <w:snapToGrid w:val="0"/>
        <w:spacing w:line="360" w:lineRule="auto"/>
        <w:ind w:firstLine="453" w:firstLineChars="189"/>
        <w:jc w:val="left"/>
        <w:rPr>
          <w:rFonts w:ascii="仿宋" w:hAnsi="仿宋" w:eastAsia="仿宋" w:cs="仿宋"/>
          <w:sz w:val="24"/>
        </w:rPr>
      </w:pPr>
      <w:r>
        <w:rPr>
          <w:rFonts w:hint="eastAsia" w:ascii="仿宋" w:hAnsi="仿宋" w:eastAsia="仿宋" w:cs="仿宋"/>
          <w:sz w:val="24"/>
        </w:rPr>
        <w:t>3、支付方式</w:t>
      </w:r>
    </w:p>
    <w:p w14:paraId="4EEC194B">
      <w:pPr>
        <w:autoSpaceDE w:val="0"/>
        <w:snapToGrid w:val="0"/>
        <w:spacing w:line="360" w:lineRule="auto"/>
        <w:ind w:firstLine="453" w:firstLineChars="189"/>
        <w:jc w:val="left"/>
        <w:rPr>
          <w:rFonts w:ascii="仿宋" w:hAnsi="仿宋" w:eastAsia="仿宋" w:cs="仿宋"/>
          <w:b/>
          <w:bCs/>
          <w:sz w:val="24"/>
        </w:rPr>
      </w:pPr>
      <w:r>
        <w:rPr>
          <w:rFonts w:hint="eastAsia" w:ascii="仿宋" w:hAnsi="仿宋" w:eastAsia="仿宋" w:cs="仿宋"/>
          <w:sz w:val="24"/>
        </w:rPr>
        <w:t>检测进度款申请周期：（1）甲方在合同生效以及具备实施条件后7个工作日内完成预付款，支付合同总金额的20%；（抵作进度款）（市财政资金下达后支付）（在签订合同时，成交供应商明确表示无需预付款或者主动要求降低预付款比例的，采购人可不适用前述规定预付款）（2）采购人委托成交供应商工程质量检测的试件，在所有楼栋±0.00结构完成后7个工作日内，甲方向乙方支付至合同总价款的</w:t>
      </w:r>
      <w:r>
        <w:rPr>
          <w:rFonts w:ascii="仿宋" w:hAnsi="仿宋" w:eastAsia="仿宋" w:cs="仿宋"/>
          <w:sz w:val="24"/>
        </w:rPr>
        <w:t>4</w:t>
      </w:r>
      <w:r>
        <w:rPr>
          <w:rFonts w:hint="eastAsia" w:ascii="仿宋" w:hAnsi="仿宋" w:eastAsia="仿宋" w:cs="仿宋"/>
          <w:sz w:val="24"/>
        </w:rPr>
        <w:t>0%（含预付款）；（3）在所有楼栋主体结构结顶后7个工作日内，甲方向乙方支付至合同总价款的</w:t>
      </w:r>
      <w:r>
        <w:rPr>
          <w:rFonts w:ascii="仿宋" w:hAnsi="仿宋" w:eastAsia="仿宋" w:cs="仿宋"/>
          <w:sz w:val="24"/>
        </w:rPr>
        <w:t>6</w:t>
      </w:r>
      <w:r>
        <w:rPr>
          <w:rFonts w:hint="eastAsia" w:ascii="仿宋" w:hAnsi="仿宋" w:eastAsia="仿宋" w:cs="仿宋"/>
          <w:sz w:val="24"/>
        </w:rPr>
        <w:t>0%（含预付款）。（4）余款在竣工验收合格后并提供完整的电子成果资料后7个工作日内结清。（市财政资金下达后支付）</w:t>
      </w:r>
      <w:r>
        <w:rPr>
          <w:rFonts w:hint="eastAsia" w:ascii="仿宋" w:hAnsi="仿宋" w:eastAsia="仿宋" w:cs="仿宋"/>
          <w:b/>
          <w:bCs/>
          <w:sz w:val="24"/>
        </w:rPr>
        <w:t>。</w:t>
      </w:r>
    </w:p>
    <w:p w14:paraId="52933620">
      <w:pPr>
        <w:autoSpaceDE w:val="0"/>
        <w:snapToGrid w:val="0"/>
        <w:spacing w:line="360" w:lineRule="auto"/>
        <w:ind w:firstLine="453" w:firstLineChars="189"/>
        <w:jc w:val="left"/>
        <w:rPr>
          <w:rFonts w:ascii="仿宋" w:hAnsi="仿宋" w:eastAsia="仿宋" w:cs="仿宋"/>
          <w:sz w:val="24"/>
        </w:rPr>
      </w:pPr>
      <w:r>
        <w:rPr>
          <w:rFonts w:hint="eastAsia" w:ascii="仿宋" w:hAnsi="仿宋" w:eastAsia="仿宋" w:cs="仿宋"/>
          <w:sz w:val="24"/>
        </w:rPr>
        <w:t>4、变更及工程费调整</w:t>
      </w:r>
    </w:p>
    <w:p w14:paraId="74904855">
      <w:pPr>
        <w:autoSpaceDE w:val="0"/>
        <w:snapToGrid w:val="0"/>
        <w:spacing w:line="360" w:lineRule="auto"/>
        <w:ind w:firstLine="453" w:firstLineChars="189"/>
        <w:jc w:val="left"/>
        <w:rPr>
          <w:rFonts w:ascii="仿宋" w:hAnsi="仿宋" w:eastAsia="仿宋" w:cs="仿宋"/>
          <w:sz w:val="24"/>
        </w:rPr>
      </w:pPr>
      <w:r>
        <w:rPr>
          <w:rFonts w:hint="eastAsia" w:ascii="仿宋" w:hAnsi="仿宋" w:eastAsia="仿宋" w:cs="仿宋"/>
          <w:sz w:val="24"/>
        </w:rPr>
        <w:t>任何变更引起工程量调整或新增内容或取消内容，必须经监理、业主签证，且合同价格不调整。</w:t>
      </w:r>
    </w:p>
    <w:p w14:paraId="5E33D57F">
      <w:pPr>
        <w:spacing w:line="360" w:lineRule="auto"/>
        <w:ind w:firstLine="480" w:firstLineChars="200"/>
        <w:rPr>
          <w:rFonts w:ascii="仿宋" w:hAnsi="仿宋" w:eastAsia="仿宋" w:cs="仿宋"/>
          <w:b/>
          <w:bCs/>
          <w:sz w:val="24"/>
        </w:rPr>
      </w:pPr>
      <w:r>
        <w:rPr>
          <w:rFonts w:hint="eastAsia" w:ascii="仿宋" w:hAnsi="仿宋" w:eastAsia="仿宋" w:cs="仿宋"/>
          <w:sz w:val="24"/>
        </w:rPr>
        <w:t>5、履约担保：</w:t>
      </w:r>
      <w:r>
        <w:rPr>
          <w:rFonts w:hint="eastAsia" w:ascii="仿宋" w:hAnsi="仿宋" w:eastAsia="仿宋" w:cs="仿宋"/>
          <w:b/>
          <w:bCs/>
          <w:sz w:val="24"/>
        </w:rPr>
        <w:t xml:space="preserve"> </w:t>
      </w:r>
    </w:p>
    <w:p w14:paraId="05924348">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合同签订后7个工作日内，成交供应商须以银行转账/转账支票/银行汇票/银行、保险公司出具的保函等非现金方式向采购人提交合同价款1%的履约担保。（保函应满足以下几个条件：①见索即付：即在成交供应商没有实施合同或者未履行合同义务时，采购人不需要出具任何证明和理由，只要看到成交供应商违约，就可对保函进行收兑；②保函期限：自合同生效之日起至工程竣工验收合格之日；③如果由于服务期延误或银行、保险公司要求分期出具保函的，则在前一份保函有效期满之日2个月前必须重新出具相同内容的保函；④保函开具方需开通官方网站进行在线查询功能。采购人通过开具方的官方网站进行在线查询后，可以确认真实性的，对原件进行收讫。否则，采购人有权不予收讫）。（以银行转账、转帐支票、银行汇票等形式提交的：①从成交供应商基本账户转出；②履约担保退还时间：采购人在工程竣工验收合格后15日内退还履约担保（无息）。）</w:t>
      </w:r>
    </w:p>
    <w:p w14:paraId="572BC1F9">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七、保密要求</w:t>
      </w:r>
    </w:p>
    <w:p w14:paraId="44BD5CBA">
      <w:pPr>
        <w:spacing w:line="360" w:lineRule="auto"/>
        <w:ind w:firstLine="566"/>
        <w:rPr>
          <w:rFonts w:ascii="仿宋" w:hAnsi="仿宋" w:eastAsia="仿宋" w:cs="仿宋"/>
          <w:sz w:val="24"/>
        </w:rPr>
      </w:pPr>
      <w:r>
        <w:rPr>
          <w:rFonts w:hint="eastAsia" w:ascii="仿宋" w:hAnsi="仿宋" w:eastAsia="仿宋" w:cs="仿宋"/>
          <w:b/>
          <w:sz w:val="24"/>
        </w:rPr>
        <w:t>（一）</w:t>
      </w:r>
      <w:r>
        <w:rPr>
          <w:rFonts w:hint="eastAsia" w:ascii="仿宋" w:hAnsi="仿宋" w:eastAsia="仿宋" w:cs="仿宋"/>
          <w:sz w:val="24"/>
        </w:rPr>
        <w:t>甲乙双方不经另一方的同意，不得直接或间接的将本合同项目有关的、与合同双方有关的或与第三方有关的，以书面、口头、图形、电子或其他任何形式表现的信息，泄露、披露或传授给任何与本合同项目无关的人员或第三方。</w:t>
      </w:r>
    </w:p>
    <w:p w14:paraId="2F9B1B4C">
      <w:pPr>
        <w:spacing w:line="360" w:lineRule="auto"/>
        <w:ind w:firstLine="566"/>
        <w:rPr>
          <w:rFonts w:ascii="仿宋" w:hAnsi="仿宋" w:eastAsia="仿宋" w:cs="仿宋"/>
          <w:sz w:val="24"/>
        </w:rPr>
      </w:pPr>
      <w:r>
        <w:rPr>
          <w:rFonts w:hint="eastAsia" w:ascii="仿宋" w:hAnsi="仿宋" w:eastAsia="仿宋" w:cs="仿宋"/>
          <w:b/>
          <w:sz w:val="24"/>
        </w:rPr>
        <w:t>（二）</w:t>
      </w:r>
      <w:r>
        <w:rPr>
          <w:rFonts w:hint="eastAsia" w:ascii="仿宋" w:hAnsi="仿宋" w:eastAsia="仿宋" w:cs="仿宋"/>
          <w:sz w:val="24"/>
        </w:rPr>
        <w:t>保密期限为本合同生效之日起至保密信息被甲方披露或成为公开信息之日止。</w:t>
      </w:r>
    </w:p>
    <w:p w14:paraId="6C72F046">
      <w:pPr>
        <w:spacing w:line="360" w:lineRule="auto"/>
        <w:ind w:firstLine="566"/>
        <w:rPr>
          <w:rFonts w:ascii="仿宋" w:hAnsi="仿宋" w:eastAsia="仿宋" w:cs="仿宋"/>
          <w:sz w:val="24"/>
        </w:rPr>
      </w:pPr>
      <w:r>
        <w:rPr>
          <w:rFonts w:hint="eastAsia" w:ascii="仿宋" w:hAnsi="仿宋" w:eastAsia="仿宋" w:cs="仿宋"/>
          <w:b/>
          <w:sz w:val="24"/>
        </w:rPr>
        <w:t>（三）</w:t>
      </w:r>
      <w:r>
        <w:rPr>
          <w:rFonts w:hint="eastAsia" w:ascii="仿宋" w:hAnsi="仿宋" w:eastAsia="仿宋" w:cs="仿宋"/>
          <w:sz w:val="24"/>
        </w:rPr>
        <w:t>下列信息不视为保密信息，双方另有约定的除外：</w:t>
      </w:r>
    </w:p>
    <w:p w14:paraId="10789A14">
      <w:pPr>
        <w:spacing w:line="360" w:lineRule="auto"/>
        <w:ind w:firstLine="564"/>
        <w:rPr>
          <w:rFonts w:ascii="仿宋" w:hAnsi="仿宋" w:eastAsia="仿宋" w:cs="仿宋"/>
          <w:sz w:val="24"/>
        </w:rPr>
      </w:pPr>
      <w:r>
        <w:rPr>
          <w:rFonts w:hint="eastAsia" w:ascii="仿宋" w:hAnsi="仿宋" w:eastAsia="仿宋" w:cs="仿宋"/>
          <w:sz w:val="24"/>
        </w:rPr>
        <w:t>1.非因一方的过错，另一方披露时已可公开获取的信息；</w:t>
      </w:r>
    </w:p>
    <w:p w14:paraId="7DBBB36D">
      <w:pPr>
        <w:spacing w:line="360" w:lineRule="auto"/>
        <w:ind w:firstLine="564"/>
        <w:rPr>
          <w:rFonts w:ascii="仿宋" w:hAnsi="仿宋" w:eastAsia="仿宋" w:cs="仿宋"/>
          <w:sz w:val="24"/>
        </w:rPr>
      </w:pPr>
      <w:r>
        <w:rPr>
          <w:rFonts w:hint="eastAsia" w:ascii="仿宋" w:hAnsi="仿宋" w:eastAsia="仿宋" w:cs="仿宋"/>
          <w:sz w:val="24"/>
        </w:rPr>
        <w:t>2.一方根据有效的司法、仲裁机构、政府机关及其分支机构或其他监管机构的要求而披露的信息。</w:t>
      </w:r>
    </w:p>
    <w:p w14:paraId="24DF4559">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八、违约责任</w:t>
      </w:r>
    </w:p>
    <w:p w14:paraId="24743EC6">
      <w:pPr>
        <w:spacing w:line="360" w:lineRule="auto"/>
        <w:ind w:firstLine="566"/>
        <w:rPr>
          <w:rFonts w:ascii="仿宋" w:hAnsi="仿宋" w:eastAsia="仿宋" w:cs="仿宋"/>
          <w:sz w:val="24"/>
        </w:rPr>
      </w:pPr>
      <w:r>
        <w:rPr>
          <w:rFonts w:hint="eastAsia" w:ascii="仿宋" w:hAnsi="仿宋" w:eastAsia="仿宋" w:cs="仿宋"/>
          <w:sz w:val="24"/>
        </w:rPr>
        <w:t>（一）因甲方未履行义务而造成乙方无法按时保质地完成检测业务的，甲方应当承担相应的经济损失，并赔偿由此给乙方造成的损失。</w:t>
      </w:r>
    </w:p>
    <w:p w14:paraId="1A990ACC">
      <w:pPr>
        <w:spacing w:line="360" w:lineRule="auto"/>
        <w:ind w:firstLine="566"/>
        <w:rPr>
          <w:rFonts w:ascii="仿宋" w:hAnsi="仿宋" w:eastAsia="仿宋" w:cs="仿宋"/>
          <w:sz w:val="24"/>
        </w:rPr>
      </w:pPr>
      <w:r>
        <w:rPr>
          <w:rFonts w:hint="eastAsia" w:ascii="仿宋" w:hAnsi="仿宋" w:eastAsia="仿宋" w:cs="仿宋"/>
          <w:sz w:val="24"/>
        </w:rPr>
        <w:t>（二）检测报告信息错误、未按照约定检测依据进行检测或者检测结论判断错误的，乙方应进行更正或免费重新进行检测，给甲方造成损失的应予以赔偿，由甲方原因造成上述错误的除外。</w:t>
      </w:r>
    </w:p>
    <w:p w14:paraId="7C3FF7EB">
      <w:pPr>
        <w:spacing w:line="360" w:lineRule="auto"/>
        <w:ind w:firstLine="566"/>
        <w:rPr>
          <w:rFonts w:ascii="仿宋" w:hAnsi="仿宋" w:eastAsia="仿宋" w:cs="仿宋"/>
          <w:sz w:val="24"/>
        </w:rPr>
      </w:pPr>
      <w:r>
        <w:rPr>
          <w:rFonts w:hint="eastAsia" w:ascii="仿宋" w:hAnsi="仿宋" w:eastAsia="仿宋" w:cs="仿宋"/>
          <w:sz w:val="24"/>
        </w:rPr>
        <w:t>（三）由于乙方原因造成的交付的报告、成果、文件错误、不准确，因无条件返工，造成损失的，由乙方进行相应赔偿，造成工期延误、质量安全事故的，乙方承担相应的法律责任和经济责任。</w:t>
      </w:r>
    </w:p>
    <w:p w14:paraId="3D16DAF9">
      <w:pPr>
        <w:spacing w:line="360" w:lineRule="auto"/>
        <w:ind w:firstLine="566"/>
        <w:rPr>
          <w:rFonts w:ascii="仿宋" w:hAnsi="仿宋" w:eastAsia="仿宋" w:cs="仿宋"/>
          <w:sz w:val="24"/>
        </w:rPr>
      </w:pPr>
      <w:r>
        <w:rPr>
          <w:rFonts w:hint="eastAsia" w:ascii="仿宋" w:hAnsi="仿宋" w:eastAsia="仿宋" w:cs="仿宋"/>
          <w:sz w:val="24"/>
        </w:rPr>
        <w:t>（四）由于乙方原因未按规定时间交付报告、成果、文件，每延误一天应承担以500元的违约金。如遇异常恶劣的气候，交付时间予以顺延。</w:t>
      </w:r>
    </w:p>
    <w:p w14:paraId="30DB4BD0">
      <w:pPr>
        <w:spacing w:line="360" w:lineRule="auto"/>
        <w:ind w:firstLine="566"/>
        <w:rPr>
          <w:rFonts w:ascii="仿宋" w:hAnsi="仿宋" w:eastAsia="仿宋" w:cs="仿宋"/>
          <w:sz w:val="24"/>
        </w:rPr>
      </w:pPr>
      <w:r>
        <w:rPr>
          <w:rFonts w:hint="eastAsia" w:ascii="仿宋" w:hAnsi="仿宋" w:eastAsia="仿宋" w:cs="仿宋"/>
          <w:sz w:val="24"/>
        </w:rPr>
        <w:t>（五）乙方接到进场检测通知后应于48小时内进场，每延误一天应承担以1000元的违约金。如遇异常恶劣的气候，进场时间予以顺延。</w:t>
      </w:r>
    </w:p>
    <w:p w14:paraId="67F83DBB">
      <w:pPr>
        <w:spacing w:line="360" w:lineRule="auto"/>
        <w:ind w:firstLine="566"/>
        <w:rPr>
          <w:rFonts w:ascii="仿宋" w:hAnsi="仿宋" w:eastAsia="仿宋" w:cs="仿宋"/>
          <w:sz w:val="24"/>
        </w:rPr>
      </w:pPr>
      <w:r>
        <w:rPr>
          <w:rFonts w:hint="eastAsia" w:ascii="仿宋" w:hAnsi="仿宋" w:eastAsia="仿宋" w:cs="仿宋"/>
          <w:sz w:val="24"/>
        </w:rPr>
        <w:t>（六）交付的报告、成果、文件达不到合同约定条件的部分，甲方可要求乙方返工，乙方按甲方要求的时间返工，直到符合条件，因乙方原因达不到约定条件，由乙方承担返工费，返工后仍不能达到约定条件，乙方承担违约责任，并根据因此造成的损失程度向甲方支付赔偿金，赔偿金额最高不超过返工项目的收费。</w:t>
      </w:r>
    </w:p>
    <w:p w14:paraId="3965209A">
      <w:pPr>
        <w:spacing w:line="360" w:lineRule="auto"/>
        <w:ind w:firstLine="566"/>
        <w:rPr>
          <w:rFonts w:ascii="仿宋" w:hAnsi="仿宋" w:eastAsia="仿宋" w:cs="仿宋"/>
          <w:sz w:val="24"/>
        </w:rPr>
      </w:pPr>
      <w:r>
        <w:rPr>
          <w:rFonts w:hint="eastAsia" w:ascii="仿宋" w:hAnsi="仿宋" w:eastAsia="仿宋" w:cs="仿宋"/>
          <w:sz w:val="24"/>
        </w:rPr>
        <w:t>（七）甲方可委托第三方检测机构不定期进行一定比例的抽查，如发现检测成果与实际质量情况不符，每发现一处，支付违约金2万元，可以在工程款支付中直接扣罚，超过3处的，甲方有权解除合同，并扣除中标合同总金额的10%的违约金。</w:t>
      </w:r>
    </w:p>
    <w:p w14:paraId="77A07C79">
      <w:pPr>
        <w:spacing w:line="360" w:lineRule="auto"/>
        <w:ind w:firstLine="566"/>
        <w:rPr>
          <w:rFonts w:ascii="仿宋" w:hAnsi="仿宋" w:eastAsia="仿宋" w:cs="仿宋"/>
          <w:sz w:val="24"/>
        </w:rPr>
      </w:pPr>
      <w:r>
        <w:rPr>
          <w:rFonts w:hint="eastAsia" w:ascii="仿宋" w:hAnsi="仿宋" w:eastAsia="仿宋" w:cs="仿宋"/>
          <w:sz w:val="24"/>
        </w:rPr>
        <w:t>（八）项目负责人以及主要检测人员，出现下列情况，甲方有权没收相应的履约保证金，并扣除违约金：按发生的累计次数计算，发现第一次罚款10万元，发现第二次解除合同，上报行业行政主管部门，并有权追索因此造成的损失：</w:t>
      </w:r>
    </w:p>
    <w:p w14:paraId="62D42790">
      <w:pPr>
        <w:spacing w:line="360" w:lineRule="auto"/>
        <w:ind w:firstLine="566"/>
        <w:rPr>
          <w:rFonts w:ascii="仿宋" w:hAnsi="仿宋" w:eastAsia="仿宋" w:cs="仿宋"/>
          <w:sz w:val="24"/>
        </w:rPr>
      </w:pPr>
      <w:r>
        <w:rPr>
          <w:rFonts w:hint="eastAsia" w:ascii="仿宋" w:hAnsi="仿宋" w:eastAsia="仿宋" w:cs="仿宋"/>
          <w:sz w:val="24"/>
        </w:rPr>
        <w:t>1、因发生吃拿卡要，收受施工单位礼金等廉洁问题被清退的；</w:t>
      </w:r>
    </w:p>
    <w:p w14:paraId="7FFEB805">
      <w:pPr>
        <w:spacing w:line="360" w:lineRule="auto"/>
        <w:ind w:firstLine="566"/>
        <w:rPr>
          <w:rFonts w:ascii="仿宋" w:hAnsi="仿宋" w:eastAsia="仿宋" w:cs="仿宋"/>
          <w:sz w:val="24"/>
        </w:rPr>
      </w:pPr>
      <w:r>
        <w:rPr>
          <w:rFonts w:hint="eastAsia" w:ascii="仿宋" w:hAnsi="仿宋" w:eastAsia="仿宋" w:cs="仿宋"/>
          <w:sz w:val="24"/>
        </w:rPr>
        <w:t>2、与施工单位串通、弄虚作假，出具不符合实际情况的检测报告的。</w:t>
      </w:r>
    </w:p>
    <w:p w14:paraId="69E6898E">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九、合同解除：</w:t>
      </w:r>
    </w:p>
    <w:p w14:paraId="4C380299">
      <w:pPr>
        <w:spacing w:line="360" w:lineRule="auto"/>
        <w:ind w:firstLine="566"/>
        <w:rPr>
          <w:rFonts w:ascii="仿宋" w:hAnsi="仿宋" w:eastAsia="仿宋" w:cs="仿宋"/>
          <w:sz w:val="24"/>
        </w:rPr>
      </w:pPr>
      <w:r>
        <w:rPr>
          <w:rFonts w:hint="eastAsia" w:ascii="仿宋" w:hAnsi="仿宋" w:eastAsia="仿宋" w:cs="仿宋"/>
          <w:b/>
          <w:sz w:val="24"/>
        </w:rPr>
        <w:t>（一）</w:t>
      </w:r>
      <w:r>
        <w:rPr>
          <w:rFonts w:hint="eastAsia" w:ascii="仿宋" w:hAnsi="仿宋" w:eastAsia="仿宋" w:cs="仿宋"/>
          <w:sz w:val="24"/>
        </w:rPr>
        <w:t>经合同双方协商一致，同意解除合同的；</w:t>
      </w:r>
    </w:p>
    <w:p w14:paraId="1BC884A5">
      <w:pPr>
        <w:spacing w:line="360" w:lineRule="auto"/>
        <w:ind w:firstLine="566"/>
        <w:rPr>
          <w:rFonts w:ascii="仿宋" w:hAnsi="仿宋" w:eastAsia="仿宋" w:cs="仿宋"/>
          <w:sz w:val="24"/>
        </w:rPr>
      </w:pPr>
      <w:r>
        <w:rPr>
          <w:rFonts w:hint="eastAsia" w:ascii="仿宋" w:hAnsi="仿宋" w:eastAsia="仿宋" w:cs="仿宋"/>
          <w:b/>
          <w:sz w:val="24"/>
        </w:rPr>
        <w:t>（二）</w:t>
      </w:r>
      <w:r>
        <w:rPr>
          <w:rFonts w:hint="eastAsia" w:ascii="仿宋" w:hAnsi="仿宋" w:eastAsia="仿宋" w:cs="仿宋"/>
          <w:sz w:val="24"/>
        </w:rPr>
        <w:t xml:space="preserve">因发生不可抗力或重大技术风险导致不能实施检测活动或出具检测报告的； </w:t>
      </w:r>
    </w:p>
    <w:p w14:paraId="76957858">
      <w:pPr>
        <w:spacing w:line="360" w:lineRule="auto"/>
        <w:ind w:firstLine="566"/>
        <w:rPr>
          <w:rFonts w:ascii="仿宋" w:hAnsi="仿宋" w:eastAsia="仿宋" w:cs="仿宋"/>
          <w:sz w:val="24"/>
        </w:rPr>
      </w:pPr>
      <w:r>
        <w:rPr>
          <w:rFonts w:hint="eastAsia" w:ascii="仿宋" w:hAnsi="仿宋" w:eastAsia="仿宋" w:cs="仿宋"/>
          <w:b/>
          <w:sz w:val="24"/>
        </w:rPr>
        <w:t>（三）</w:t>
      </w:r>
      <w:r>
        <w:rPr>
          <w:rFonts w:hint="eastAsia" w:ascii="仿宋" w:hAnsi="仿宋" w:eastAsia="仿宋" w:cs="仿宋"/>
          <w:sz w:val="24"/>
        </w:rPr>
        <w:t>甲方不按约付款，经催告后在合理的时间内仍未履行，乙方可单方提出解除合同。乙方迟于7日开展检测工作，经催告后合理时间内仍未履行的，甲方可单方提出解除合同；</w:t>
      </w:r>
    </w:p>
    <w:p w14:paraId="5F36AFF8">
      <w:pPr>
        <w:spacing w:line="360" w:lineRule="auto"/>
        <w:ind w:firstLine="566"/>
        <w:rPr>
          <w:rFonts w:ascii="仿宋" w:hAnsi="仿宋" w:eastAsia="仿宋" w:cs="仿宋"/>
          <w:sz w:val="24"/>
        </w:rPr>
      </w:pPr>
      <w:r>
        <w:rPr>
          <w:rFonts w:hint="eastAsia" w:ascii="仿宋" w:hAnsi="仿宋" w:eastAsia="仿宋" w:cs="仿宋"/>
          <w:b/>
          <w:sz w:val="24"/>
        </w:rPr>
        <w:t>（四）</w:t>
      </w:r>
      <w:r>
        <w:rPr>
          <w:rFonts w:hint="eastAsia" w:ascii="仿宋" w:hAnsi="仿宋" w:eastAsia="仿宋" w:cs="仿宋"/>
          <w:sz w:val="24"/>
        </w:rPr>
        <w:t>在履行期限届满之前，一方明确表示或者以自己行为表明不履行本合同主要义务；</w:t>
      </w:r>
    </w:p>
    <w:p w14:paraId="50099B6E">
      <w:pPr>
        <w:spacing w:line="360" w:lineRule="auto"/>
        <w:ind w:firstLine="566"/>
        <w:rPr>
          <w:rFonts w:ascii="仿宋" w:hAnsi="仿宋" w:eastAsia="仿宋" w:cs="仿宋"/>
          <w:sz w:val="24"/>
        </w:rPr>
      </w:pPr>
      <w:r>
        <w:rPr>
          <w:rFonts w:hint="eastAsia" w:ascii="仿宋" w:hAnsi="仿宋" w:eastAsia="仿宋" w:cs="仿宋"/>
          <w:b/>
          <w:sz w:val="24"/>
        </w:rPr>
        <w:t>（五）</w:t>
      </w:r>
      <w:r>
        <w:rPr>
          <w:rFonts w:hint="eastAsia" w:ascii="仿宋" w:hAnsi="仿宋" w:eastAsia="仿宋" w:cs="仿宋"/>
          <w:sz w:val="24"/>
        </w:rPr>
        <w:t>法律规定的其他情形。</w:t>
      </w:r>
    </w:p>
    <w:p w14:paraId="1B9C98BD">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十、争议解决</w:t>
      </w:r>
    </w:p>
    <w:p w14:paraId="619C52F7">
      <w:pPr>
        <w:spacing w:line="360" w:lineRule="auto"/>
        <w:ind w:firstLine="566"/>
        <w:rPr>
          <w:rFonts w:ascii="仿宋" w:hAnsi="仿宋" w:eastAsia="仿宋" w:cs="仿宋"/>
          <w:sz w:val="24"/>
        </w:rPr>
      </w:pPr>
      <w:r>
        <w:rPr>
          <w:rFonts w:hint="eastAsia" w:ascii="仿宋" w:hAnsi="仿宋" w:eastAsia="仿宋" w:cs="仿宋"/>
          <w:b/>
          <w:sz w:val="24"/>
        </w:rPr>
        <w:t>（一）</w:t>
      </w:r>
      <w:r>
        <w:rPr>
          <w:rFonts w:hint="eastAsia" w:ascii="仿宋" w:hAnsi="仿宋" w:eastAsia="仿宋" w:cs="仿宋"/>
          <w:sz w:val="24"/>
        </w:rPr>
        <w:t>履行本合同如发生争议，应通过友好协商解决。如协商解决不成，双方商定，采用以下第（</w:t>
      </w:r>
      <w:r>
        <w:rPr>
          <w:rFonts w:hint="eastAsia" w:ascii="仿宋" w:hAnsi="仿宋" w:eastAsia="仿宋" w:cs="仿宋"/>
          <w:sz w:val="24"/>
          <w:u w:val="single"/>
        </w:rPr>
        <w:t xml:space="preserve"> 2 </w:t>
      </w:r>
      <w:r>
        <w:rPr>
          <w:rFonts w:hint="eastAsia" w:ascii="仿宋" w:hAnsi="仿宋" w:eastAsia="仿宋" w:cs="仿宋"/>
          <w:sz w:val="24"/>
        </w:rPr>
        <w:t>）种方式解决。</w:t>
      </w:r>
    </w:p>
    <w:p w14:paraId="4527B26F">
      <w:pPr>
        <w:spacing w:line="360" w:lineRule="auto"/>
        <w:ind w:firstLine="564"/>
        <w:rPr>
          <w:rFonts w:ascii="仿宋" w:hAnsi="仿宋" w:eastAsia="仿宋" w:cs="仿宋"/>
          <w:sz w:val="24"/>
        </w:rPr>
      </w:pPr>
      <w:r>
        <w:rPr>
          <w:rFonts w:hint="eastAsia" w:ascii="仿宋" w:hAnsi="仿宋" w:eastAsia="仿宋" w:cs="仿宋"/>
          <w:sz w:val="24"/>
        </w:rPr>
        <w:t>1. 因本合同所发生任何争议，申请项目所在地仲裁委员会仲裁；</w:t>
      </w:r>
    </w:p>
    <w:p w14:paraId="1EF52AF6">
      <w:pPr>
        <w:spacing w:line="360" w:lineRule="auto"/>
        <w:ind w:firstLine="564"/>
        <w:rPr>
          <w:rFonts w:ascii="仿宋" w:hAnsi="仿宋" w:eastAsia="仿宋" w:cs="仿宋"/>
          <w:sz w:val="24"/>
        </w:rPr>
      </w:pPr>
      <w:r>
        <w:rPr>
          <w:rFonts w:hint="eastAsia" w:ascii="仿宋" w:hAnsi="仿宋" w:eastAsia="仿宋" w:cs="仿宋"/>
          <w:sz w:val="24"/>
        </w:rPr>
        <w:t>2. 可由本合同签订地或者项目所在地人民法院诉讼管辖。</w:t>
      </w:r>
    </w:p>
    <w:p w14:paraId="3E7DE2A7">
      <w:pPr>
        <w:spacing w:line="360" w:lineRule="auto"/>
        <w:ind w:firstLine="566"/>
        <w:rPr>
          <w:rFonts w:ascii="仿宋" w:hAnsi="仿宋" w:eastAsia="仿宋" w:cs="仿宋"/>
          <w:sz w:val="24"/>
        </w:rPr>
      </w:pPr>
      <w:r>
        <w:rPr>
          <w:rFonts w:hint="eastAsia" w:ascii="仿宋" w:hAnsi="仿宋" w:eastAsia="仿宋" w:cs="仿宋"/>
          <w:b/>
          <w:sz w:val="24"/>
        </w:rPr>
        <w:t>（二）</w:t>
      </w:r>
      <w:r>
        <w:rPr>
          <w:rFonts w:hint="eastAsia" w:ascii="仿宋" w:hAnsi="仿宋" w:eastAsia="仿宋" w:cs="仿宋"/>
          <w:sz w:val="24"/>
        </w:rPr>
        <w:t>本合同项下债权人通过诉讼或仲裁债权时，由债务人承担债权人实现债权所产生的诉讼费（仲裁费）、律师费、差旅费、担保费等费用。</w:t>
      </w:r>
    </w:p>
    <w:p w14:paraId="7E6CFED9">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十一、其他</w:t>
      </w:r>
    </w:p>
    <w:p w14:paraId="3679D766">
      <w:pPr>
        <w:spacing w:line="360" w:lineRule="auto"/>
        <w:ind w:left="564"/>
        <w:rPr>
          <w:rFonts w:ascii="仿宋" w:hAnsi="仿宋" w:eastAsia="仿宋" w:cs="仿宋"/>
          <w:sz w:val="24"/>
        </w:rPr>
      </w:pPr>
      <w:r>
        <w:rPr>
          <w:rFonts w:hint="eastAsia" w:ascii="仿宋" w:hAnsi="仿宋" w:eastAsia="仿宋" w:cs="仿宋"/>
          <w:b/>
          <w:sz w:val="24"/>
        </w:rPr>
        <w:t>（一）</w:t>
      </w:r>
      <w:r>
        <w:rPr>
          <w:rFonts w:hint="eastAsia" w:ascii="仿宋" w:hAnsi="仿宋" w:eastAsia="仿宋" w:cs="仿宋"/>
          <w:sz w:val="24"/>
        </w:rPr>
        <w:t>本合同一式拾份，甲方伍份，乙方伍份，具有同等法律效力。</w:t>
      </w:r>
    </w:p>
    <w:p w14:paraId="7B493499">
      <w:pPr>
        <w:spacing w:line="360" w:lineRule="auto"/>
        <w:ind w:left="560"/>
        <w:rPr>
          <w:rFonts w:ascii="仿宋" w:hAnsi="仿宋" w:eastAsia="仿宋" w:cs="仿宋"/>
          <w:sz w:val="24"/>
        </w:rPr>
      </w:pPr>
      <w:r>
        <w:rPr>
          <w:rFonts w:hint="eastAsia" w:ascii="仿宋" w:hAnsi="仿宋" w:eastAsia="仿宋" w:cs="仿宋"/>
          <w:b/>
          <w:sz w:val="24"/>
        </w:rPr>
        <w:t>（二）</w:t>
      </w:r>
      <w:r>
        <w:rPr>
          <w:rFonts w:hint="eastAsia" w:ascii="仿宋" w:hAnsi="仿宋" w:eastAsia="仿宋" w:cs="仿宋"/>
          <w:sz w:val="24"/>
        </w:rPr>
        <w:t>本合同经双方签字盖章后生效。</w:t>
      </w:r>
    </w:p>
    <w:p w14:paraId="4273DBE6">
      <w:pPr>
        <w:spacing w:line="360" w:lineRule="auto"/>
        <w:ind w:firstLine="566"/>
        <w:rPr>
          <w:rFonts w:ascii="仿宋" w:hAnsi="仿宋" w:eastAsia="仿宋" w:cs="仿宋"/>
          <w:sz w:val="24"/>
        </w:rPr>
      </w:pPr>
      <w:r>
        <w:rPr>
          <w:rFonts w:hint="eastAsia" w:ascii="仿宋" w:hAnsi="仿宋" w:eastAsia="仿宋" w:cs="仿宋"/>
          <w:b/>
          <w:sz w:val="24"/>
        </w:rPr>
        <w:t>（三）</w:t>
      </w:r>
      <w:r>
        <w:rPr>
          <w:rFonts w:hint="eastAsia" w:ascii="仿宋" w:hAnsi="仿宋" w:eastAsia="仿宋" w:cs="仿宋"/>
          <w:sz w:val="24"/>
        </w:rPr>
        <w:t>本合同所载明的地址、电话、电子邮件为双方通知送达合法有效的地址、电话、电子邮件，如果任何一方变更，应在变更后3日内书面通知对方，否则任何一方一经发送前述地址、电话、电子邮件，即视为被送达方收到。</w:t>
      </w:r>
    </w:p>
    <w:p w14:paraId="71C7EC61">
      <w:pPr>
        <w:spacing w:line="360" w:lineRule="auto"/>
        <w:ind w:firstLine="566"/>
        <w:rPr>
          <w:rFonts w:ascii="仿宋" w:hAnsi="仿宋" w:eastAsia="仿宋" w:cs="仿宋"/>
          <w:sz w:val="24"/>
        </w:rPr>
      </w:pPr>
      <w:r>
        <w:rPr>
          <w:rFonts w:hint="eastAsia" w:ascii="仿宋" w:hAnsi="仿宋" w:eastAsia="仿宋" w:cs="仿宋"/>
          <w:b/>
          <w:sz w:val="24"/>
        </w:rPr>
        <w:t>（四）</w:t>
      </w:r>
      <w:r>
        <w:rPr>
          <w:rFonts w:hint="eastAsia" w:ascii="仿宋" w:hAnsi="仿宋" w:eastAsia="仿宋" w:cs="仿宋"/>
          <w:sz w:val="24"/>
        </w:rPr>
        <w:t>当甲方委托乙方承担现场取样工作时，合同双方应对取样费用、双方的主要义务和检测程序进行补充约定。</w:t>
      </w:r>
    </w:p>
    <w:p w14:paraId="1DC43FAC">
      <w:pPr>
        <w:spacing w:line="360" w:lineRule="auto"/>
        <w:ind w:firstLine="566"/>
        <w:rPr>
          <w:rFonts w:ascii="仿宋" w:hAnsi="仿宋" w:eastAsia="仿宋" w:cs="仿宋"/>
          <w:sz w:val="24"/>
        </w:rPr>
      </w:pPr>
      <w:r>
        <w:rPr>
          <w:rFonts w:hint="eastAsia" w:ascii="仿宋" w:hAnsi="仿宋" w:eastAsia="仿宋" w:cs="仿宋"/>
          <w:b/>
          <w:sz w:val="24"/>
        </w:rPr>
        <w:t>（五）</w:t>
      </w:r>
      <w:r>
        <w:rPr>
          <w:rFonts w:hint="eastAsia" w:ascii="仿宋" w:hAnsi="仿宋" w:eastAsia="仿宋" w:cs="仿宋"/>
          <w:sz w:val="24"/>
        </w:rPr>
        <w:t>部分检测项目，乙方不具备相应检测参数的，经甲方同意后允许单项分包。</w:t>
      </w:r>
    </w:p>
    <w:p w14:paraId="0CCB7BD6">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十二、其他约定事项</w:t>
      </w:r>
    </w:p>
    <w:p w14:paraId="755A65C1">
      <w:pPr>
        <w:numPr>
          <w:ilvl w:val="0"/>
          <w:numId w:val="11"/>
        </w:numPr>
        <w:spacing w:line="360" w:lineRule="auto"/>
        <w:ind w:firstLine="566"/>
        <w:rPr>
          <w:rFonts w:ascii="仿宋" w:hAnsi="仿宋" w:eastAsia="仿宋" w:cs="仿宋"/>
          <w:sz w:val="24"/>
        </w:rPr>
      </w:pPr>
      <w:r>
        <w:rPr>
          <w:rFonts w:hint="eastAsia" w:ascii="仿宋" w:hAnsi="仿宋" w:eastAsia="仿宋" w:cs="仿宋"/>
          <w:sz w:val="24"/>
        </w:rPr>
        <w:t>整个项目检测必须满足图纸、技术规程、验收规范、有关文件及当地相关部门的竣工验收要求。</w:t>
      </w:r>
    </w:p>
    <w:tbl>
      <w:tblPr>
        <w:tblStyle w:val="16"/>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2"/>
        <w:gridCol w:w="4424"/>
      </w:tblGrid>
      <w:tr w14:paraId="71C8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3742" w:type="dxa"/>
            <w:tcBorders>
              <w:top w:val="single" w:color="auto" w:sz="4" w:space="0"/>
              <w:left w:val="single" w:color="auto" w:sz="4" w:space="0"/>
              <w:bottom w:val="single" w:color="auto" w:sz="4" w:space="0"/>
              <w:right w:val="single" w:color="auto" w:sz="4" w:space="0"/>
            </w:tcBorders>
          </w:tcPr>
          <w:p w14:paraId="27FE92FA">
            <w:pPr>
              <w:rPr>
                <w:rFonts w:ascii="仿宋" w:hAnsi="仿宋" w:eastAsia="仿宋" w:cs="仿宋"/>
                <w:spacing w:val="-9"/>
                <w:sz w:val="24"/>
              </w:rPr>
            </w:pPr>
            <w:r>
              <w:rPr>
                <w:rFonts w:hint="eastAsia" w:ascii="仿宋" w:hAnsi="仿宋" w:eastAsia="仿宋" w:cs="仿宋"/>
                <w:spacing w:val="-9"/>
                <w:sz w:val="24"/>
              </w:rPr>
              <w:t xml:space="preserve">      委托方：（签章）</w:t>
            </w:r>
          </w:p>
          <w:p w14:paraId="6C595004">
            <w:pPr>
              <w:ind w:firstLine="564"/>
              <w:rPr>
                <w:rFonts w:ascii="仿宋" w:hAnsi="仿宋" w:eastAsia="仿宋" w:cs="仿宋"/>
                <w:spacing w:val="-9"/>
                <w:sz w:val="24"/>
              </w:rPr>
            </w:pPr>
          </w:p>
          <w:p w14:paraId="395FA96E">
            <w:pPr>
              <w:ind w:firstLine="564"/>
              <w:rPr>
                <w:rFonts w:ascii="仿宋" w:hAnsi="仿宋" w:eastAsia="仿宋" w:cs="仿宋"/>
                <w:spacing w:val="-9"/>
                <w:sz w:val="24"/>
              </w:rPr>
            </w:pPr>
            <w:r>
              <w:rPr>
                <w:rFonts w:hint="eastAsia" w:ascii="仿宋" w:hAnsi="仿宋" w:eastAsia="仿宋" w:cs="仿宋"/>
                <w:spacing w:val="-9"/>
                <w:sz w:val="24"/>
              </w:rPr>
              <w:t>地址：</w:t>
            </w:r>
          </w:p>
          <w:p w14:paraId="25F3C418">
            <w:pPr>
              <w:ind w:firstLine="564"/>
              <w:rPr>
                <w:rFonts w:ascii="仿宋" w:hAnsi="仿宋" w:eastAsia="仿宋" w:cs="仿宋"/>
                <w:spacing w:val="-9"/>
                <w:sz w:val="24"/>
              </w:rPr>
            </w:pPr>
            <w:r>
              <w:rPr>
                <w:rFonts w:hint="eastAsia" w:ascii="仿宋" w:hAnsi="仿宋" w:eastAsia="仿宋" w:cs="仿宋"/>
                <w:spacing w:val="-9"/>
                <w:sz w:val="24"/>
              </w:rPr>
              <w:t>代表人：</w:t>
            </w:r>
          </w:p>
          <w:p w14:paraId="13B68C1C">
            <w:pPr>
              <w:ind w:firstLine="564"/>
              <w:rPr>
                <w:rFonts w:ascii="仿宋" w:hAnsi="仿宋" w:eastAsia="仿宋" w:cs="仿宋"/>
                <w:spacing w:val="-9"/>
                <w:sz w:val="24"/>
              </w:rPr>
            </w:pPr>
            <w:r>
              <w:rPr>
                <w:rFonts w:hint="eastAsia" w:ascii="仿宋" w:hAnsi="仿宋" w:eastAsia="仿宋" w:cs="仿宋"/>
                <w:spacing w:val="-9"/>
                <w:sz w:val="24"/>
              </w:rPr>
              <w:t>经办人：</w:t>
            </w:r>
          </w:p>
          <w:p w14:paraId="5D29DB46">
            <w:pPr>
              <w:ind w:firstLine="564"/>
              <w:rPr>
                <w:rFonts w:ascii="仿宋" w:hAnsi="仿宋" w:eastAsia="仿宋" w:cs="仿宋"/>
                <w:spacing w:val="-9"/>
                <w:sz w:val="24"/>
              </w:rPr>
            </w:pPr>
            <w:r>
              <w:rPr>
                <w:rFonts w:hint="eastAsia" w:ascii="仿宋" w:hAnsi="仿宋" w:eastAsia="仿宋" w:cs="仿宋"/>
                <w:spacing w:val="-9"/>
                <w:sz w:val="24"/>
              </w:rPr>
              <w:t>开户银行：</w:t>
            </w:r>
          </w:p>
          <w:p w14:paraId="29CDE2C0">
            <w:pPr>
              <w:ind w:firstLine="564"/>
              <w:rPr>
                <w:rFonts w:ascii="仿宋" w:hAnsi="仿宋" w:eastAsia="仿宋" w:cs="仿宋"/>
                <w:spacing w:val="-9"/>
                <w:sz w:val="24"/>
              </w:rPr>
            </w:pPr>
            <w:r>
              <w:rPr>
                <w:rFonts w:hint="eastAsia" w:ascii="仿宋" w:hAnsi="仿宋" w:eastAsia="仿宋" w:cs="仿宋"/>
                <w:spacing w:val="-9"/>
                <w:sz w:val="24"/>
              </w:rPr>
              <w:t>账号：</w:t>
            </w:r>
          </w:p>
          <w:p w14:paraId="5A809CD1">
            <w:pPr>
              <w:ind w:firstLine="564"/>
              <w:rPr>
                <w:rFonts w:ascii="仿宋" w:hAnsi="仿宋" w:eastAsia="仿宋" w:cs="仿宋"/>
                <w:spacing w:val="-9"/>
                <w:sz w:val="24"/>
              </w:rPr>
            </w:pPr>
            <w:r>
              <w:rPr>
                <w:rFonts w:hint="eastAsia" w:ascii="仿宋" w:hAnsi="仿宋" w:eastAsia="仿宋" w:cs="仿宋"/>
                <w:spacing w:val="-9"/>
                <w:sz w:val="24"/>
              </w:rPr>
              <w:t>电话：</w:t>
            </w:r>
          </w:p>
          <w:p w14:paraId="130CD931">
            <w:pPr>
              <w:ind w:firstLine="564"/>
              <w:rPr>
                <w:rFonts w:ascii="仿宋" w:hAnsi="仿宋" w:eastAsia="仿宋" w:cs="仿宋"/>
                <w:spacing w:val="-9"/>
                <w:sz w:val="24"/>
              </w:rPr>
            </w:pPr>
            <w:r>
              <w:rPr>
                <w:rFonts w:hint="eastAsia" w:ascii="仿宋" w:hAnsi="仿宋" w:eastAsia="仿宋" w:cs="仿宋"/>
                <w:spacing w:val="-9"/>
                <w:sz w:val="24"/>
              </w:rPr>
              <w:t>电子邮箱：</w:t>
            </w:r>
          </w:p>
        </w:tc>
        <w:tc>
          <w:tcPr>
            <w:tcW w:w="4424" w:type="dxa"/>
            <w:tcBorders>
              <w:top w:val="single" w:color="auto" w:sz="4" w:space="0"/>
              <w:left w:val="single" w:color="auto" w:sz="4" w:space="0"/>
              <w:bottom w:val="single" w:color="auto" w:sz="4" w:space="0"/>
              <w:right w:val="single" w:color="auto" w:sz="4" w:space="0"/>
            </w:tcBorders>
          </w:tcPr>
          <w:p w14:paraId="6EF4E96A">
            <w:pPr>
              <w:ind w:firstLine="564"/>
              <w:rPr>
                <w:rFonts w:ascii="仿宋" w:hAnsi="仿宋" w:eastAsia="仿宋" w:cs="仿宋"/>
                <w:spacing w:val="-9"/>
                <w:sz w:val="24"/>
              </w:rPr>
            </w:pPr>
            <w:r>
              <w:rPr>
                <w:rFonts w:hint="eastAsia" w:ascii="仿宋" w:hAnsi="仿宋" w:eastAsia="仿宋" w:cs="仿宋"/>
                <w:spacing w:val="-9"/>
                <w:sz w:val="24"/>
              </w:rPr>
              <w:t>受托方：（签章）</w:t>
            </w:r>
          </w:p>
          <w:p w14:paraId="44AB85B0">
            <w:pPr>
              <w:ind w:firstLine="564"/>
              <w:rPr>
                <w:rFonts w:ascii="仿宋" w:hAnsi="仿宋" w:eastAsia="仿宋" w:cs="仿宋"/>
                <w:spacing w:val="-9"/>
                <w:sz w:val="24"/>
              </w:rPr>
            </w:pPr>
            <w:r>
              <w:rPr>
                <w:rFonts w:hint="eastAsia" w:ascii="仿宋" w:hAnsi="仿宋" w:eastAsia="仿宋" w:cs="仿宋"/>
                <w:spacing w:val="-9"/>
                <w:sz w:val="24"/>
              </w:rPr>
              <w:t>地址：</w:t>
            </w:r>
          </w:p>
          <w:p w14:paraId="03348649">
            <w:pPr>
              <w:ind w:firstLine="564"/>
              <w:rPr>
                <w:rFonts w:ascii="仿宋" w:hAnsi="仿宋" w:eastAsia="仿宋" w:cs="仿宋"/>
                <w:spacing w:val="-9"/>
                <w:sz w:val="24"/>
              </w:rPr>
            </w:pPr>
            <w:r>
              <w:rPr>
                <w:rFonts w:hint="eastAsia" w:ascii="仿宋" w:hAnsi="仿宋" w:eastAsia="仿宋" w:cs="仿宋"/>
                <w:spacing w:val="-9"/>
                <w:sz w:val="24"/>
              </w:rPr>
              <w:t>代表人：</w:t>
            </w:r>
          </w:p>
          <w:p w14:paraId="11104DBA">
            <w:pPr>
              <w:ind w:firstLine="564"/>
              <w:rPr>
                <w:rFonts w:ascii="仿宋" w:hAnsi="仿宋" w:eastAsia="仿宋" w:cs="仿宋"/>
                <w:spacing w:val="-9"/>
                <w:sz w:val="24"/>
              </w:rPr>
            </w:pPr>
            <w:r>
              <w:rPr>
                <w:rFonts w:hint="eastAsia" w:ascii="仿宋" w:hAnsi="仿宋" w:eastAsia="仿宋" w:cs="仿宋"/>
                <w:spacing w:val="-9"/>
                <w:sz w:val="24"/>
              </w:rPr>
              <w:t>经办人：</w:t>
            </w:r>
          </w:p>
          <w:p w14:paraId="39829CAF">
            <w:pPr>
              <w:ind w:firstLine="564"/>
              <w:rPr>
                <w:rFonts w:ascii="仿宋" w:hAnsi="仿宋" w:eastAsia="仿宋" w:cs="仿宋"/>
                <w:spacing w:val="-9"/>
                <w:sz w:val="24"/>
              </w:rPr>
            </w:pPr>
            <w:r>
              <w:rPr>
                <w:rFonts w:hint="eastAsia" w:ascii="仿宋" w:hAnsi="仿宋" w:eastAsia="仿宋" w:cs="仿宋"/>
                <w:spacing w:val="-9"/>
                <w:sz w:val="24"/>
              </w:rPr>
              <w:t>项目负责人：</w:t>
            </w:r>
          </w:p>
          <w:p w14:paraId="62C1B452">
            <w:pPr>
              <w:ind w:firstLine="564"/>
              <w:rPr>
                <w:rFonts w:ascii="仿宋" w:hAnsi="仿宋" w:eastAsia="仿宋" w:cs="仿宋"/>
                <w:spacing w:val="-9"/>
                <w:sz w:val="24"/>
              </w:rPr>
            </w:pPr>
            <w:r>
              <w:rPr>
                <w:rFonts w:hint="eastAsia" w:ascii="仿宋" w:hAnsi="仿宋" w:eastAsia="仿宋" w:cs="仿宋"/>
                <w:spacing w:val="-9"/>
                <w:sz w:val="24"/>
              </w:rPr>
              <w:t>开户银行：</w:t>
            </w:r>
          </w:p>
          <w:p w14:paraId="3C2FAA52">
            <w:pPr>
              <w:ind w:firstLine="564"/>
              <w:rPr>
                <w:rFonts w:ascii="仿宋" w:hAnsi="仿宋" w:eastAsia="仿宋" w:cs="仿宋"/>
                <w:spacing w:val="-9"/>
                <w:sz w:val="24"/>
              </w:rPr>
            </w:pPr>
            <w:r>
              <w:rPr>
                <w:rFonts w:hint="eastAsia" w:ascii="仿宋" w:hAnsi="仿宋" w:eastAsia="仿宋" w:cs="仿宋"/>
                <w:spacing w:val="-9"/>
                <w:sz w:val="24"/>
              </w:rPr>
              <w:t>账号：</w:t>
            </w:r>
          </w:p>
          <w:p w14:paraId="0BA5E149">
            <w:pPr>
              <w:ind w:firstLine="564"/>
              <w:rPr>
                <w:rFonts w:ascii="仿宋" w:hAnsi="仿宋" w:eastAsia="仿宋" w:cs="仿宋"/>
                <w:spacing w:val="-9"/>
                <w:sz w:val="24"/>
              </w:rPr>
            </w:pPr>
            <w:r>
              <w:rPr>
                <w:rFonts w:hint="eastAsia" w:ascii="仿宋" w:hAnsi="仿宋" w:eastAsia="仿宋" w:cs="仿宋"/>
                <w:spacing w:val="-9"/>
                <w:sz w:val="24"/>
              </w:rPr>
              <w:t>电话：</w:t>
            </w:r>
          </w:p>
          <w:p w14:paraId="75C06AA8">
            <w:pPr>
              <w:ind w:firstLine="564"/>
              <w:rPr>
                <w:rFonts w:ascii="仿宋" w:hAnsi="仿宋" w:eastAsia="仿宋" w:cs="仿宋"/>
                <w:spacing w:val="-9"/>
                <w:sz w:val="24"/>
              </w:rPr>
            </w:pPr>
            <w:r>
              <w:rPr>
                <w:rFonts w:hint="eastAsia" w:ascii="仿宋" w:hAnsi="仿宋" w:eastAsia="仿宋" w:cs="仿宋"/>
                <w:spacing w:val="-9"/>
                <w:sz w:val="24"/>
              </w:rPr>
              <w:t>电子邮箱：</w:t>
            </w:r>
          </w:p>
        </w:tc>
      </w:tr>
    </w:tbl>
    <w:p w14:paraId="3C39540F">
      <w:pPr>
        <w:spacing w:line="400" w:lineRule="exact"/>
        <w:ind w:firstLine="440"/>
        <w:rPr>
          <w:rFonts w:ascii="仿宋" w:hAnsi="仿宋" w:eastAsia="仿宋" w:cs="仿宋"/>
          <w:sz w:val="22"/>
          <w:szCs w:val="22"/>
        </w:rPr>
      </w:pPr>
    </w:p>
    <w:p w14:paraId="7E5AA2AE">
      <w:pPr>
        <w:spacing w:line="400" w:lineRule="exact"/>
        <w:ind w:firstLine="440"/>
        <w:rPr>
          <w:rFonts w:ascii="宋体" w:hAnsi="宋体" w:cs="宋体"/>
          <w:sz w:val="22"/>
          <w:szCs w:val="22"/>
        </w:rPr>
      </w:pPr>
    </w:p>
    <w:p w14:paraId="761FE83D">
      <w:pPr>
        <w:spacing w:line="400" w:lineRule="exact"/>
        <w:ind w:firstLine="440"/>
        <w:rPr>
          <w:rFonts w:ascii="宋体" w:hAnsi="宋体" w:cs="宋体"/>
          <w:sz w:val="22"/>
          <w:szCs w:val="22"/>
        </w:rPr>
      </w:pPr>
      <w:r>
        <w:rPr>
          <w:rFonts w:hint="eastAsia" w:ascii="宋体" w:hAnsi="宋体" w:cs="宋体"/>
          <w:sz w:val="22"/>
          <w:szCs w:val="22"/>
        </w:rPr>
        <w:t xml:space="preserve"> </w:t>
      </w:r>
    </w:p>
    <w:p w14:paraId="411D7641">
      <w:pPr>
        <w:spacing w:line="400" w:lineRule="exact"/>
        <w:ind w:firstLine="440"/>
        <w:rPr>
          <w:rFonts w:ascii="宋体" w:hAnsi="宋体" w:cs="宋体"/>
          <w:sz w:val="22"/>
          <w:szCs w:val="22"/>
        </w:rPr>
      </w:pPr>
    </w:p>
    <w:p w14:paraId="224E6C77">
      <w:pPr>
        <w:spacing w:line="400" w:lineRule="exact"/>
        <w:ind w:firstLine="440"/>
        <w:jc w:val="center"/>
        <w:rPr>
          <w:rFonts w:ascii="宋体" w:hAnsi="宋体" w:cs="宋体"/>
          <w:sz w:val="22"/>
          <w:szCs w:val="22"/>
        </w:rPr>
      </w:pPr>
    </w:p>
    <w:p w14:paraId="35A3C455">
      <w:pPr>
        <w:spacing w:line="400" w:lineRule="exact"/>
        <w:ind w:firstLine="440"/>
        <w:jc w:val="center"/>
        <w:rPr>
          <w:rFonts w:ascii="宋体" w:hAnsi="宋体" w:cs="宋体"/>
          <w:sz w:val="22"/>
          <w:szCs w:val="22"/>
        </w:rPr>
      </w:pPr>
    </w:p>
    <w:p w14:paraId="66AFC612">
      <w:pPr>
        <w:rPr>
          <w:rFonts w:ascii="仿宋" w:hAnsi="仿宋" w:eastAsia="仿宋" w:cs="仿宋"/>
          <w:b/>
          <w:sz w:val="36"/>
          <w:szCs w:val="20"/>
        </w:rPr>
      </w:pPr>
      <w:r>
        <w:rPr>
          <w:rFonts w:hint="eastAsia" w:ascii="仿宋" w:hAnsi="仿宋" w:eastAsia="仿宋" w:cs="仿宋"/>
          <w:b/>
          <w:sz w:val="36"/>
          <w:szCs w:val="20"/>
        </w:rPr>
        <w:br w:type="page"/>
      </w:r>
    </w:p>
    <w:p w14:paraId="004E8E8A">
      <w:pPr>
        <w:spacing w:line="360" w:lineRule="auto"/>
        <w:ind w:left="720" w:firstLine="723" w:firstLineChars="200"/>
        <w:outlineLvl w:val="0"/>
        <w:rPr>
          <w:rFonts w:ascii="仿宋" w:hAnsi="仿宋" w:eastAsia="仿宋" w:cs="仿宋"/>
          <w:b/>
          <w:sz w:val="36"/>
          <w:szCs w:val="20"/>
        </w:rPr>
      </w:pPr>
      <w:r>
        <w:rPr>
          <w:rFonts w:hint="eastAsia" w:ascii="仿宋" w:hAnsi="仿宋" w:eastAsia="仿宋" w:cs="仿宋"/>
          <w:b/>
          <w:sz w:val="36"/>
          <w:szCs w:val="20"/>
        </w:rPr>
        <w:t>第五部分  应提交的有关格式范例</w:t>
      </w:r>
    </w:p>
    <w:p w14:paraId="60BEEA1F">
      <w:pPr>
        <w:rPr>
          <w:rFonts w:ascii="仿宋" w:hAnsi="仿宋" w:eastAsia="仿宋" w:cs="仿宋"/>
          <w:b/>
          <w:kern w:val="0"/>
          <w:sz w:val="36"/>
          <w:szCs w:val="36"/>
        </w:rPr>
      </w:pPr>
    </w:p>
    <w:p w14:paraId="172884A0">
      <w:pPr>
        <w:jc w:val="center"/>
        <w:outlineLvl w:val="1"/>
        <w:rPr>
          <w:rFonts w:ascii="仿宋" w:hAnsi="仿宋" w:eastAsia="仿宋" w:cs="仿宋"/>
          <w:b/>
          <w:kern w:val="0"/>
          <w:sz w:val="36"/>
          <w:szCs w:val="36"/>
        </w:rPr>
      </w:pPr>
      <w:r>
        <w:rPr>
          <w:rFonts w:hint="eastAsia" w:ascii="仿宋" w:hAnsi="仿宋" w:eastAsia="仿宋" w:cs="仿宋"/>
          <w:b/>
          <w:kern w:val="0"/>
          <w:sz w:val="36"/>
          <w:szCs w:val="36"/>
        </w:rPr>
        <w:t>资格文件部分</w:t>
      </w:r>
    </w:p>
    <w:p w14:paraId="0874BC6E">
      <w:pPr>
        <w:jc w:val="center"/>
        <w:rPr>
          <w:rFonts w:ascii="仿宋" w:hAnsi="仿宋" w:eastAsia="仿宋" w:cs="仿宋"/>
          <w:b/>
          <w:kern w:val="0"/>
          <w:sz w:val="36"/>
          <w:szCs w:val="36"/>
        </w:rPr>
      </w:pPr>
    </w:p>
    <w:p w14:paraId="016D7453">
      <w:pPr>
        <w:jc w:val="center"/>
        <w:rPr>
          <w:rFonts w:ascii="仿宋" w:hAnsi="仿宋" w:eastAsia="仿宋" w:cs="仿宋"/>
          <w:b/>
          <w:kern w:val="0"/>
          <w:sz w:val="36"/>
          <w:szCs w:val="36"/>
        </w:rPr>
      </w:pPr>
    </w:p>
    <w:p w14:paraId="5F1435A5">
      <w:pPr>
        <w:jc w:val="center"/>
        <w:rPr>
          <w:rFonts w:ascii="仿宋" w:hAnsi="仿宋" w:eastAsia="仿宋" w:cs="仿宋"/>
          <w:b/>
          <w:kern w:val="0"/>
          <w:sz w:val="36"/>
          <w:szCs w:val="36"/>
        </w:rPr>
      </w:pPr>
      <w:r>
        <w:rPr>
          <w:rFonts w:hint="eastAsia" w:ascii="仿宋" w:hAnsi="仿宋" w:eastAsia="仿宋" w:cs="仿宋"/>
          <w:b/>
          <w:kern w:val="0"/>
          <w:sz w:val="36"/>
          <w:szCs w:val="36"/>
        </w:rPr>
        <w:t>目录</w:t>
      </w:r>
    </w:p>
    <w:p w14:paraId="255ADC34">
      <w:pPr>
        <w:rPr>
          <w:rFonts w:ascii="仿宋" w:hAnsi="仿宋" w:eastAsia="仿宋" w:cs="仿宋"/>
          <w:b/>
          <w:kern w:val="0"/>
          <w:sz w:val="36"/>
          <w:szCs w:val="36"/>
        </w:rPr>
      </w:pPr>
    </w:p>
    <w:p w14:paraId="29BE6CFE">
      <w:pPr>
        <w:snapToGrid w:val="0"/>
        <w:spacing w:line="360" w:lineRule="auto"/>
        <w:rPr>
          <w:rFonts w:ascii="仿宋" w:hAnsi="仿宋" w:eastAsia="仿宋" w:cs="仿宋"/>
          <w:sz w:val="24"/>
        </w:rPr>
      </w:pPr>
      <w:r>
        <w:rPr>
          <w:rFonts w:hint="eastAsia" w:ascii="仿宋" w:hAnsi="仿宋" w:eastAsia="仿宋" w:cs="仿宋"/>
          <w:sz w:val="24"/>
        </w:rPr>
        <w:t>（1）符合参加政府采购活动应当具备的一般条件的承诺函……………（页码）</w:t>
      </w:r>
    </w:p>
    <w:p w14:paraId="0968054C">
      <w:pPr>
        <w:snapToGrid w:val="0"/>
        <w:spacing w:line="360" w:lineRule="auto"/>
        <w:rPr>
          <w:rFonts w:ascii="仿宋" w:hAnsi="仿宋" w:eastAsia="仿宋" w:cs="仿宋"/>
          <w:sz w:val="24"/>
        </w:rPr>
      </w:pPr>
      <w:r>
        <w:rPr>
          <w:rFonts w:hint="eastAsia" w:ascii="仿宋" w:hAnsi="仿宋" w:eastAsia="仿宋" w:cs="仿宋"/>
          <w:sz w:val="24"/>
        </w:rPr>
        <w:t>（2）落实政府采购政策需满足的资格要求………………………………（页码）</w:t>
      </w:r>
    </w:p>
    <w:p w14:paraId="769FF0D9">
      <w:pPr>
        <w:snapToGrid w:val="0"/>
        <w:spacing w:line="360" w:lineRule="auto"/>
        <w:rPr>
          <w:rFonts w:ascii="仿宋" w:hAnsi="仿宋" w:eastAsia="仿宋" w:cs="仿宋"/>
          <w:sz w:val="24"/>
        </w:rPr>
      </w:pPr>
      <w:r>
        <w:rPr>
          <w:rFonts w:hint="eastAsia" w:ascii="仿宋" w:hAnsi="仿宋" w:eastAsia="仿宋" w:cs="仿宋"/>
          <w:sz w:val="24"/>
        </w:rPr>
        <w:t>（3）本项目的特定资格要求………………………………………………（页码）</w:t>
      </w:r>
    </w:p>
    <w:p w14:paraId="70E7B688">
      <w:pPr>
        <w:pStyle w:val="6"/>
        <w:ind w:firstLine="0" w:firstLineChars="0"/>
        <w:rPr>
          <w:rFonts w:eastAsia="仿宋"/>
        </w:rPr>
      </w:pPr>
      <w:r>
        <w:rPr>
          <w:rFonts w:hint="eastAsia" w:ascii="仿宋" w:hAnsi="仿宋" w:eastAsia="仿宋" w:cs="仿宋"/>
          <w:sz w:val="24"/>
        </w:rPr>
        <w:t>（4）</w:t>
      </w:r>
      <w:r>
        <w:rPr>
          <w:rFonts w:hint="eastAsia" w:ascii="仿宋" w:hAnsi="仿宋" w:eastAsia="仿宋" w:cs="仿宋_GB2312"/>
          <w:sz w:val="24"/>
        </w:rPr>
        <w:t>联合体协议书（如有）</w:t>
      </w:r>
      <w:r>
        <w:rPr>
          <w:rFonts w:ascii="仿宋" w:hAnsi="仿宋" w:eastAsia="仿宋" w:cs="仿宋_GB2312"/>
          <w:sz w:val="24"/>
        </w:rPr>
        <w:t>……</w:t>
      </w:r>
      <w:r>
        <w:rPr>
          <w:rFonts w:hint="eastAsia" w:ascii="仿宋" w:hAnsi="仿宋" w:eastAsia="仿宋" w:cs="仿宋_GB2312"/>
          <w:sz w:val="24"/>
        </w:rPr>
        <w:t>…………………………………………（页码）</w:t>
      </w:r>
    </w:p>
    <w:p w14:paraId="0452696F">
      <w:pPr>
        <w:snapToGrid w:val="0"/>
        <w:spacing w:line="360" w:lineRule="auto"/>
        <w:rPr>
          <w:rFonts w:ascii="仿宋" w:hAnsi="仿宋" w:eastAsia="仿宋" w:cs="仿宋"/>
          <w:sz w:val="24"/>
        </w:rPr>
      </w:pPr>
    </w:p>
    <w:p w14:paraId="68A37BB2">
      <w:pPr>
        <w:spacing w:line="360" w:lineRule="auto"/>
        <w:ind w:firstLine="480" w:firstLineChars="200"/>
        <w:rPr>
          <w:rFonts w:ascii="仿宋" w:hAnsi="仿宋" w:eastAsia="仿宋" w:cs="仿宋"/>
          <w:sz w:val="24"/>
        </w:rPr>
      </w:pPr>
    </w:p>
    <w:p w14:paraId="62CD5A97">
      <w:pPr>
        <w:snapToGrid w:val="0"/>
        <w:spacing w:line="360" w:lineRule="auto"/>
        <w:ind w:right="480"/>
        <w:jc w:val="center"/>
        <w:rPr>
          <w:rFonts w:ascii="仿宋" w:hAnsi="仿宋" w:eastAsia="仿宋" w:cs="仿宋"/>
          <w:b/>
          <w:kern w:val="0"/>
          <w:sz w:val="32"/>
          <w:szCs w:val="32"/>
        </w:rPr>
      </w:pPr>
      <w:r>
        <w:rPr>
          <w:rFonts w:hint="eastAsia" w:ascii="仿宋" w:hAnsi="仿宋" w:eastAsia="仿宋" w:cs="仿宋"/>
          <w:kern w:val="0"/>
          <w:sz w:val="24"/>
        </w:rPr>
        <w:br w:type="page"/>
      </w:r>
      <w:r>
        <w:rPr>
          <w:rFonts w:hint="eastAsia" w:ascii="仿宋" w:hAnsi="仿宋" w:eastAsia="仿宋" w:cs="仿宋"/>
          <w:b/>
          <w:kern w:val="0"/>
          <w:sz w:val="32"/>
          <w:szCs w:val="32"/>
        </w:rPr>
        <w:t>一、符合参加政府采购活动应当具备的一般条件的承诺函</w:t>
      </w:r>
    </w:p>
    <w:p w14:paraId="7B194784">
      <w:pPr>
        <w:snapToGrid w:val="0"/>
        <w:spacing w:line="360" w:lineRule="auto"/>
        <w:rPr>
          <w:rFonts w:ascii="仿宋" w:hAnsi="仿宋" w:eastAsia="仿宋" w:cs="仿宋"/>
          <w:sz w:val="24"/>
        </w:rPr>
      </w:pPr>
      <w:r>
        <w:rPr>
          <w:rFonts w:hint="eastAsia" w:ascii="仿宋" w:hAnsi="仿宋" w:eastAsia="仿宋" w:cs="仿宋"/>
          <w:sz w:val="24"/>
          <w:u w:val="single"/>
        </w:rPr>
        <w:t>（采购人）、（采购代理机构）</w:t>
      </w:r>
      <w:r>
        <w:rPr>
          <w:rFonts w:hint="eastAsia" w:ascii="仿宋" w:hAnsi="仿宋" w:eastAsia="仿宋" w:cs="仿宋"/>
          <w:sz w:val="24"/>
        </w:rPr>
        <w:t>：</w:t>
      </w:r>
    </w:p>
    <w:p w14:paraId="13D98C0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我方参与</w:t>
      </w:r>
      <w:r>
        <w:rPr>
          <w:rFonts w:hint="eastAsia" w:ascii="仿宋" w:hAnsi="仿宋" w:eastAsia="仿宋" w:cs="仿宋"/>
          <w:sz w:val="24"/>
          <w:u w:val="single"/>
        </w:rPr>
        <w:t xml:space="preserve">        </w:t>
      </w:r>
      <w:r>
        <w:rPr>
          <w:rFonts w:hint="eastAsia" w:ascii="仿宋" w:hAnsi="仿宋" w:eastAsia="仿宋" w:cs="仿宋"/>
          <w:sz w:val="24"/>
        </w:rPr>
        <w:t>（项目名称）【招标编号：</w:t>
      </w:r>
      <w:r>
        <w:rPr>
          <w:rFonts w:hint="eastAsia" w:ascii="仿宋" w:hAnsi="仿宋" w:eastAsia="仿宋" w:cs="仿宋"/>
          <w:sz w:val="24"/>
          <w:u w:val="single"/>
        </w:rPr>
        <w:t xml:space="preserve">    </w:t>
      </w:r>
      <w:r>
        <w:rPr>
          <w:rFonts w:hint="eastAsia" w:ascii="仿宋" w:hAnsi="仿宋" w:eastAsia="仿宋" w:cs="仿宋"/>
          <w:sz w:val="24"/>
        </w:rPr>
        <w:t>（采购编号）】政府采购活动，郑重承诺：</w:t>
      </w:r>
    </w:p>
    <w:p w14:paraId="1BDE237E">
      <w:pPr>
        <w:snapToGrid w:val="0"/>
        <w:spacing w:line="360" w:lineRule="auto"/>
        <w:ind w:firstLine="360" w:firstLineChars="150"/>
        <w:rPr>
          <w:rFonts w:ascii="仿宋" w:hAnsi="仿宋" w:eastAsia="仿宋" w:cs="仿宋"/>
          <w:sz w:val="24"/>
        </w:rPr>
      </w:pPr>
      <w:r>
        <w:rPr>
          <w:rFonts w:hint="eastAsia" w:ascii="仿宋" w:hAnsi="仿宋" w:eastAsia="仿宋" w:cs="仿宋"/>
          <w:sz w:val="24"/>
        </w:rPr>
        <w:t>（一）具备《中华人民共和国政府采购法》第二十二条第一款规定的条件：</w:t>
      </w:r>
    </w:p>
    <w:p w14:paraId="340453A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1、具有独立承担民事责任的能力；</w:t>
      </w:r>
    </w:p>
    <w:p w14:paraId="250A981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2、具有良好的商业信誉和健全的财务会计制度； </w:t>
      </w:r>
    </w:p>
    <w:p w14:paraId="227A9E4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3、具有履行合同所必需的设备和专业技术能力；</w:t>
      </w:r>
    </w:p>
    <w:p w14:paraId="5517BCE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4、有依法缴纳税收和社会保障资金的良好记录；</w:t>
      </w:r>
    </w:p>
    <w:p w14:paraId="0AB7987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5、参加政府采购活动前三年内，在经营活动中没有重大违法记录；</w:t>
      </w:r>
    </w:p>
    <w:p w14:paraId="40616BF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6、具有法律、行政法规规定的其他条件。</w:t>
      </w:r>
    </w:p>
    <w:p w14:paraId="7478C9C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（二）未被信用中国（www.creditchina.gov.cn)、中国政府采购网（www.ccgp.gov.cn）列入失信被执行人、重大税收违法案件当事人名单、政府采购严重违法失信行为记录名单。</w:t>
      </w:r>
    </w:p>
    <w:p w14:paraId="58E20E0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（三）不存在以下情况：</w:t>
      </w:r>
    </w:p>
    <w:p w14:paraId="734196B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14:paraId="364082DD">
      <w:pPr>
        <w:snapToGrid w:val="0"/>
        <w:spacing w:line="360" w:lineRule="auto"/>
        <w:ind w:firstLine="4819" w:firstLineChars="2008"/>
        <w:rPr>
          <w:rFonts w:ascii="仿宋" w:hAnsi="仿宋" w:eastAsia="仿宋" w:cs="仿宋"/>
          <w:kern w:val="0"/>
          <w:sz w:val="24"/>
        </w:rPr>
      </w:pPr>
      <w:r>
        <w:rPr>
          <w:rFonts w:hint="eastAsia" w:ascii="仿宋" w:hAnsi="仿宋" w:eastAsia="仿宋" w:cs="仿宋"/>
          <w:kern w:val="0"/>
          <w:sz w:val="24"/>
          <w:lang w:val="zh-CN"/>
        </w:rPr>
        <w:t>供应商名称(电子签名)：</w:t>
      </w:r>
    </w:p>
    <w:p w14:paraId="63E926BC">
      <w:pPr>
        <w:snapToGrid w:val="0"/>
        <w:spacing w:line="360" w:lineRule="auto"/>
        <w:ind w:firstLine="4819" w:firstLineChars="2008"/>
        <w:jc w:val="left"/>
        <w:rPr>
          <w:rFonts w:ascii="仿宋" w:hAnsi="仿宋" w:eastAsia="仿宋" w:cs="仿宋"/>
          <w:kern w:val="0"/>
          <w:sz w:val="24"/>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  日</w:t>
      </w:r>
    </w:p>
    <w:p w14:paraId="027FDAF5">
      <w:pPr>
        <w:widowControl/>
        <w:adjustRightInd/>
        <w:jc w:val="left"/>
        <w:rPr>
          <w:rFonts w:ascii="仿宋" w:hAnsi="仿宋" w:eastAsia="仿宋" w:cs="仿宋"/>
          <w:b/>
          <w:bCs/>
          <w:szCs w:val="21"/>
        </w:rPr>
      </w:pPr>
    </w:p>
    <w:p w14:paraId="7DFFA89D">
      <w:pPr>
        <w:widowControl/>
        <w:adjustRightInd/>
        <w:jc w:val="left"/>
        <w:rPr>
          <w:rFonts w:ascii="仿宋" w:hAnsi="仿宋" w:eastAsia="仿宋" w:cs="仿宋"/>
          <w:b/>
          <w:bCs/>
          <w:szCs w:val="21"/>
        </w:rPr>
      </w:pPr>
    </w:p>
    <w:p w14:paraId="53F49768">
      <w:pPr>
        <w:widowControl/>
        <w:adjustRightInd/>
        <w:jc w:val="left"/>
        <w:rPr>
          <w:rFonts w:ascii="仿宋" w:hAnsi="仿宋" w:eastAsia="仿宋" w:cs="仿宋"/>
          <w:b/>
          <w:bCs/>
          <w:szCs w:val="21"/>
        </w:rPr>
      </w:pPr>
    </w:p>
    <w:p w14:paraId="696151D0">
      <w:pPr>
        <w:widowControl/>
        <w:adjustRightInd/>
        <w:jc w:val="left"/>
        <w:rPr>
          <w:rFonts w:ascii="仿宋" w:hAnsi="仿宋" w:eastAsia="仿宋" w:cs="仿宋"/>
          <w:b/>
          <w:bCs/>
          <w:szCs w:val="21"/>
        </w:rPr>
      </w:pPr>
      <w:r>
        <w:rPr>
          <w:rFonts w:hint="eastAsia" w:ascii="仿宋" w:hAnsi="仿宋" w:eastAsia="仿宋" w:cs="仿宋"/>
          <w:b/>
          <w:bCs/>
          <w:szCs w:val="21"/>
        </w:rPr>
        <w:t>注：联合体投标的，联合体各方均须提供。</w:t>
      </w:r>
    </w:p>
    <w:p w14:paraId="558C7B04">
      <w:pPr>
        <w:widowControl/>
        <w:adjustRightInd/>
        <w:jc w:val="left"/>
        <w:rPr>
          <w:rFonts w:ascii="仿宋" w:hAnsi="仿宋" w:eastAsia="仿宋" w:cs="仿宋"/>
          <w:b/>
          <w:bCs/>
          <w:szCs w:val="21"/>
        </w:rPr>
      </w:pPr>
    </w:p>
    <w:p w14:paraId="09583C39">
      <w:pPr>
        <w:rPr>
          <w:rFonts w:ascii="仿宋" w:hAnsi="仿宋" w:eastAsia="仿宋" w:cs="仿宋"/>
          <w:b/>
          <w:bCs/>
          <w:sz w:val="28"/>
          <w:szCs w:val="28"/>
        </w:rPr>
      </w:pPr>
      <w:r>
        <w:rPr>
          <w:rFonts w:hint="eastAsia" w:ascii="仿宋" w:hAnsi="仿宋" w:eastAsia="仿宋" w:cs="仿宋"/>
          <w:b/>
          <w:bCs/>
          <w:sz w:val="28"/>
          <w:szCs w:val="28"/>
        </w:rPr>
        <w:br w:type="page"/>
      </w:r>
    </w:p>
    <w:p w14:paraId="190AFC2D">
      <w:pPr>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附：</w:t>
      </w:r>
    </w:p>
    <w:p w14:paraId="5578F6EE">
      <w:pPr>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企业营业执照（或事业法人登记证书或其它工商等登记证明材料，自然人提供身份证)复制件（如为联合体，则联合体各方均应提供）；</w:t>
      </w:r>
    </w:p>
    <w:p w14:paraId="1CA5E53A">
      <w:pPr>
        <w:snapToGrid w:val="0"/>
        <w:spacing w:line="360" w:lineRule="auto"/>
        <w:jc w:val="left"/>
        <w:rPr>
          <w:rFonts w:ascii="仿宋" w:hAnsi="仿宋" w:eastAsia="仿宋" w:cs="仿宋"/>
          <w:szCs w:val="21"/>
        </w:rPr>
      </w:pPr>
    </w:p>
    <w:p w14:paraId="2357909A">
      <w:pPr>
        <w:snapToGrid w:val="0"/>
        <w:spacing w:line="360" w:lineRule="auto"/>
        <w:jc w:val="left"/>
        <w:rPr>
          <w:rFonts w:ascii="仿宋" w:hAnsi="仿宋" w:eastAsia="仿宋" w:cs="仿宋"/>
          <w:szCs w:val="21"/>
        </w:rPr>
      </w:pPr>
      <w:r>
        <w:rPr>
          <w:rFonts w:hint="eastAsia" w:ascii="仿宋" w:hAnsi="仿宋" w:eastAsia="仿宋" w:cs="仿宋"/>
          <w:szCs w:val="21"/>
        </w:rPr>
        <w:t>说明：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由单位负责人签署相关文件材料（合伙企业由全体合伙人签署相关材料，但合伙协议约定或者全体合伙人决定委托一名或数名合伙人执行合伙企业事务的，由执行合伙企业事务的全体合伙人签署相关文件材料），与其他法人单位法定代表人（负责人）签署的文件材料具有同等效力）。</w:t>
      </w:r>
    </w:p>
    <w:p w14:paraId="71533610">
      <w:pPr>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br w:type="page"/>
      </w:r>
    </w:p>
    <w:p w14:paraId="204E0704">
      <w:pPr>
        <w:widowControl/>
        <w:adjustRightInd/>
        <w:jc w:val="left"/>
        <w:rPr>
          <w:rFonts w:ascii="仿宋" w:hAnsi="仿宋" w:eastAsia="仿宋" w:cs="仿宋"/>
          <w:b/>
          <w:kern w:val="0"/>
          <w:sz w:val="32"/>
          <w:szCs w:val="32"/>
        </w:rPr>
      </w:pPr>
    </w:p>
    <w:p w14:paraId="6C6FDA06">
      <w:pPr>
        <w:snapToGrid w:val="0"/>
        <w:spacing w:line="360" w:lineRule="auto"/>
        <w:ind w:right="480"/>
        <w:jc w:val="center"/>
        <w:rPr>
          <w:rFonts w:ascii="仿宋" w:hAnsi="仿宋" w:eastAsia="仿宋" w:cs="仿宋"/>
          <w:b/>
          <w:kern w:val="0"/>
          <w:sz w:val="32"/>
          <w:szCs w:val="32"/>
        </w:rPr>
      </w:pPr>
      <w:r>
        <w:rPr>
          <w:rFonts w:hint="eastAsia" w:ascii="仿宋" w:hAnsi="仿宋" w:eastAsia="仿宋" w:cs="仿宋"/>
          <w:b/>
          <w:kern w:val="0"/>
          <w:sz w:val="32"/>
          <w:szCs w:val="32"/>
        </w:rPr>
        <w:t>二、落实政府采购政策需满足的资格要求</w:t>
      </w:r>
    </w:p>
    <w:p w14:paraId="1A0C1384">
      <w:pPr>
        <w:spacing w:line="360" w:lineRule="auto"/>
        <w:rPr>
          <w:rFonts w:ascii="仿宋" w:hAnsi="仿宋" w:eastAsia="仿宋" w:cs="仿宋"/>
          <w:sz w:val="24"/>
        </w:rPr>
      </w:pPr>
      <w:r>
        <w:rPr>
          <w:rFonts w:hint="eastAsia" w:ascii="仿宋" w:hAnsi="仿宋" w:eastAsia="仿宋" w:cs="仿宋"/>
          <w:sz w:val="24"/>
        </w:rPr>
        <w:t>（根据招标公告落实政府采购政策需满足的资格要求选择提供相应的材料；未要求的，无需提供）</w:t>
      </w:r>
    </w:p>
    <w:p w14:paraId="5C5561D4">
      <w:pPr>
        <w:widowControl/>
        <w:spacing w:line="360" w:lineRule="auto"/>
        <w:ind w:firstLine="470" w:firstLineChars="196"/>
        <w:jc w:val="left"/>
        <w:rPr>
          <w:rFonts w:ascii="仿宋" w:hAnsi="仿宋" w:eastAsia="仿宋" w:cs="仿宋"/>
          <w:sz w:val="24"/>
        </w:rPr>
      </w:pPr>
    </w:p>
    <w:p w14:paraId="5296E8AB">
      <w:pPr>
        <w:widowControl/>
        <w:adjustRightInd/>
        <w:jc w:val="left"/>
        <w:rPr>
          <w:rFonts w:ascii="仿宋" w:hAnsi="仿宋" w:eastAsia="仿宋" w:cs="仿宋"/>
          <w:b/>
          <w:sz w:val="24"/>
        </w:rPr>
      </w:pPr>
      <w:r>
        <w:rPr>
          <w:rFonts w:hint="eastAsia" w:ascii="仿宋" w:hAnsi="仿宋" w:eastAsia="仿宋" w:cs="仿宋"/>
          <w:b/>
          <w:sz w:val="24"/>
        </w:rPr>
        <w:br w:type="page"/>
      </w:r>
    </w:p>
    <w:p w14:paraId="0268BC1F">
      <w:pPr>
        <w:pStyle w:val="26"/>
        <w:keepNext w:val="0"/>
        <w:pageBreakBefore w:val="0"/>
        <w:tabs>
          <w:tab w:val="clear" w:pos="720"/>
        </w:tabs>
        <w:snapToGrid w:val="0"/>
        <w:spacing w:before="120" w:after="120"/>
        <w:jc w:val="both"/>
        <w:outlineLvl w:val="9"/>
        <w:rPr>
          <w:rFonts w:ascii="仿宋" w:hAnsi="仿宋" w:eastAsia="仿宋" w:cs="仿宋"/>
          <w:sz w:val="28"/>
          <w:szCs w:val="28"/>
        </w:rPr>
      </w:pPr>
      <w:r>
        <w:rPr>
          <w:rFonts w:hint="eastAsia" w:ascii="仿宋" w:hAnsi="仿宋" w:eastAsia="仿宋" w:cs="仿宋"/>
          <w:sz w:val="28"/>
          <w:szCs w:val="28"/>
        </w:rPr>
        <w:t>附件1</w:t>
      </w:r>
    </w:p>
    <w:p w14:paraId="07059621">
      <w:pPr>
        <w:spacing w:line="360" w:lineRule="auto"/>
        <w:jc w:val="center"/>
        <w:rPr>
          <w:rFonts w:ascii="仿宋" w:hAnsi="仿宋" w:eastAsia="仿宋" w:cs="仿宋"/>
          <w:b/>
          <w:sz w:val="32"/>
          <w:szCs w:val="32"/>
        </w:rPr>
      </w:pPr>
    </w:p>
    <w:p w14:paraId="7C5D318D">
      <w:pPr>
        <w:spacing w:line="360" w:lineRule="auto"/>
        <w:jc w:val="center"/>
        <w:rPr>
          <w:rFonts w:ascii="仿宋" w:hAnsi="仿宋" w:eastAsia="仿宋" w:cs="仿宋"/>
          <w:b/>
          <w:sz w:val="32"/>
          <w:szCs w:val="32"/>
        </w:rPr>
      </w:pPr>
      <w:r>
        <w:rPr>
          <w:rFonts w:hint="eastAsia" w:ascii="仿宋" w:hAnsi="仿宋" w:eastAsia="仿宋" w:cs="仿宋"/>
          <w:b/>
          <w:sz w:val="32"/>
          <w:szCs w:val="32"/>
        </w:rPr>
        <w:t>（1）中小企业声明函（工程、服务）</w:t>
      </w:r>
    </w:p>
    <w:p w14:paraId="1E42DC96">
      <w:pPr>
        <w:spacing w:line="360" w:lineRule="auto"/>
        <w:rPr>
          <w:rFonts w:ascii="仿宋" w:hAnsi="仿宋" w:eastAsia="仿宋" w:cs="仿宋"/>
        </w:rPr>
      </w:pPr>
    </w:p>
    <w:p w14:paraId="0615201E">
      <w:pPr>
        <w:spacing w:line="360" w:lineRule="auto"/>
        <w:ind w:firstLine="480" w:firstLineChars="2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采购活动，工程的施工单位全部为符合政策要求的中小企业（或者：服务全部由符合政策要求的中小企业承接）。相关企业（含联合体中的中小企业、签订分包意向协议的中小企业）的具体情况如下：</w:t>
      </w:r>
    </w:p>
    <w:p w14:paraId="737DC628">
      <w:pPr>
        <w:spacing w:line="360" w:lineRule="auto"/>
        <w:ind w:firstLine="480" w:firstLineChars="20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 xml:space="preserve"> ；承建（承接）企业为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 </w:t>
      </w:r>
      <w:r>
        <w:rPr>
          <w:rFonts w:hint="eastAsia" w:ascii="仿宋" w:hAnsi="仿宋" w:eastAsia="仿宋" w:cs="仿宋"/>
          <w:sz w:val="24"/>
        </w:rPr>
        <w:t>；</w:t>
      </w:r>
    </w:p>
    <w:p w14:paraId="3B27F3A1">
      <w:pPr>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 xml:space="preserve"> ；承建（承接）企业为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 </w:t>
      </w:r>
      <w:r>
        <w:rPr>
          <w:rFonts w:hint="eastAsia" w:ascii="仿宋" w:hAnsi="仿宋" w:eastAsia="仿宋" w:cs="仿宋"/>
          <w:sz w:val="24"/>
        </w:rPr>
        <w:t>；</w:t>
      </w:r>
    </w:p>
    <w:p w14:paraId="06BA2E26">
      <w:pPr>
        <w:spacing w:line="360" w:lineRule="auto"/>
        <w:ind w:firstLine="480" w:firstLineChars="200"/>
        <w:jc w:val="left"/>
        <w:rPr>
          <w:rFonts w:ascii="仿宋" w:hAnsi="仿宋" w:eastAsia="仿宋" w:cs="仿宋"/>
          <w:sz w:val="24"/>
        </w:rPr>
      </w:pPr>
      <w:r>
        <w:rPr>
          <w:rFonts w:hint="eastAsia" w:ascii="仿宋" w:hAnsi="仿宋" w:eastAsia="仿宋" w:cs="仿宋"/>
          <w:sz w:val="24"/>
        </w:rPr>
        <w:t>……</w:t>
      </w:r>
    </w:p>
    <w:p w14:paraId="2F89264C">
      <w:pPr>
        <w:spacing w:line="360" w:lineRule="auto"/>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3B8EF7D1">
      <w:pPr>
        <w:spacing w:line="360" w:lineRule="auto"/>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76C5EE54">
      <w:pPr>
        <w:spacing w:line="360" w:lineRule="auto"/>
        <w:ind w:right="1760"/>
        <w:jc w:val="right"/>
        <w:rPr>
          <w:rFonts w:ascii="仿宋" w:hAnsi="仿宋" w:eastAsia="仿宋" w:cs="仿宋"/>
          <w:sz w:val="24"/>
        </w:rPr>
      </w:pPr>
      <w:r>
        <w:rPr>
          <w:rFonts w:hint="eastAsia" w:ascii="仿宋" w:hAnsi="仿宋" w:eastAsia="仿宋" w:cs="仿宋"/>
          <w:sz w:val="24"/>
        </w:rPr>
        <w:t>供应商名称（电子签名）：</w:t>
      </w:r>
    </w:p>
    <w:p w14:paraId="225511D1">
      <w:pPr>
        <w:spacing w:line="360" w:lineRule="auto"/>
        <w:ind w:right="1120" w:firstLine="4680" w:firstLineChars="1950"/>
        <w:rPr>
          <w:rFonts w:ascii="仿宋" w:hAnsi="仿宋" w:eastAsia="仿宋" w:cs="仿宋"/>
          <w:sz w:val="24"/>
        </w:rPr>
      </w:pPr>
      <w:r>
        <w:rPr>
          <w:rFonts w:hint="eastAsia" w:ascii="仿宋" w:hAnsi="仿宋" w:eastAsia="仿宋" w:cs="仿宋"/>
          <w:sz w:val="24"/>
        </w:rPr>
        <w:t>日期：</w:t>
      </w:r>
    </w:p>
    <w:p w14:paraId="349937CC">
      <w:pPr>
        <w:spacing w:line="360" w:lineRule="auto"/>
        <w:jc w:val="left"/>
        <w:rPr>
          <w:rFonts w:ascii="仿宋" w:hAnsi="仿宋" w:eastAsia="仿宋" w:cs="仿宋"/>
          <w:b/>
          <w:szCs w:val="21"/>
        </w:rPr>
      </w:pPr>
    </w:p>
    <w:p w14:paraId="74FE61C7">
      <w:pPr>
        <w:spacing w:line="360" w:lineRule="auto"/>
        <w:jc w:val="left"/>
        <w:rPr>
          <w:rFonts w:ascii="仿宋" w:hAnsi="仿宋" w:eastAsia="仿宋" w:cs="仿宋"/>
          <w:sz w:val="18"/>
          <w:szCs w:val="18"/>
        </w:rPr>
      </w:pPr>
      <w:r>
        <w:rPr>
          <w:rFonts w:hint="eastAsia" w:ascii="仿宋" w:hAnsi="仿宋" w:eastAsia="仿宋" w:cs="仿宋"/>
          <w:sz w:val="18"/>
          <w:szCs w:val="18"/>
        </w:rPr>
        <w:t>注：1、从业人员、营业收入、资产总额填报上一年度数据，无上一年度数据的新成立企业可不填报。</w:t>
      </w:r>
    </w:p>
    <w:p w14:paraId="5DF9F2DF">
      <w:pPr>
        <w:spacing w:line="360" w:lineRule="auto"/>
        <w:ind w:firstLine="360" w:firstLineChars="200"/>
        <w:jc w:val="left"/>
        <w:rPr>
          <w:rFonts w:ascii="仿宋" w:hAnsi="仿宋" w:eastAsia="仿宋" w:cs="仿宋"/>
          <w:sz w:val="18"/>
          <w:szCs w:val="18"/>
        </w:rPr>
      </w:pPr>
      <w:r>
        <w:rPr>
          <w:rFonts w:hint="eastAsia" w:ascii="仿宋" w:hAnsi="仿宋" w:eastAsia="仿宋" w:cs="仿宋"/>
          <w:sz w:val="18"/>
          <w:szCs w:val="18"/>
        </w:rPr>
        <w:t>2、符合《关于促进残疾人就业政府采购政策的通知》（财库〔2017〕141号）规定的条件并提供《残疾人福利性单位声明函》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58E73E49">
      <w:pPr>
        <w:spacing w:line="360" w:lineRule="auto"/>
        <w:rPr>
          <w:rFonts w:ascii="仿宋" w:hAnsi="仿宋" w:eastAsia="仿宋" w:cs="仿宋"/>
          <w:b/>
          <w:bCs/>
          <w:sz w:val="24"/>
          <w:szCs w:val="22"/>
        </w:rPr>
      </w:pPr>
    </w:p>
    <w:p w14:paraId="3A4D583A">
      <w:pPr>
        <w:spacing w:line="360" w:lineRule="auto"/>
        <w:rPr>
          <w:rFonts w:ascii="仿宋" w:hAnsi="仿宋" w:eastAsia="仿宋" w:cs="仿宋"/>
          <w:b/>
          <w:bCs/>
          <w:sz w:val="24"/>
          <w:szCs w:val="22"/>
        </w:rPr>
      </w:pPr>
      <w:r>
        <w:rPr>
          <w:rFonts w:hint="eastAsia" w:ascii="仿宋" w:hAnsi="仿宋" w:eastAsia="仿宋" w:cs="仿宋"/>
          <w:b/>
          <w:bCs/>
          <w:sz w:val="24"/>
          <w:szCs w:val="22"/>
        </w:rPr>
        <w:t>注：联合体投标的，联合体各方均须提供。</w:t>
      </w:r>
      <w:r>
        <w:rPr>
          <w:rFonts w:hint="eastAsia" w:ascii="仿宋" w:hAnsi="仿宋" w:eastAsia="仿宋" w:cs="仿宋"/>
          <w:b/>
          <w:bCs/>
          <w:sz w:val="24"/>
          <w:szCs w:val="22"/>
        </w:rPr>
        <w:br w:type="page"/>
      </w:r>
    </w:p>
    <w:p w14:paraId="443E7D84">
      <w:pPr>
        <w:spacing w:line="360" w:lineRule="auto"/>
        <w:jc w:val="center"/>
        <w:rPr>
          <w:rFonts w:ascii="仿宋" w:hAnsi="仿宋" w:eastAsia="仿宋" w:cs="仿宋"/>
          <w:b/>
          <w:bCs/>
          <w:sz w:val="22"/>
          <w:szCs w:val="22"/>
        </w:rPr>
      </w:pPr>
    </w:p>
    <w:p w14:paraId="2C61FFA1">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（2）残疾人福利性单位声明函</w:t>
      </w:r>
    </w:p>
    <w:p w14:paraId="469892B0">
      <w:pPr>
        <w:spacing w:line="360" w:lineRule="auto"/>
        <w:jc w:val="center"/>
        <w:rPr>
          <w:rFonts w:ascii="仿宋" w:hAnsi="仿宋" w:eastAsia="仿宋" w:cs="仿宋"/>
          <w:bCs/>
          <w:sz w:val="28"/>
          <w:szCs w:val="28"/>
        </w:rPr>
      </w:pPr>
      <w:r>
        <w:rPr>
          <w:rFonts w:hint="eastAsia" w:ascii="仿宋" w:hAnsi="仿宋" w:eastAsia="仿宋" w:cs="仿宋"/>
          <w:bCs/>
          <w:sz w:val="28"/>
          <w:szCs w:val="28"/>
        </w:rPr>
        <w:t>（如有）</w:t>
      </w:r>
    </w:p>
    <w:p w14:paraId="6640438D">
      <w:pPr>
        <w:spacing w:line="588" w:lineRule="exact"/>
        <w:jc w:val="left"/>
        <w:rPr>
          <w:rFonts w:ascii="仿宋" w:hAnsi="仿宋" w:eastAsia="仿宋" w:cs="仿宋"/>
          <w:b/>
          <w:spacing w:val="6"/>
          <w:sz w:val="30"/>
          <w:szCs w:val="30"/>
        </w:rPr>
      </w:pPr>
    </w:p>
    <w:p w14:paraId="4A6C5B5A">
      <w:pPr>
        <w:spacing w:line="480" w:lineRule="auto"/>
        <w:ind w:firstLine="504" w:firstLineChars="200"/>
        <w:jc w:val="left"/>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F97173">
      <w:pPr>
        <w:spacing w:line="480" w:lineRule="auto"/>
        <w:ind w:firstLine="504" w:firstLineChars="200"/>
        <w:jc w:val="left"/>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318215E1">
      <w:pPr>
        <w:spacing w:line="480" w:lineRule="auto"/>
        <w:ind w:firstLine="504" w:firstLineChars="200"/>
        <w:jc w:val="left"/>
        <w:rPr>
          <w:rFonts w:ascii="仿宋" w:hAnsi="仿宋" w:eastAsia="仿宋" w:cs="仿宋"/>
          <w:spacing w:val="6"/>
          <w:sz w:val="24"/>
        </w:rPr>
      </w:pPr>
    </w:p>
    <w:p w14:paraId="668E2F0E">
      <w:pPr>
        <w:tabs>
          <w:tab w:val="left" w:pos="4860"/>
        </w:tabs>
        <w:spacing w:line="480" w:lineRule="auto"/>
        <w:ind w:right="1191" w:firstLine="3828" w:firstLineChars="1595"/>
        <w:jc w:val="left"/>
        <w:rPr>
          <w:rFonts w:ascii="仿宋" w:hAnsi="仿宋" w:eastAsia="仿宋" w:cs="仿宋"/>
          <w:spacing w:val="6"/>
          <w:sz w:val="24"/>
        </w:rPr>
      </w:pPr>
      <w:r>
        <w:rPr>
          <w:rFonts w:hint="eastAsia" w:ascii="仿宋" w:hAnsi="仿宋" w:eastAsia="仿宋" w:cs="仿宋"/>
          <w:sz w:val="24"/>
        </w:rPr>
        <w:t>供应商名称（电子签名）：</w:t>
      </w:r>
    </w:p>
    <w:p w14:paraId="77B00F83">
      <w:pPr>
        <w:tabs>
          <w:tab w:val="left" w:pos="4860"/>
        </w:tabs>
        <w:spacing w:line="480" w:lineRule="auto"/>
        <w:ind w:right="1560" w:firstLine="4019" w:firstLineChars="1595"/>
        <w:jc w:val="left"/>
        <w:rPr>
          <w:rFonts w:ascii="仿宋" w:hAnsi="仿宋" w:eastAsia="仿宋" w:cs="仿宋"/>
          <w:sz w:val="24"/>
        </w:rPr>
      </w:pPr>
      <w:r>
        <w:rPr>
          <w:rFonts w:hint="eastAsia" w:ascii="仿宋" w:hAnsi="仿宋" w:eastAsia="仿宋" w:cs="仿宋"/>
          <w:spacing w:val="6"/>
          <w:sz w:val="24"/>
        </w:rPr>
        <w:t>日     期：</w:t>
      </w:r>
    </w:p>
    <w:p w14:paraId="38501637">
      <w:pPr>
        <w:spacing w:line="360" w:lineRule="auto"/>
        <w:jc w:val="left"/>
        <w:rPr>
          <w:rFonts w:ascii="仿宋" w:hAnsi="仿宋" w:eastAsia="仿宋" w:cs="仿宋"/>
          <w:b/>
          <w:sz w:val="24"/>
        </w:rPr>
      </w:pPr>
    </w:p>
    <w:p w14:paraId="73711F1C">
      <w:pPr>
        <w:tabs>
          <w:tab w:val="left" w:pos="312"/>
        </w:tabs>
        <w:spacing w:line="400" w:lineRule="exact"/>
        <w:jc w:val="left"/>
        <w:rPr>
          <w:rFonts w:ascii="仿宋" w:hAnsi="仿宋" w:eastAsia="仿宋" w:cs="仿宋"/>
          <w:sz w:val="18"/>
          <w:szCs w:val="18"/>
        </w:rPr>
      </w:pPr>
      <w:r>
        <w:rPr>
          <w:rFonts w:hint="eastAsia" w:ascii="仿宋" w:hAnsi="仿宋" w:eastAsia="仿宋" w:cs="仿宋"/>
          <w:sz w:val="18"/>
          <w:szCs w:val="18"/>
        </w:rPr>
        <w:t>注：1、供应商如为符合条件的残疾人福利性单位，且响应产品为本企业的，投标文件中须出具《残疾人福利性单位声明函》。</w:t>
      </w:r>
    </w:p>
    <w:p w14:paraId="55C35AEC">
      <w:pPr>
        <w:tabs>
          <w:tab w:val="left" w:pos="312"/>
        </w:tabs>
        <w:spacing w:line="400" w:lineRule="exact"/>
        <w:ind w:firstLine="360" w:firstLineChars="200"/>
        <w:jc w:val="left"/>
        <w:rPr>
          <w:rFonts w:ascii="仿宋" w:hAnsi="仿宋" w:eastAsia="仿宋" w:cs="仿宋"/>
          <w:sz w:val="18"/>
          <w:szCs w:val="18"/>
        </w:rPr>
      </w:pPr>
      <w:r>
        <w:rPr>
          <w:rFonts w:hint="eastAsia" w:ascii="仿宋" w:hAnsi="仿宋" w:eastAsia="仿宋" w:cs="仿宋"/>
          <w:sz w:val="18"/>
          <w:szCs w:val="18"/>
        </w:rPr>
        <w:t>2、供应商如为残疾人福利性单位且响应产品为其他残疾人福利性单位制造的，所代理品牌制造商的《残疾人福利性单位声明函》也需提供。</w:t>
      </w:r>
    </w:p>
    <w:p w14:paraId="42840359">
      <w:pPr>
        <w:tabs>
          <w:tab w:val="left" w:pos="312"/>
        </w:tabs>
        <w:spacing w:line="400" w:lineRule="exact"/>
        <w:ind w:firstLine="360" w:firstLineChars="200"/>
        <w:jc w:val="left"/>
        <w:rPr>
          <w:rFonts w:ascii="仿宋" w:hAnsi="仿宋" w:eastAsia="仿宋" w:cs="仿宋"/>
          <w:sz w:val="18"/>
          <w:szCs w:val="18"/>
        </w:rPr>
      </w:pPr>
      <w:r>
        <w:rPr>
          <w:rFonts w:hint="eastAsia" w:ascii="仿宋" w:hAnsi="仿宋" w:eastAsia="仿宋" w:cs="仿宋"/>
          <w:sz w:val="18"/>
          <w:szCs w:val="18"/>
        </w:rPr>
        <w:t>3、成交供应商为残疾人福利性单位的，采购人或者其委托的采购代理机构应当随成交结果同时公告其《残疾人福利性单位声明函》，接受社会监督。供应商提供的《残疾人福利性单位声明函》与事实不符的，依照《政府采购法》第七十七条第一款的规定追究法律责任。</w:t>
      </w:r>
    </w:p>
    <w:p w14:paraId="5D815196">
      <w:pPr>
        <w:tabs>
          <w:tab w:val="left" w:pos="312"/>
        </w:tabs>
        <w:spacing w:line="400" w:lineRule="exact"/>
        <w:ind w:firstLine="360" w:firstLineChars="200"/>
        <w:jc w:val="left"/>
        <w:rPr>
          <w:rFonts w:ascii="仿宋" w:hAnsi="仿宋" w:eastAsia="仿宋" w:cs="仿宋"/>
          <w:sz w:val="18"/>
          <w:szCs w:val="18"/>
        </w:rPr>
      </w:pPr>
      <w:r>
        <w:rPr>
          <w:rFonts w:hint="eastAsia" w:ascii="仿宋" w:hAnsi="仿宋" w:eastAsia="仿宋" w:cs="仿宋"/>
          <w:sz w:val="18"/>
          <w:szCs w:val="18"/>
        </w:rPr>
        <w:t>4、供应商不属于残疾人福利性单位的，无需提供此声明函，如提供所引起的后果由供应商承担。</w:t>
      </w:r>
    </w:p>
    <w:p w14:paraId="4523C2AE">
      <w:pPr>
        <w:widowControl/>
        <w:adjustRightInd/>
        <w:jc w:val="left"/>
        <w:rPr>
          <w:rFonts w:ascii="仿宋" w:hAnsi="仿宋" w:eastAsia="仿宋" w:cs="仿宋"/>
          <w:b/>
          <w:kern w:val="0"/>
          <w:sz w:val="32"/>
          <w:szCs w:val="32"/>
          <w:lang w:val="zh-CN"/>
        </w:rPr>
      </w:pPr>
    </w:p>
    <w:p w14:paraId="07F0693A">
      <w:pPr>
        <w:widowControl/>
        <w:adjustRightInd/>
        <w:jc w:val="left"/>
        <w:rPr>
          <w:rFonts w:ascii="仿宋" w:hAnsi="仿宋" w:eastAsia="仿宋" w:cs="仿宋"/>
          <w:b/>
          <w:kern w:val="0"/>
          <w:sz w:val="32"/>
          <w:szCs w:val="32"/>
          <w:lang w:val="zh-CN"/>
        </w:rPr>
      </w:pPr>
    </w:p>
    <w:p w14:paraId="2D018BA5">
      <w:pPr>
        <w:widowControl/>
        <w:adjustRightInd/>
        <w:jc w:val="left"/>
        <w:rPr>
          <w:rFonts w:ascii="仿宋" w:hAnsi="仿宋" w:eastAsia="仿宋" w:cs="仿宋"/>
          <w:b/>
          <w:kern w:val="0"/>
          <w:sz w:val="32"/>
          <w:szCs w:val="32"/>
          <w:lang w:val="zh-CN"/>
        </w:rPr>
      </w:pPr>
      <w:r>
        <w:rPr>
          <w:rFonts w:hint="eastAsia" w:ascii="仿宋" w:hAnsi="仿宋" w:eastAsia="仿宋" w:cs="仿宋"/>
          <w:b/>
          <w:bCs/>
          <w:sz w:val="24"/>
          <w:szCs w:val="22"/>
          <w:lang w:val="zh-CN"/>
        </w:rPr>
        <w:t>注：联合体投标的，联合体各方均须提供。</w:t>
      </w:r>
      <w:r>
        <w:rPr>
          <w:rFonts w:hint="eastAsia" w:ascii="仿宋" w:hAnsi="仿宋" w:eastAsia="仿宋" w:cs="仿宋"/>
          <w:b/>
          <w:kern w:val="0"/>
          <w:sz w:val="32"/>
          <w:szCs w:val="32"/>
          <w:lang w:val="zh-CN"/>
        </w:rPr>
        <w:br w:type="page"/>
      </w:r>
    </w:p>
    <w:p w14:paraId="2F570DE9">
      <w:pPr>
        <w:snapToGrid w:val="0"/>
        <w:spacing w:line="360" w:lineRule="auto"/>
        <w:ind w:right="480"/>
        <w:jc w:val="center"/>
        <w:rPr>
          <w:rFonts w:ascii="仿宋" w:hAnsi="仿宋" w:eastAsia="仿宋" w:cs="仿宋"/>
          <w:b/>
          <w:kern w:val="0"/>
          <w:sz w:val="32"/>
          <w:szCs w:val="32"/>
        </w:rPr>
      </w:pPr>
      <w:r>
        <w:rPr>
          <w:rFonts w:hint="eastAsia" w:ascii="仿宋" w:hAnsi="仿宋" w:eastAsia="仿宋" w:cs="仿宋"/>
          <w:b/>
          <w:kern w:val="0"/>
          <w:sz w:val="32"/>
          <w:szCs w:val="32"/>
        </w:rPr>
        <w:t>三、本项目的特定资格要求</w:t>
      </w:r>
    </w:p>
    <w:p w14:paraId="39BD7CBC">
      <w:pPr>
        <w:spacing w:line="360" w:lineRule="auto"/>
        <w:ind w:firstLine="420" w:firstLineChars="200"/>
        <w:jc w:val="center"/>
        <w:rPr>
          <w:rFonts w:ascii="仿宋" w:hAnsi="仿宋" w:eastAsia="仿宋" w:cs="仿宋"/>
          <w:kern w:val="0"/>
          <w:sz w:val="36"/>
          <w:szCs w:val="36"/>
        </w:rPr>
      </w:pPr>
      <w:r>
        <w:rPr>
          <w:rFonts w:hint="eastAsia" w:ascii="仿宋" w:hAnsi="仿宋" w:eastAsia="仿宋" w:cs="新宋体"/>
          <w:kern w:val="0"/>
          <w:szCs w:val="21"/>
          <w:lang w:val="zh-CN"/>
        </w:rPr>
        <w:t>根据招标公告要求提供</w:t>
      </w:r>
    </w:p>
    <w:p w14:paraId="35671103">
      <w:pPr>
        <w:rPr>
          <w:rFonts w:ascii="仿宋" w:hAnsi="仿宋" w:eastAsia="仿宋" w:cs="仿宋"/>
          <w:kern w:val="0"/>
          <w:sz w:val="36"/>
          <w:szCs w:val="36"/>
        </w:rPr>
      </w:pPr>
      <w:bookmarkStart w:id="92" w:name="_Toc15719"/>
      <w:bookmarkStart w:id="93" w:name="_Hlk93169794"/>
      <w:r>
        <w:rPr>
          <w:rFonts w:hint="eastAsia" w:ascii="仿宋" w:hAnsi="仿宋" w:eastAsia="仿宋" w:cs="仿宋"/>
          <w:kern w:val="0"/>
          <w:sz w:val="36"/>
          <w:szCs w:val="36"/>
        </w:rPr>
        <w:br w:type="page"/>
      </w:r>
    </w:p>
    <w:p w14:paraId="4E047C53">
      <w:pPr>
        <w:spacing w:line="460" w:lineRule="exact"/>
        <w:rPr>
          <w:rFonts w:ascii="仿宋" w:hAnsi="仿宋" w:eastAsia="仿宋" w:cs="仿宋"/>
          <w:b/>
          <w:kern w:val="0"/>
          <w:sz w:val="24"/>
        </w:rPr>
      </w:pPr>
      <w:r>
        <w:rPr>
          <w:rFonts w:hint="eastAsia" w:ascii="仿宋" w:hAnsi="仿宋" w:eastAsia="仿宋" w:cs="仿宋"/>
          <w:b/>
          <w:kern w:val="0"/>
          <w:sz w:val="24"/>
        </w:rPr>
        <w:t>附件2</w:t>
      </w:r>
    </w:p>
    <w:p w14:paraId="1D226CFF">
      <w:pPr>
        <w:spacing w:line="460" w:lineRule="exact"/>
        <w:jc w:val="center"/>
        <w:rPr>
          <w:rFonts w:ascii="仿宋" w:hAnsi="仿宋" w:eastAsia="仿宋" w:cs="仿宋"/>
          <w:b/>
          <w:kern w:val="0"/>
          <w:sz w:val="24"/>
        </w:rPr>
      </w:pPr>
      <w:r>
        <w:rPr>
          <w:rFonts w:hint="eastAsia" w:ascii="仿宋" w:hAnsi="仿宋" w:eastAsia="仿宋" w:cs="仿宋"/>
          <w:b/>
          <w:kern w:val="0"/>
          <w:sz w:val="24"/>
        </w:rPr>
        <w:t>联合体协议书（如为联合体投标）</w:t>
      </w:r>
    </w:p>
    <w:p w14:paraId="4CBC3B3E">
      <w:pPr>
        <w:jc w:val="left"/>
        <w:rPr>
          <w:rFonts w:ascii="仿宋" w:hAnsi="仿宋" w:eastAsia="仿宋" w:cs="仿宋"/>
          <w:b/>
          <w:bCs/>
        </w:rPr>
      </w:pPr>
      <w:r>
        <w:rPr>
          <w:rFonts w:hint="eastAsia" w:ascii="仿宋" w:hAnsi="仿宋" w:eastAsia="仿宋" w:cs="仿宋"/>
          <w:b/>
          <w:bCs/>
        </w:rPr>
        <w:t>（以联合体形式投标的，提供联合协议；本项目不接受联合体投标或者投标人不以联合体形式投标的，则不需要提供）</w:t>
      </w:r>
    </w:p>
    <w:p w14:paraId="6C3993BC">
      <w:pPr>
        <w:snapToGrid w:val="0"/>
        <w:ind w:firstLine="576"/>
        <w:jc w:val="left"/>
        <w:rPr>
          <w:rFonts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组成一个联合体，以一个供应商的身份</w:t>
      </w:r>
      <w:r>
        <w:rPr>
          <w:rFonts w:hint="eastAsia" w:ascii="仿宋" w:hAnsi="仿宋" w:eastAsia="仿宋" w:cs="仿宋"/>
          <w:kern w:val="0"/>
          <w:sz w:val="24"/>
        </w:rPr>
        <w:t>参加</w:t>
      </w:r>
      <w:r>
        <w:rPr>
          <w:rFonts w:hint="eastAsia" w:ascii="仿宋" w:hAnsi="仿宋" w:eastAsia="仿宋" w:cs="仿宋"/>
          <w:kern w:val="0"/>
          <w:sz w:val="24"/>
          <w:u w:val="single"/>
        </w:rPr>
        <w:t xml:space="preserve">    </w:t>
      </w:r>
      <w:r>
        <w:rPr>
          <w:rFonts w:hint="eastAsia" w:ascii="仿宋" w:hAnsi="仿宋" w:eastAsia="仿宋" w:cs="仿宋"/>
          <w:sz w:val="24"/>
          <w:u w:val="single"/>
        </w:rPr>
        <w:t xml:space="preserve">（项目名称）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rPr>
        <w:t>响应</w:t>
      </w:r>
      <w:r>
        <w:rPr>
          <w:rFonts w:hint="eastAsia" w:ascii="仿宋" w:hAnsi="仿宋" w:eastAsia="仿宋" w:cs="仿宋"/>
          <w:kern w:val="0"/>
          <w:sz w:val="24"/>
          <w:lang w:val="zh-CN"/>
        </w:rPr>
        <w:t xml:space="preserve">。 </w:t>
      </w:r>
    </w:p>
    <w:p w14:paraId="77E587CF">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，代表所有联合体成员负责投标和合同实施阶段的主办、协调工作</w:t>
      </w:r>
      <w:r>
        <w:rPr>
          <w:rFonts w:hint="eastAsia" w:ascii="仿宋" w:hAnsi="仿宋" w:eastAsia="仿宋" w:cs="仿宋"/>
          <w:kern w:val="0"/>
          <w:sz w:val="24"/>
          <w:lang w:val="zh-CN"/>
        </w:rPr>
        <w:t>。</w:t>
      </w:r>
    </w:p>
    <w:p w14:paraId="3B97FB6C">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授权代表根据采购文件规定及</w:t>
      </w:r>
      <w:r>
        <w:rPr>
          <w:rFonts w:hint="eastAsia" w:ascii="仿宋" w:hAnsi="仿宋" w:eastAsia="仿宋" w:cs="仿宋"/>
          <w:kern w:val="0"/>
          <w:sz w:val="24"/>
        </w:rPr>
        <w:t>响应内容</w:t>
      </w:r>
      <w:r>
        <w:rPr>
          <w:rFonts w:hint="eastAsia" w:ascii="仿宋" w:hAnsi="仿宋" w:eastAsia="仿宋" w:cs="仿宋"/>
          <w:kern w:val="0"/>
          <w:sz w:val="24"/>
          <w:lang w:val="zh-CN"/>
        </w:rPr>
        <w:t>而对采购人、采购机构所作的任何合法承诺，包括书面澄清及相应等均对联合投标各方产生约束力。</w:t>
      </w:r>
    </w:p>
    <w:p w14:paraId="50953560">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三、本次联合</w:t>
      </w:r>
      <w:r>
        <w:rPr>
          <w:rFonts w:hint="eastAsia" w:ascii="仿宋" w:hAnsi="仿宋" w:eastAsia="仿宋" w:cs="仿宋"/>
          <w:kern w:val="0"/>
          <w:sz w:val="24"/>
        </w:rPr>
        <w:t>响应</w:t>
      </w:r>
      <w:r>
        <w:rPr>
          <w:rFonts w:hint="eastAsia" w:ascii="仿宋" w:hAnsi="仿宋" w:eastAsia="仿宋" w:cs="仿宋"/>
          <w:kern w:val="0"/>
          <w:sz w:val="24"/>
          <w:lang w:val="zh-CN"/>
        </w:rPr>
        <w:t>中，分工如下：</w:t>
      </w:r>
    </w:p>
    <w:p w14:paraId="072D873C">
      <w:pPr>
        <w:snapToGrid w:val="0"/>
        <w:ind w:firstLine="576"/>
        <w:jc w:val="left"/>
        <w:rPr>
          <w:rFonts w:ascii="仿宋" w:hAnsi="仿宋" w:eastAsia="仿宋" w:cs="仿宋"/>
          <w:kern w:val="0"/>
          <w:sz w:val="24"/>
          <w:lang w:val="zh-CN"/>
        </w:rPr>
      </w:pPr>
      <w:bookmarkStart w:id="94" w:name="_Hlk101134295"/>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78A9B6BA">
      <w:pPr>
        <w:snapToGrid w:val="0"/>
        <w:ind w:firstLine="576"/>
        <w:jc w:val="left"/>
        <w:rPr>
          <w:rFonts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21D3E4AC">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w:t>
      </w:r>
    </w:p>
    <w:bookmarkEnd w:id="94"/>
    <w:p w14:paraId="58F871ED">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四、联合体成员中小企业合同份额。</w:t>
      </w:r>
    </w:p>
    <w:p w14:paraId="4E3769F6">
      <w:pPr>
        <w:snapToGrid w:val="0"/>
        <w:ind w:firstLine="576"/>
        <w:jc w:val="left"/>
        <w:rPr>
          <w:rFonts w:ascii="仿宋" w:hAnsi="仿宋" w:eastAsia="仿宋" w:cs="仿宋"/>
          <w:b/>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u w:val="single"/>
        </w:rPr>
        <w:t>（联合体成员X,……）</w:t>
      </w:r>
      <w:r>
        <w:rPr>
          <w:rFonts w:hint="eastAsia" w:ascii="仿宋" w:hAnsi="仿宋" w:eastAsia="仿宋" w:cs="仿宋"/>
          <w:kern w:val="0"/>
          <w:sz w:val="24"/>
        </w:rPr>
        <w:t>全部服务由中小/小微企业承接，即提供服务的人员为中小/小微企业依照《中华人民共和国劳动合同法》订立劳动合同的从业人员，其合同份额占到合同总金额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kern w:val="0"/>
          <w:sz w:val="24"/>
          <w:lang w:val="zh-CN"/>
        </w:rPr>
        <w:t>……。</w:t>
      </w:r>
    </w:p>
    <w:p w14:paraId="3EE8EC8A">
      <w:pPr>
        <w:snapToGrid w:val="0"/>
        <w:ind w:firstLine="576"/>
        <w:jc w:val="left"/>
        <w:rPr>
          <w:rFonts w:ascii="仿宋" w:hAnsi="仿宋" w:eastAsia="仿宋" w:cs="仿宋"/>
          <w:kern w:val="0"/>
          <w:sz w:val="24"/>
          <w:lang w:val="zh-CN"/>
        </w:rPr>
      </w:pPr>
      <w:r>
        <w:rPr>
          <w:rFonts w:hint="eastAsia" w:ascii="仿宋" w:hAnsi="仿宋" w:eastAsia="仿宋" w:cs="仿宋"/>
          <w:sz w:val="24"/>
        </w:rPr>
        <w:t>2、中小企业合同金额达到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p>
    <w:p w14:paraId="08C752BD">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五、如果成交，</w:t>
      </w:r>
      <w:r>
        <w:rPr>
          <w:rFonts w:hint="eastAsia" w:ascii="仿宋" w:hAnsi="仿宋" w:eastAsia="仿宋" w:cs="仿宋"/>
          <w:sz w:val="24"/>
        </w:rPr>
        <w:t>联合体各成员方共同与采购人签订合同，并就采购合同约定的事项对采购人承担连带责任。</w:t>
      </w:r>
    </w:p>
    <w:p w14:paraId="61BDBFA6">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六、有关本次联合</w:t>
      </w:r>
      <w:r>
        <w:rPr>
          <w:rFonts w:hint="eastAsia" w:ascii="仿宋" w:hAnsi="仿宋" w:eastAsia="仿宋" w:cs="仿宋"/>
          <w:kern w:val="0"/>
          <w:sz w:val="24"/>
        </w:rPr>
        <w:t>响应</w:t>
      </w:r>
      <w:r>
        <w:rPr>
          <w:rFonts w:hint="eastAsia" w:ascii="仿宋" w:hAnsi="仿宋" w:eastAsia="仿宋" w:cs="仿宋"/>
          <w:kern w:val="0"/>
          <w:sz w:val="24"/>
          <w:lang w:val="zh-CN"/>
        </w:rPr>
        <w:t>的其他事宜：</w:t>
      </w:r>
    </w:p>
    <w:p w14:paraId="476E3CD7">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14:paraId="6B20CF68">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14:paraId="64C1B7AC">
      <w:pPr>
        <w:snapToGrid w:val="0"/>
        <w:ind w:firstLine="576"/>
        <w:jc w:val="left"/>
        <w:rPr>
          <w:rFonts w:ascii="仿宋" w:hAnsi="仿宋" w:eastAsia="仿宋" w:cs="仿宋"/>
          <w:kern w:val="0"/>
          <w:sz w:val="24"/>
          <w:lang w:val="zh-CN"/>
        </w:rPr>
      </w:pPr>
      <w:r>
        <w:rPr>
          <w:rFonts w:hint="eastAsia" w:ascii="仿宋" w:hAnsi="仿宋" w:eastAsia="仿宋" w:cs="仿宋"/>
          <w:kern w:val="0"/>
          <w:sz w:val="24"/>
          <w:lang w:val="zh-CN"/>
        </w:rPr>
        <w:t>3、本协议提交采购人、采购机构后，联合体各方不得以任何形式对上述内容进行修改或撤销。</w:t>
      </w:r>
    </w:p>
    <w:p w14:paraId="76B03B17">
      <w:pPr>
        <w:snapToGrid w:val="0"/>
        <w:spacing w:line="420" w:lineRule="exact"/>
        <w:jc w:val="right"/>
        <w:rPr>
          <w:rFonts w:ascii="仿宋" w:hAnsi="仿宋" w:eastAsia="仿宋" w:cs="仿宋"/>
          <w:kern w:val="0"/>
          <w:sz w:val="24"/>
          <w:lang w:val="zh-CN"/>
        </w:rPr>
      </w:pPr>
    </w:p>
    <w:p w14:paraId="61D7D9FD">
      <w:pPr>
        <w:snapToGrid w:val="0"/>
        <w:spacing w:line="420" w:lineRule="exact"/>
        <w:jc w:val="right"/>
        <w:rPr>
          <w:rFonts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30D2A9D6">
      <w:pPr>
        <w:pStyle w:val="5"/>
        <w:jc w:val="center"/>
        <w:rPr>
          <w:rFonts w:ascii="仿宋" w:hAnsi="仿宋" w:eastAsia="仿宋" w:cs="仿宋"/>
          <w:kern w:val="0"/>
          <w:sz w:val="24"/>
        </w:rPr>
      </w:pPr>
      <w:r>
        <w:rPr>
          <w:rFonts w:hint="eastAsia" w:ascii="仿宋" w:hAnsi="仿宋" w:eastAsia="仿宋" w:cs="仿宋"/>
          <w:kern w:val="0"/>
          <w:sz w:val="24"/>
        </w:rPr>
        <w:t xml:space="preserve">                                   </w:t>
      </w:r>
    </w:p>
    <w:p w14:paraId="1CCA31F0">
      <w:pPr>
        <w:pStyle w:val="5"/>
        <w:jc w:val="right"/>
        <w:rPr>
          <w:rFonts w:ascii="仿宋" w:hAnsi="仿宋" w:eastAsia="仿宋" w:cs="仿宋"/>
          <w:lang w:val="zh-CN"/>
        </w:rPr>
      </w:pPr>
      <w:r>
        <w:rPr>
          <w:rFonts w:hint="eastAsia" w:ascii="仿宋" w:hAnsi="仿宋" w:eastAsia="仿宋" w:cs="仿宋"/>
          <w:kern w:val="0"/>
          <w:sz w:val="24"/>
        </w:rPr>
        <w:t xml:space="preserve">           </w:t>
      </w:r>
      <w:r>
        <w:rPr>
          <w:rFonts w:hint="eastAsia" w:ascii="仿宋" w:hAnsi="仿宋" w:eastAsia="仿宋" w:cs="仿宋"/>
          <w:kern w:val="0"/>
          <w:sz w:val="24"/>
          <w:lang w:val="zh-CN"/>
        </w:rPr>
        <w:t>联合体成员名称(电子签名/公章)：</w:t>
      </w:r>
    </w:p>
    <w:p w14:paraId="13EA8AB3">
      <w:pPr>
        <w:snapToGrid w:val="0"/>
        <w:spacing w:line="420" w:lineRule="exact"/>
        <w:ind w:firstLine="5040" w:firstLineChars="2100"/>
        <w:jc w:val="left"/>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27D7A595">
      <w:pPr>
        <w:widowControl/>
        <w:jc w:val="left"/>
        <w:rPr>
          <w:rFonts w:ascii="仿宋" w:hAnsi="仿宋" w:eastAsia="仿宋" w:cs="仿宋"/>
          <w:b/>
          <w:sz w:val="22"/>
          <w:szCs w:val="22"/>
        </w:rPr>
      </w:pPr>
    </w:p>
    <w:p w14:paraId="16F81395">
      <w:pPr>
        <w:widowControl/>
        <w:jc w:val="left"/>
        <w:rPr>
          <w:rFonts w:ascii="仿宋" w:hAnsi="仿宋" w:eastAsia="仿宋" w:cs="仿宋"/>
          <w:bCs/>
          <w:sz w:val="22"/>
          <w:szCs w:val="22"/>
        </w:rPr>
      </w:pPr>
    </w:p>
    <w:p w14:paraId="4613F56C">
      <w:pPr>
        <w:snapToGrid w:val="0"/>
        <w:spacing w:line="360" w:lineRule="auto"/>
        <w:ind w:right="480"/>
        <w:jc w:val="left"/>
        <w:rPr>
          <w:rFonts w:ascii="仿宋" w:hAnsi="仿宋" w:eastAsia="仿宋" w:cs="仿宋"/>
          <w:sz w:val="24"/>
        </w:rPr>
      </w:pPr>
      <w:r>
        <w:rPr>
          <w:rFonts w:hint="eastAsia" w:ascii="仿宋" w:hAnsi="仿宋" w:eastAsia="仿宋" w:cs="仿宋"/>
          <w:bCs/>
          <w:sz w:val="22"/>
          <w:szCs w:val="22"/>
        </w:rPr>
        <w:t>注：</w:t>
      </w:r>
      <w:r>
        <w:rPr>
          <w:rFonts w:hint="eastAsia" w:ascii="仿宋" w:hAnsi="仿宋" w:eastAsia="仿宋" w:cs="仿宋"/>
          <w:sz w:val="24"/>
        </w:rPr>
        <w:t>按本格式和要求提供。</w:t>
      </w:r>
    </w:p>
    <w:p w14:paraId="06BB1637">
      <w:pPr>
        <w:rPr>
          <w:rFonts w:ascii="仿宋" w:hAnsi="仿宋" w:eastAsia="仿宋" w:cs="仿宋"/>
          <w:kern w:val="0"/>
          <w:sz w:val="36"/>
          <w:szCs w:val="36"/>
        </w:rPr>
      </w:pPr>
      <w:r>
        <w:rPr>
          <w:rFonts w:hint="eastAsia" w:ascii="仿宋" w:hAnsi="仿宋" w:eastAsia="仿宋" w:cs="仿宋"/>
          <w:kern w:val="0"/>
          <w:sz w:val="36"/>
          <w:szCs w:val="36"/>
        </w:rPr>
        <w:br w:type="page"/>
      </w:r>
    </w:p>
    <w:p w14:paraId="524FF79F">
      <w:pPr>
        <w:pStyle w:val="3"/>
        <w:jc w:val="center"/>
        <w:rPr>
          <w:rFonts w:ascii="仿宋" w:hAnsi="仿宋" w:eastAsia="仿宋" w:cs="仿宋"/>
          <w:b w:val="0"/>
          <w:kern w:val="0"/>
          <w:sz w:val="36"/>
          <w:szCs w:val="36"/>
        </w:rPr>
      </w:pPr>
      <w:r>
        <w:rPr>
          <w:rFonts w:hint="eastAsia" w:ascii="仿宋" w:hAnsi="仿宋" w:eastAsia="仿宋" w:cs="仿宋"/>
          <w:kern w:val="0"/>
          <w:sz w:val="36"/>
          <w:szCs w:val="36"/>
        </w:rPr>
        <w:t>商务技术文件部分</w:t>
      </w:r>
      <w:bookmarkEnd w:id="92"/>
      <w:bookmarkEnd w:id="93"/>
    </w:p>
    <w:p w14:paraId="60DB7F14">
      <w:pPr>
        <w:rPr>
          <w:rFonts w:ascii="仿宋" w:hAnsi="仿宋" w:eastAsia="仿宋" w:cs="仿宋"/>
          <w:b/>
          <w:kern w:val="0"/>
          <w:sz w:val="24"/>
        </w:rPr>
      </w:pPr>
    </w:p>
    <w:p w14:paraId="5FA706D1">
      <w:pPr>
        <w:jc w:val="center"/>
        <w:rPr>
          <w:rFonts w:ascii="仿宋" w:hAnsi="仿宋" w:eastAsia="仿宋" w:cs="仿宋"/>
          <w:b/>
          <w:kern w:val="0"/>
          <w:sz w:val="28"/>
          <w:szCs w:val="28"/>
        </w:rPr>
      </w:pPr>
      <w:r>
        <w:rPr>
          <w:rFonts w:hint="eastAsia" w:ascii="仿宋" w:hAnsi="仿宋" w:eastAsia="仿宋" w:cs="仿宋"/>
          <w:b/>
          <w:kern w:val="0"/>
          <w:sz w:val="28"/>
          <w:szCs w:val="28"/>
        </w:rPr>
        <w:t>目录</w:t>
      </w:r>
    </w:p>
    <w:p w14:paraId="25BD76F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（1）投标函…………………………………………………………（页码）</w:t>
      </w:r>
    </w:p>
    <w:p w14:paraId="708A936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（2）法定代表人身份证明或法定代表人授权委托书……………（页码）</w:t>
      </w:r>
    </w:p>
    <w:p w14:paraId="0F470D2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（3）评标标准相应的商务技术资料………………………………（页码）</w:t>
      </w:r>
    </w:p>
    <w:p w14:paraId="33CF4B9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（4）商务技术偏离表………………………………………………（页码）</w:t>
      </w:r>
    </w:p>
    <w:p w14:paraId="32936D7E">
      <w:pPr>
        <w:snapToGrid w:val="0"/>
        <w:spacing w:line="360" w:lineRule="auto"/>
        <w:jc w:val="center"/>
        <w:outlineLvl w:val="0"/>
        <w:rPr>
          <w:rFonts w:ascii="仿宋" w:hAnsi="仿宋" w:eastAsia="仿宋" w:cs="仿宋"/>
          <w:b/>
          <w:kern w:val="0"/>
          <w:sz w:val="32"/>
          <w:szCs w:val="32"/>
        </w:rPr>
      </w:pPr>
    </w:p>
    <w:p w14:paraId="5CDC56DC">
      <w:pPr>
        <w:widowControl/>
        <w:adjustRightInd/>
        <w:jc w:val="left"/>
        <w:rPr>
          <w:rFonts w:ascii="仿宋" w:hAnsi="仿宋" w:eastAsia="仿宋" w:cs="仿宋"/>
          <w:b/>
          <w:kern w:val="0"/>
          <w:sz w:val="32"/>
          <w:szCs w:val="32"/>
        </w:rPr>
      </w:pPr>
      <w:r>
        <w:rPr>
          <w:rFonts w:hint="eastAsia" w:ascii="仿宋" w:hAnsi="仿宋" w:eastAsia="仿宋" w:cs="仿宋"/>
          <w:b/>
          <w:kern w:val="0"/>
          <w:sz w:val="32"/>
          <w:szCs w:val="32"/>
        </w:rPr>
        <w:br w:type="page"/>
      </w:r>
    </w:p>
    <w:p w14:paraId="0BFD18D5">
      <w:pPr>
        <w:pStyle w:val="26"/>
        <w:keepNext w:val="0"/>
        <w:pageBreakBefore w:val="0"/>
        <w:tabs>
          <w:tab w:val="clear" w:pos="720"/>
        </w:tabs>
        <w:snapToGrid w:val="0"/>
        <w:spacing w:before="120" w:after="120"/>
        <w:jc w:val="both"/>
        <w:outlineLvl w:val="9"/>
        <w:rPr>
          <w:rFonts w:ascii="仿宋" w:hAnsi="仿宋" w:eastAsia="仿宋" w:cs="仿宋"/>
          <w:sz w:val="28"/>
          <w:szCs w:val="28"/>
        </w:rPr>
      </w:pPr>
      <w:r>
        <w:rPr>
          <w:rFonts w:hint="eastAsia" w:ascii="仿宋" w:hAnsi="仿宋" w:eastAsia="仿宋" w:cs="仿宋"/>
          <w:sz w:val="28"/>
          <w:szCs w:val="28"/>
        </w:rPr>
        <w:t>附件3</w:t>
      </w:r>
    </w:p>
    <w:p w14:paraId="07AE4DDE">
      <w:pPr>
        <w:jc w:val="center"/>
        <w:rPr>
          <w:rFonts w:ascii="仿宋" w:hAnsi="仿宋" w:eastAsia="仿宋" w:cs="仿宋"/>
          <w:b/>
          <w:sz w:val="32"/>
          <w:szCs w:val="32"/>
        </w:rPr>
      </w:pPr>
      <w:r>
        <w:rPr>
          <w:rFonts w:hint="eastAsia" w:ascii="仿宋" w:hAnsi="仿宋" w:eastAsia="仿宋" w:cs="仿宋"/>
          <w:b/>
          <w:kern w:val="0"/>
          <w:sz w:val="32"/>
          <w:szCs w:val="32"/>
        </w:rPr>
        <w:t>一、投标</w:t>
      </w:r>
      <w:r>
        <w:rPr>
          <w:rFonts w:hint="eastAsia" w:ascii="仿宋" w:hAnsi="仿宋" w:eastAsia="仿宋" w:cs="仿宋"/>
          <w:b/>
          <w:sz w:val="32"/>
          <w:szCs w:val="32"/>
        </w:rPr>
        <w:t>函</w:t>
      </w:r>
    </w:p>
    <w:p w14:paraId="44EDF0C0">
      <w:pPr>
        <w:snapToGrid w:val="0"/>
        <w:spacing w:line="360" w:lineRule="auto"/>
        <w:rPr>
          <w:rFonts w:ascii="仿宋" w:hAnsi="仿宋" w:eastAsia="仿宋" w:cs="仿宋"/>
          <w:szCs w:val="21"/>
        </w:rPr>
      </w:pPr>
      <w:r>
        <w:rPr>
          <w:rFonts w:hint="eastAsia" w:ascii="仿宋" w:hAnsi="仿宋" w:eastAsia="仿宋" w:cs="仿宋"/>
          <w:szCs w:val="21"/>
        </w:rPr>
        <w:t>（采购人）、（采购代理机构）：</w:t>
      </w:r>
    </w:p>
    <w:p w14:paraId="7739CAF1">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我方参加你方组织的</w:t>
      </w:r>
      <w:r>
        <w:rPr>
          <w:rFonts w:hint="eastAsia" w:ascii="仿宋" w:hAnsi="仿宋" w:eastAsia="仿宋" w:cs="仿宋"/>
          <w:szCs w:val="21"/>
          <w:u w:val="single"/>
        </w:rPr>
        <w:t>（项目名称）</w:t>
      </w:r>
      <w:r>
        <w:rPr>
          <w:rFonts w:hint="eastAsia" w:ascii="仿宋" w:hAnsi="仿宋" w:eastAsia="仿宋" w:cs="仿宋"/>
          <w:szCs w:val="21"/>
        </w:rPr>
        <w:t>项目【</w:t>
      </w:r>
      <w:r>
        <w:rPr>
          <w:rFonts w:hint="eastAsia" w:ascii="仿宋" w:hAnsi="仿宋" w:eastAsia="仿宋" w:cs="仿宋"/>
          <w:szCs w:val="21"/>
          <w:u w:val="single"/>
        </w:rPr>
        <w:t>采购编号</w:t>
      </w:r>
      <w:r>
        <w:rPr>
          <w:rFonts w:hint="eastAsia" w:ascii="仿宋" w:hAnsi="仿宋" w:eastAsia="仿宋" w:cs="仿宋"/>
          <w:szCs w:val="21"/>
        </w:rPr>
        <w:t>】采购的有关活动，并对此项目进行投标。为此：</w:t>
      </w:r>
    </w:p>
    <w:p w14:paraId="7F2B6D8B">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1、我方承诺投标有效期从提交投标文件的截止之日起90天，本投标文件在投标有效期满之前均具有约束力。</w:t>
      </w:r>
    </w:p>
    <w:p w14:paraId="40166036">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2、我方的投标文件包括以下内容：</w:t>
      </w:r>
    </w:p>
    <w:p w14:paraId="3575D50E">
      <w:pPr>
        <w:snapToGrid w:val="0"/>
        <w:spacing w:line="360" w:lineRule="auto"/>
        <w:ind w:left="210" w:leftChars="100" w:firstLine="420" w:firstLineChars="200"/>
        <w:rPr>
          <w:rFonts w:ascii="仿宋" w:hAnsi="仿宋" w:eastAsia="仿宋" w:cs="仿宋"/>
          <w:szCs w:val="21"/>
        </w:rPr>
      </w:pPr>
      <w:r>
        <w:rPr>
          <w:rFonts w:hint="eastAsia" w:ascii="仿宋" w:hAnsi="仿宋" w:eastAsia="仿宋" w:cs="仿宋"/>
          <w:szCs w:val="21"/>
        </w:rPr>
        <w:t>2.1资格文件：</w:t>
      </w:r>
    </w:p>
    <w:p w14:paraId="047B40F9">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2.1.1符合参加政府采购活动应当具备的一般条件的承诺函；</w:t>
      </w:r>
    </w:p>
    <w:p w14:paraId="07783D7E">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2.1.2落实政府采购政策需满足的资格要求证明文件；</w:t>
      </w:r>
    </w:p>
    <w:p w14:paraId="2ADBC49F">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2.1.3本项目的特定资格要求证明文件；</w:t>
      </w:r>
    </w:p>
    <w:p w14:paraId="4C12C3EE">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2.1.4联合体协议书（如有）。</w:t>
      </w:r>
    </w:p>
    <w:p w14:paraId="06F355D6">
      <w:pPr>
        <w:snapToGrid w:val="0"/>
        <w:spacing w:line="360" w:lineRule="auto"/>
        <w:ind w:left="210" w:leftChars="100" w:firstLine="420" w:firstLineChars="200"/>
        <w:rPr>
          <w:rFonts w:ascii="仿宋" w:hAnsi="仿宋" w:eastAsia="仿宋" w:cs="仿宋"/>
          <w:szCs w:val="21"/>
          <w:lang w:val="zh-CN"/>
        </w:rPr>
      </w:pPr>
      <w:r>
        <w:rPr>
          <w:rFonts w:hint="eastAsia" w:ascii="仿宋" w:hAnsi="仿宋" w:eastAsia="仿宋" w:cs="仿宋"/>
          <w:szCs w:val="21"/>
        </w:rPr>
        <w:t>2</w:t>
      </w:r>
      <w:r>
        <w:rPr>
          <w:rFonts w:hint="eastAsia" w:ascii="仿宋" w:hAnsi="仿宋" w:eastAsia="仿宋" w:cs="仿宋"/>
          <w:szCs w:val="21"/>
          <w:lang w:val="zh-CN"/>
        </w:rPr>
        <w:t>.</w:t>
      </w:r>
      <w:r>
        <w:rPr>
          <w:rFonts w:hint="eastAsia" w:ascii="仿宋" w:hAnsi="仿宋" w:eastAsia="仿宋" w:cs="仿宋"/>
          <w:szCs w:val="21"/>
        </w:rPr>
        <w:t>2商务技术</w:t>
      </w:r>
      <w:r>
        <w:rPr>
          <w:rFonts w:hint="eastAsia" w:ascii="仿宋" w:hAnsi="仿宋" w:eastAsia="仿宋" w:cs="仿宋"/>
          <w:szCs w:val="21"/>
          <w:lang w:val="zh-CN"/>
        </w:rPr>
        <w:t>文件：</w:t>
      </w:r>
    </w:p>
    <w:p w14:paraId="40309416">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2.2.1投标函；</w:t>
      </w:r>
    </w:p>
    <w:p w14:paraId="22ADE351">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2.2.2法定代表人身份证明或法定代表人授权委托书；</w:t>
      </w:r>
    </w:p>
    <w:p w14:paraId="03F64D4E">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2.2.3评标标准相应的商务技术资料；</w:t>
      </w:r>
    </w:p>
    <w:p w14:paraId="1B0069A1">
      <w:pPr>
        <w:snapToGrid w:val="0"/>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2.2.4商务技术偏离表。</w:t>
      </w:r>
    </w:p>
    <w:p w14:paraId="79E0F31E">
      <w:pPr>
        <w:snapToGrid w:val="0"/>
        <w:spacing w:line="360" w:lineRule="auto"/>
        <w:ind w:left="210" w:leftChars="100"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val="zh-CN"/>
        </w:rPr>
        <w:t>.</w:t>
      </w:r>
      <w:r>
        <w:rPr>
          <w:rFonts w:hint="eastAsia" w:ascii="仿宋" w:hAnsi="仿宋" w:eastAsia="仿宋" w:cs="仿宋"/>
          <w:szCs w:val="21"/>
        </w:rPr>
        <w:t>3报价文件</w:t>
      </w:r>
    </w:p>
    <w:p w14:paraId="45DBB77D">
      <w:pPr>
        <w:snapToGrid w:val="0"/>
        <w:spacing w:line="360" w:lineRule="auto"/>
        <w:ind w:left="420" w:leftChars="200" w:firstLine="420" w:firstLineChars="200"/>
        <w:rPr>
          <w:rFonts w:ascii="仿宋" w:hAnsi="仿宋" w:eastAsia="仿宋" w:cs="仿宋"/>
          <w:szCs w:val="21"/>
        </w:rPr>
      </w:pPr>
      <w:bookmarkStart w:id="95" w:name="_Hlk93170136"/>
      <w:r>
        <w:rPr>
          <w:rFonts w:hint="eastAsia" w:ascii="仿宋" w:hAnsi="仿宋" w:eastAsia="仿宋" w:cs="仿宋"/>
          <w:szCs w:val="21"/>
        </w:rPr>
        <w:t>2.3.1开标一览表（首次报价表）。</w:t>
      </w:r>
    </w:p>
    <w:bookmarkEnd w:id="95"/>
    <w:p w14:paraId="191B1E57">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3、我方承诺除商务技术偏离表列出的偏离外，我方响应招标文件的全部要求。</w:t>
      </w:r>
    </w:p>
    <w:p w14:paraId="4067A09C">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4、如我方中标，我方承诺：</w:t>
      </w:r>
    </w:p>
    <w:p w14:paraId="62895291">
      <w:pPr>
        <w:snapToGrid w:val="0"/>
        <w:spacing w:line="360" w:lineRule="auto"/>
        <w:ind w:firstLine="630" w:firstLineChars="300"/>
        <w:rPr>
          <w:rFonts w:ascii="仿宋" w:hAnsi="仿宋" w:eastAsia="仿宋" w:cs="仿宋"/>
          <w:szCs w:val="21"/>
        </w:rPr>
      </w:pPr>
      <w:r>
        <w:rPr>
          <w:rFonts w:hint="eastAsia" w:ascii="仿宋" w:hAnsi="仿宋" w:eastAsia="仿宋" w:cs="仿宋"/>
          <w:szCs w:val="21"/>
        </w:rPr>
        <w:t xml:space="preserve">4.1在收到中标通知书后，在中标通知书规定的期限内与你方签订合同； </w:t>
      </w:r>
    </w:p>
    <w:p w14:paraId="493172F8">
      <w:pPr>
        <w:snapToGrid w:val="0"/>
        <w:spacing w:line="360" w:lineRule="auto"/>
        <w:ind w:firstLine="630" w:firstLineChars="300"/>
        <w:rPr>
          <w:rFonts w:ascii="仿宋" w:hAnsi="仿宋" w:eastAsia="仿宋" w:cs="仿宋"/>
          <w:szCs w:val="21"/>
        </w:rPr>
      </w:pPr>
      <w:r>
        <w:rPr>
          <w:rFonts w:hint="eastAsia" w:ascii="仿宋" w:hAnsi="仿宋" w:eastAsia="仿宋" w:cs="仿宋"/>
          <w:szCs w:val="21"/>
        </w:rPr>
        <w:t>4.2在签订合同时不向你方提出附加条件；</w:t>
      </w:r>
    </w:p>
    <w:p w14:paraId="09147C53">
      <w:pPr>
        <w:snapToGrid w:val="0"/>
        <w:spacing w:line="360" w:lineRule="auto"/>
        <w:ind w:firstLine="630" w:firstLineChars="300"/>
        <w:rPr>
          <w:rFonts w:ascii="仿宋" w:hAnsi="仿宋" w:eastAsia="仿宋" w:cs="仿宋"/>
          <w:szCs w:val="21"/>
        </w:rPr>
      </w:pPr>
      <w:r>
        <w:rPr>
          <w:rFonts w:hint="eastAsia" w:ascii="仿宋" w:hAnsi="仿宋" w:eastAsia="仿宋" w:cs="仿宋"/>
          <w:szCs w:val="21"/>
        </w:rPr>
        <w:t xml:space="preserve">4.3按照招标文件要求提交履约保证金（如有）； </w:t>
      </w:r>
    </w:p>
    <w:p w14:paraId="71F222AA">
      <w:pPr>
        <w:snapToGrid w:val="0"/>
        <w:spacing w:line="360" w:lineRule="auto"/>
        <w:ind w:firstLine="630" w:firstLineChars="300"/>
        <w:rPr>
          <w:rFonts w:ascii="仿宋" w:hAnsi="仿宋" w:eastAsia="仿宋" w:cs="仿宋"/>
          <w:szCs w:val="21"/>
        </w:rPr>
      </w:pPr>
      <w:r>
        <w:rPr>
          <w:rFonts w:hint="eastAsia" w:ascii="仿宋" w:hAnsi="仿宋" w:eastAsia="仿宋" w:cs="仿宋"/>
          <w:szCs w:val="21"/>
        </w:rPr>
        <w:t xml:space="preserve">4.4在合同约定的期限内完成合同规定的全部义务。 </w:t>
      </w:r>
    </w:p>
    <w:p w14:paraId="7128BB88">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5、其他补充说明:</w:t>
      </w:r>
      <w:r>
        <w:rPr>
          <w:rFonts w:hint="eastAsia" w:ascii="仿宋" w:hAnsi="仿宋" w:eastAsia="仿宋" w:cs="仿宋"/>
          <w:szCs w:val="21"/>
          <w:u w:val="single"/>
        </w:rPr>
        <w:t xml:space="preserve">        </w:t>
      </w:r>
      <w:r>
        <w:rPr>
          <w:rFonts w:hint="eastAsia" w:ascii="仿宋" w:hAnsi="仿宋" w:eastAsia="仿宋" w:cs="仿宋"/>
          <w:szCs w:val="21"/>
        </w:rPr>
        <w:t>。</w:t>
      </w:r>
    </w:p>
    <w:p w14:paraId="42AF4046">
      <w:pPr>
        <w:spacing w:line="360" w:lineRule="auto"/>
        <w:ind w:firstLine="3150" w:firstLineChars="1500"/>
        <w:rPr>
          <w:rFonts w:ascii="仿宋" w:hAnsi="仿宋" w:eastAsia="仿宋" w:cs="仿宋"/>
          <w:szCs w:val="21"/>
        </w:rPr>
      </w:pPr>
      <w:r>
        <w:rPr>
          <w:rFonts w:hint="eastAsia" w:ascii="仿宋" w:hAnsi="仿宋" w:eastAsia="仿宋" w:cs="仿宋"/>
          <w:szCs w:val="21"/>
        </w:rPr>
        <w:t>投标人名称（公章）：</w:t>
      </w:r>
    </w:p>
    <w:p w14:paraId="58419E9C">
      <w:pPr>
        <w:spacing w:line="360" w:lineRule="auto"/>
        <w:jc w:val="center"/>
        <w:rPr>
          <w:rFonts w:ascii="仿宋" w:hAnsi="仿宋" w:eastAsia="仿宋" w:cs="仿宋"/>
          <w:szCs w:val="21"/>
        </w:rPr>
      </w:pPr>
      <w:r>
        <w:rPr>
          <w:rFonts w:hint="eastAsia" w:ascii="仿宋" w:hAnsi="仿宋" w:eastAsia="仿宋" w:cs="仿宋"/>
          <w:szCs w:val="21"/>
        </w:rPr>
        <w:t xml:space="preserve">     日期：  年   月   日</w:t>
      </w:r>
    </w:p>
    <w:p w14:paraId="686EB710">
      <w:pPr>
        <w:widowControl/>
        <w:adjustRightInd/>
        <w:jc w:val="left"/>
        <w:rPr>
          <w:rFonts w:ascii="仿宋" w:hAnsi="仿宋" w:eastAsia="仿宋" w:cs="仿宋"/>
          <w:b/>
          <w:kern w:val="0"/>
          <w:sz w:val="24"/>
          <w:lang w:val="zh-CN"/>
        </w:rPr>
      </w:pPr>
    </w:p>
    <w:p w14:paraId="7A71CC55">
      <w:pPr>
        <w:widowControl/>
        <w:adjustRightInd/>
        <w:jc w:val="left"/>
        <w:rPr>
          <w:rFonts w:ascii="仿宋" w:hAnsi="仿宋" w:eastAsia="仿宋" w:cs="仿宋"/>
          <w:b/>
          <w:kern w:val="0"/>
          <w:sz w:val="24"/>
          <w:lang w:val="zh-CN"/>
        </w:rPr>
      </w:pPr>
    </w:p>
    <w:p w14:paraId="7AB8CBD1">
      <w:pPr>
        <w:widowControl/>
        <w:adjustRightInd/>
        <w:jc w:val="left"/>
        <w:rPr>
          <w:rFonts w:ascii="仿宋" w:hAnsi="仿宋" w:eastAsia="仿宋" w:cs="仿宋"/>
          <w:b/>
          <w:kern w:val="0"/>
          <w:sz w:val="32"/>
          <w:szCs w:val="32"/>
          <w:lang w:val="zh-CN"/>
        </w:rPr>
      </w:pPr>
      <w:r>
        <w:rPr>
          <w:rFonts w:hint="eastAsia" w:ascii="仿宋" w:hAnsi="仿宋" w:eastAsia="仿宋" w:cs="仿宋"/>
          <w:b/>
          <w:kern w:val="0"/>
          <w:sz w:val="24"/>
          <w:lang w:val="zh-CN"/>
        </w:rPr>
        <w:t>注：联合体投标的，则由联合体牵头人提供即可。</w:t>
      </w:r>
      <w:r>
        <w:rPr>
          <w:rFonts w:hint="eastAsia" w:ascii="仿宋" w:hAnsi="仿宋" w:eastAsia="仿宋" w:cs="仿宋"/>
          <w:b/>
          <w:kern w:val="0"/>
          <w:sz w:val="32"/>
          <w:szCs w:val="32"/>
          <w:lang w:val="zh-CN"/>
        </w:rPr>
        <w:br w:type="page"/>
      </w:r>
    </w:p>
    <w:p w14:paraId="1E700358">
      <w:pPr>
        <w:pStyle w:val="26"/>
        <w:keepNext w:val="0"/>
        <w:pageBreakBefore w:val="0"/>
        <w:tabs>
          <w:tab w:val="clear" w:pos="720"/>
        </w:tabs>
        <w:snapToGrid w:val="0"/>
        <w:spacing w:before="120" w:after="120"/>
        <w:jc w:val="both"/>
        <w:outlineLvl w:val="9"/>
        <w:rPr>
          <w:rFonts w:ascii="仿宋" w:hAnsi="仿宋" w:eastAsia="仿宋" w:cs="仿宋"/>
          <w:sz w:val="28"/>
          <w:szCs w:val="28"/>
        </w:rPr>
      </w:pPr>
      <w:r>
        <w:rPr>
          <w:rFonts w:hint="eastAsia" w:ascii="仿宋" w:hAnsi="仿宋" w:eastAsia="仿宋" w:cs="仿宋"/>
          <w:sz w:val="28"/>
          <w:szCs w:val="28"/>
        </w:rPr>
        <w:t>附件4</w:t>
      </w:r>
    </w:p>
    <w:p w14:paraId="4A3D0888">
      <w:pPr>
        <w:rPr>
          <w:rFonts w:ascii="仿宋" w:hAnsi="仿宋" w:eastAsia="仿宋" w:cs="仿宋"/>
          <w:b/>
          <w:kern w:val="0"/>
          <w:sz w:val="32"/>
          <w:szCs w:val="32"/>
          <w:lang w:val="zh-CN"/>
        </w:rPr>
      </w:pPr>
    </w:p>
    <w:p w14:paraId="227D20C6">
      <w:pPr>
        <w:numPr>
          <w:ilvl w:val="0"/>
          <w:numId w:val="12"/>
        </w:numPr>
        <w:spacing w:line="360" w:lineRule="auto"/>
        <w:jc w:val="center"/>
        <w:rPr>
          <w:rFonts w:ascii="仿宋" w:hAnsi="仿宋" w:eastAsia="仿宋" w:cs="仿宋"/>
          <w:b/>
          <w:kern w:val="0"/>
          <w:sz w:val="32"/>
          <w:szCs w:val="32"/>
          <w:lang w:val="zh-CN"/>
        </w:rPr>
      </w:pPr>
      <w:r>
        <w:rPr>
          <w:rFonts w:hint="eastAsia" w:ascii="仿宋" w:hAnsi="仿宋" w:eastAsia="仿宋" w:cs="仿宋"/>
          <w:b/>
          <w:kern w:val="0"/>
          <w:sz w:val="32"/>
          <w:szCs w:val="32"/>
          <w:lang w:val="zh-CN"/>
        </w:rPr>
        <w:t>（</w:t>
      </w:r>
      <w:r>
        <w:rPr>
          <w:rFonts w:hint="eastAsia" w:ascii="仿宋" w:hAnsi="仿宋" w:eastAsia="仿宋" w:cs="仿宋"/>
          <w:b/>
          <w:kern w:val="0"/>
          <w:sz w:val="32"/>
          <w:szCs w:val="32"/>
        </w:rPr>
        <w:t>1</w:t>
      </w:r>
      <w:r>
        <w:rPr>
          <w:rFonts w:hint="eastAsia" w:ascii="仿宋" w:hAnsi="仿宋" w:eastAsia="仿宋" w:cs="仿宋"/>
          <w:b/>
          <w:kern w:val="0"/>
          <w:sz w:val="32"/>
          <w:szCs w:val="32"/>
          <w:lang w:val="zh-CN"/>
        </w:rPr>
        <w:t>）法定代表人身份证明</w:t>
      </w:r>
    </w:p>
    <w:p w14:paraId="355F1DD4">
      <w:pPr>
        <w:spacing w:line="480" w:lineRule="auto"/>
        <w:rPr>
          <w:rFonts w:ascii="仿宋" w:hAnsi="仿宋" w:eastAsia="仿宋" w:cs="仿宋"/>
          <w:sz w:val="24"/>
        </w:rPr>
      </w:pPr>
    </w:p>
    <w:p w14:paraId="1D0815F3">
      <w:pPr>
        <w:spacing w:line="480" w:lineRule="auto"/>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A3ECD23">
      <w:pPr>
        <w:spacing w:line="480" w:lineRule="auto"/>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650AAF5">
      <w:pPr>
        <w:spacing w:line="480" w:lineRule="auto"/>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14:paraId="4FBB3A6A">
      <w:pPr>
        <w:spacing w:line="480" w:lineRule="auto"/>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14:paraId="5CBCE44D">
      <w:pPr>
        <w:spacing w:line="480" w:lineRule="auto"/>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558F381C">
      <w:pPr>
        <w:spacing w:line="480" w:lineRule="auto"/>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726877B7">
      <w:pPr>
        <w:spacing w:line="480" w:lineRule="auto"/>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（投标人名称）的法定代表人。</w:t>
      </w:r>
    </w:p>
    <w:p w14:paraId="2CC596C0">
      <w:pPr>
        <w:spacing w:line="480" w:lineRule="auto"/>
        <w:ind w:firstLine="480" w:firstLineChars="200"/>
        <w:rPr>
          <w:rFonts w:ascii="仿宋" w:hAnsi="仿宋" w:eastAsia="仿宋" w:cs="仿宋"/>
          <w:sz w:val="24"/>
        </w:rPr>
      </w:pPr>
      <w:r>
        <w:rPr>
          <w:rFonts w:hint="eastAsia" w:ascii="仿宋" w:hAnsi="仿宋" w:eastAsia="仿宋" w:cs="仿宋"/>
          <w:sz w:val="24"/>
        </w:rPr>
        <w:t>特此证明。</w:t>
      </w:r>
    </w:p>
    <w:p w14:paraId="3335138D">
      <w:pPr>
        <w:spacing w:line="480" w:lineRule="auto"/>
        <w:rPr>
          <w:rFonts w:ascii="仿宋" w:hAnsi="仿宋" w:eastAsia="仿宋" w:cs="仿宋"/>
          <w:sz w:val="24"/>
        </w:rPr>
      </w:pPr>
    </w:p>
    <w:p w14:paraId="163BCCDC">
      <w:pPr>
        <w:spacing w:line="480" w:lineRule="auto"/>
        <w:rPr>
          <w:rFonts w:ascii="仿宋" w:hAnsi="仿宋" w:eastAsia="仿宋" w:cs="仿宋"/>
          <w:sz w:val="24"/>
        </w:rPr>
      </w:pPr>
    </w:p>
    <w:p w14:paraId="0F2ED616">
      <w:pPr>
        <w:spacing w:line="480" w:lineRule="auto"/>
        <w:rPr>
          <w:rFonts w:ascii="仿宋" w:hAnsi="仿宋" w:eastAsia="仿宋" w:cs="仿宋"/>
          <w:sz w:val="24"/>
        </w:rPr>
      </w:pPr>
      <w:r>
        <w:rPr>
          <w:rFonts w:hint="eastAsia" w:ascii="仿宋" w:hAnsi="仿宋" w:eastAsia="仿宋" w:cs="仿宋"/>
          <w:sz w:val="24"/>
        </w:rPr>
        <w:t xml:space="preserve">                          投标人名称：</w:t>
      </w:r>
      <w:r>
        <w:rPr>
          <w:rFonts w:hint="eastAsia" w:ascii="仿宋" w:hAnsi="仿宋" w:eastAsia="仿宋" w:cs="仿宋"/>
          <w:sz w:val="24"/>
          <w:u w:val="single"/>
        </w:rPr>
        <w:t xml:space="preserve">                 </w:t>
      </w:r>
      <w:r>
        <w:rPr>
          <w:rFonts w:hint="eastAsia" w:ascii="仿宋" w:hAnsi="仿宋" w:eastAsia="仿宋" w:cs="仿宋"/>
          <w:sz w:val="24"/>
        </w:rPr>
        <w:t>（电子签名）</w:t>
      </w:r>
    </w:p>
    <w:p w14:paraId="12D7CC62">
      <w:pPr>
        <w:pStyle w:val="6"/>
        <w:spacing w:line="480" w:lineRule="auto"/>
        <w:ind w:firstLine="0" w:firstLineChars="0"/>
        <w:rPr>
          <w:rFonts w:ascii="仿宋" w:hAnsi="仿宋" w:eastAsia="仿宋" w:cs="仿宋"/>
          <w:sz w:val="24"/>
          <w:lang w:val="zh-CN"/>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7BC87C87">
      <w:pPr>
        <w:widowControl/>
        <w:adjustRightInd/>
        <w:jc w:val="left"/>
        <w:rPr>
          <w:rFonts w:ascii="仿宋" w:hAnsi="仿宋" w:eastAsia="仿宋" w:cs="仿宋"/>
          <w:b/>
          <w:kern w:val="0"/>
          <w:sz w:val="24"/>
        </w:rPr>
      </w:pPr>
    </w:p>
    <w:p w14:paraId="555E3855">
      <w:pPr>
        <w:widowControl/>
        <w:adjustRightInd/>
        <w:jc w:val="left"/>
        <w:rPr>
          <w:rFonts w:ascii="仿宋" w:hAnsi="仿宋" w:eastAsia="仿宋" w:cs="仿宋"/>
          <w:b/>
          <w:kern w:val="0"/>
          <w:sz w:val="32"/>
          <w:szCs w:val="32"/>
        </w:rPr>
        <w:sectPr>
          <w:headerReference r:id="rId7" w:type="default"/>
          <w:footerReference r:id="rId8" w:type="default"/>
          <w:pgSz w:w="11907" w:h="16840"/>
          <w:pgMar w:top="1474" w:right="1473" w:bottom="1474" w:left="1814" w:header="851" w:footer="851" w:gutter="0"/>
          <w:cols w:space="720" w:num="1"/>
        </w:sectPr>
      </w:pPr>
      <w:r>
        <w:rPr>
          <w:rFonts w:hint="eastAsia" w:ascii="仿宋" w:hAnsi="仿宋" w:eastAsia="仿宋" w:cs="仿宋"/>
          <w:bCs/>
          <w:kern w:val="0"/>
          <w:sz w:val="24"/>
        </w:rPr>
        <w:t>附:</w:t>
      </w:r>
      <w:r>
        <w:rPr>
          <w:rFonts w:hint="eastAsia" w:ascii="仿宋" w:hAnsi="仿宋" w:eastAsia="仿宋" w:cs="仿宋"/>
          <w:b/>
          <w:kern w:val="0"/>
          <w:sz w:val="24"/>
        </w:rPr>
        <w:t>法定代表人身份证正反面。</w:t>
      </w:r>
      <w:r>
        <w:rPr>
          <w:rFonts w:hint="eastAsia" w:ascii="仿宋" w:hAnsi="仿宋" w:eastAsia="仿宋" w:cs="仿宋"/>
          <w:b/>
          <w:kern w:val="0"/>
          <w:sz w:val="32"/>
          <w:szCs w:val="32"/>
        </w:rPr>
        <w:br w:type="page"/>
      </w:r>
    </w:p>
    <w:p w14:paraId="1AA4074C">
      <w:pPr>
        <w:pStyle w:val="27"/>
        <w:jc w:val="center"/>
        <w:rPr>
          <w:rFonts w:ascii="仿宋" w:hAnsi="仿宋" w:eastAsia="仿宋" w:cs="仿宋"/>
          <w:b/>
          <w:bCs/>
          <w:sz w:val="32"/>
          <w:szCs w:val="32"/>
        </w:rPr>
      </w:pPr>
      <w:bookmarkStart w:id="96" w:name="_Toc144974861"/>
      <w:bookmarkStart w:id="97" w:name="_Toc9168"/>
      <w:bookmarkStart w:id="98" w:name="_Toc6834"/>
      <w:bookmarkStart w:id="99" w:name="_Toc46501833"/>
      <w:bookmarkStart w:id="100" w:name="_Toc152045792"/>
      <w:bookmarkStart w:id="101" w:name="_Toc152042581"/>
      <w:bookmarkStart w:id="102" w:name="_Toc30338"/>
      <w:r>
        <w:rPr>
          <w:rFonts w:hint="eastAsia" w:ascii="仿宋" w:hAnsi="仿宋" w:eastAsia="仿宋" w:cs="仿宋"/>
          <w:b/>
          <w:bCs/>
          <w:sz w:val="32"/>
          <w:szCs w:val="32"/>
        </w:rPr>
        <w:t>（2）法定代表人授权委托书</w:t>
      </w:r>
      <w:bookmarkEnd w:id="96"/>
      <w:bookmarkEnd w:id="97"/>
      <w:bookmarkEnd w:id="98"/>
      <w:bookmarkEnd w:id="99"/>
      <w:bookmarkEnd w:id="100"/>
      <w:bookmarkEnd w:id="101"/>
      <w:bookmarkEnd w:id="102"/>
    </w:p>
    <w:p w14:paraId="21B8B019">
      <w:pPr>
        <w:spacing w:line="440" w:lineRule="exact"/>
        <w:rPr>
          <w:rFonts w:ascii="仿宋" w:hAnsi="仿宋" w:eastAsia="仿宋" w:cs="仿宋"/>
          <w:szCs w:val="21"/>
        </w:rPr>
      </w:pPr>
    </w:p>
    <w:p w14:paraId="45487F7B">
      <w:pPr>
        <w:topLinePunct/>
        <w:spacing w:line="360" w:lineRule="auto"/>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rPr>
        <w:t>（项目名称）标段施工投标文件、签订合同和处理有关事宜，其法律后果由我方承担。</w:t>
      </w:r>
    </w:p>
    <w:p w14:paraId="094F67B4">
      <w:pPr>
        <w:spacing w:line="360" w:lineRule="auto"/>
        <w:rPr>
          <w:rFonts w:ascii="仿宋" w:hAnsi="仿宋" w:eastAsia="仿宋" w:cs="仿宋"/>
          <w:sz w:val="24"/>
        </w:rPr>
      </w:pPr>
      <w:r>
        <w:rPr>
          <w:rFonts w:hint="eastAsia" w:ascii="仿宋" w:hAnsi="仿宋" w:eastAsia="仿宋" w:cs="仿宋"/>
          <w:sz w:val="24"/>
        </w:rPr>
        <w:t>委托期限：。</w:t>
      </w:r>
    </w:p>
    <w:p w14:paraId="464A2BF2">
      <w:pPr>
        <w:spacing w:line="360" w:lineRule="auto"/>
        <w:ind w:firstLine="480" w:firstLineChars="200"/>
        <w:rPr>
          <w:rFonts w:ascii="仿宋" w:hAnsi="仿宋" w:eastAsia="仿宋" w:cs="仿宋"/>
          <w:sz w:val="24"/>
        </w:rPr>
      </w:pPr>
      <w:r>
        <w:rPr>
          <w:rFonts w:hint="eastAsia" w:ascii="仿宋" w:hAnsi="仿宋" w:eastAsia="仿宋" w:cs="仿宋"/>
          <w:sz w:val="24"/>
        </w:rPr>
        <w:t>代理人无转委托权。</w:t>
      </w:r>
    </w:p>
    <w:p w14:paraId="2684CEAA">
      <w:pPr>
        <w:spacing w:line="360" w:lineRule="auto"/>
        <w:ind w:firstLine="480" w:firstLineChars="200"/>
        <w:rPr>
          <w:rFonts w:ascii="仿宋" w:hAnsi="仿宋" w:eastAsia="仿宋" w:cs="仿宋"/>
          <w:sz w:val="24"/>
        </w:rPr>
      </w:pPr>
      <w:r>
        <w:rPr>
          <w:rFonts w:hint="eastAsia" w:ascii="仿宋" w:hAnsi="仿宋" w:eastAsia="仿宋" w:cs="仿宋"/>
          <w:sz w:val="24"/>
        </w:rPr>
        <w:t>附：</w:t>
      </w:r>
      <w:r>
        <w:rPr>
          <w:rFonts w:hint="eastAsia" w:ascii="仿宋" w:hAnsi="仿宋" w:eastAsia="仿宋" w:cs="仿宋"/>
          <w:b/>
          <w:bCs/>
          <w:sz w:val="24"/>
        </w:rPr>
        <w:t>法定代表人及授权代表的身份证正反面</w:t>
      </w:r>
    </w:p>
    <w:p w14:paraId="4FF90AE0">
      <w:pPr>
        <w:spacing w:line="360" w:lineRule="auto"/>
        <w:rPr>
          <w:rFonts w:ascii="仿宋" w:hAnsi="仿宋" w:eastAsia="仿宋" w:cs="仿宋"/>
          <w:sz w:val="24"/>
        </w:rPr>
      </w:pPr>
    </w:p>
    <w:p w14:paraId="20231948">
      <w:pPr>
        <w:spacing w:line="360" w:lineRule="auto"/>
        <w:rPr>
          <w:rFonts w:ascii="仿宋" w:hAnsi="仿宋" w:eastAsia="仿宋" w:cs="仿宋"/>
          <w:sz w:val="24"/>
        </w:rPr>
      </w:pPr>
    </w:p>
    <w:p w14:paraId="7D8D93D4">
      <w:pPr>
        <w:pStyle w:val="15"/>
        <w:rPr>
          <w:rFonts w:ascii="仿宋" w:hAnsi="仿宋" w:eastAsia="仿宋" w:cs="仿宋"/>
        </w:rPr>
      </w:pPr>
    </w:p>
    <w:p w14:paraId="3B6D2074">
      <w:pPr>
        <w:spacing w:line="480" w:lineRule="auto"/>
        <w:rPr>
          <w:rFonts w:ascii="仿宋" w:hAnsi="仿宋" w:eastAsia="仿宋" w:cs="仿宋"/>
          <w:sz w:val="24"/>
        </w:rPr>
      </w:pPr>
      <w:r>
        <w:rPr>
          <w:rFonts w:hint="eastAsia" w:ascii="仿宋" w:hAnsi="仿宋" w:eastAsia="仿宋" w:cs="仿宋"/>
          <w:sz w:val="24"/>
        </w:rPr>
        <w:t>投标人名称：   （公章）</w:t>
      </w:r>
    </w:p>
    <w:p w14:paraId="6482E678">
      <w:pPr>
        <w:spacing w:line="480" w:lineRule="auto"/>
        <w:rPr>
          <w:rFonts w:ascii="仿宋" w:hAnsi="仿宋" w:eastAsia="仿宋" w:cs="仿宋"/>
          <w:sz w:val="24"/>
        </w:rPr>
      </w:pPr>
      <w:r>
        <w:rPr>
          <w:rFonts w:hint="eastAsia" w:ascii="仿宋" w:hAnsi="仿宋" w:eastAsia="仿宋" w:cs="仿宋"/>
          <w:sz w:val="24"/>
        </w:rPr>
        <w:t>法定代表人：（签字或盖章）</w:t>
      </w:r>
    </w:p>
    <w:p w14:paraId="0CD06BC1">
      <w:pPr>
        <w:spacing w:line="480" w:lineRule="auto"/>
        <w:rPr>
          <w:rFonts w:ascii="仿宋" w:hAnsi="仿宋" w:eastAsia="仿宋" w:cs="仿宋"/>
          <w:sz w:val="24"/>
        </w:rPr>
      </w:pPr>
      <w:r>
        <w:rPr>
          <w:rFonts w:hint="eastAsia" w:ascii="仿宋" w:hAnsi="仿宋" w:eastAsia="仿宋" w:cs="仿宋"/>
          <w:sz w:val="24"/>
        </w:rPr>
        <w:t>身份证号码：</w:t>
      </w:r>
    </w:p>
    <w:p w14:paraId="32C27CA4">
      <w:pPr>
        <w:spacing w:line="480" w:lineRule="auto"/>
        <w:rPr>
          <w:rFonts w:ascii="仿宋" w:hAnsi="仿宋" w:eastAsia="仿宋" w:cs="仿宋"/>
          <w:sz w:val="24"/>
        </w:rPr>
      </w:pPr>
      <w:r>
        <w:rPr>
          <w:rFonts w:hint="eastAsia" w:ascii="仿宋" w:hAnsi="仿宋" w:eastAsia="仿宋" w:cs="仿宋"/>
          <w:sz w:val="24"/>
        </w:rPr>
        <w:t>委托代理人：（签字或盖章）</w:t>
      </w:r>
    </w:p>
    <w:p w14:paraId="6A347BE3">
      <w:pPr>
        <w:spacing w:line="480" w:lineRule="auto"/>
        <w:rPr>
          <w:rFonts w:ascii="仿宋" w:hAnsi="仿宋" w:eastAsia="仿宋" w:cs="仿宋"/>
          <w:sz w:val="24"/>
        </w:rPr>
      </w:pPr>
      <w:r>
        <w:rPr>
          <w:rFonts w:hint="eastAsia" w:ascii="仿宋" w:hAnsi="仿宋" w:eastAsia="仿宋" w:cs="仿宋"/>
          <w:sz w:val="24"/>
        </w:rPr>
        <w:t>身份证号码：</w:t>
      </w:r>
    </w:p>
    <w:p w14:paraId="7A81AB46">
      <w:pPr>
        <w:spacing w:line="360" w:lineRule="auto"/>
        <w:rPr>
          <w:rFonts w:ascii="仿宋" w:hAnsi="仿宋" w:eastAsia="仿宋" w:cs="仿宋"/>
          <w:sz w:val="24"/>
        </w:rPr>
      </w:pPr>
    </w:p>
    <w:p w14:paraId="5B948747">
      <w:pPr>
        <w:spacing w:line="360" w:lineRule="auto"/>
        <w:rPr>
          <w:rFonts w:ascii="仿宋" w:hAnsi="仿宋" w:eastAsia="仿宋" w:cs="仿宋"/>
          <w:sz w:val="24"/>
        </w:rPr>
      </w:pPr>
    </w:p>
    <w:p w14:paraId="6C168987">
      <w:pPr>
        <w:pStyle w:val="14"/>
        <w:jc w:val="right"/>
        <w:rPr>
          <w:rFonts w:ascii="仿宋" w:hAnsi="仿宋" w:eastAsia="仿宋" w:cs="仿宋"/>
          <w:b w:val="0"/>
          <w:bCs/>
          <w:szCs w:val="24"/>
        </w:rPr>
      </w:pPr>
      <w:r>
        <w:rPr>
          <w:rFonts w:hint="eastAsia" w:ascii="仿宋" w:hAnsi="仿宋" w:eastAsia="仿宋" w:cs="仿宋"/>
          <w:sz w:val="20"/>
          <w:szCs w:val="20"/>
        </w:rPr>
        <w:t xml:space="preserve">                                  </w:t>
      </w:r>
      <w:r>
        <w:rPr>
          <w:rFonts w:hint="eastAsia" w:ascii="仿宋" w:hAnsi="仿宋" w:eastAsia="仿宋" w:cs="仿宋"/>
          <w:b w:val="0"/>
          <w:bCs/>
          <w:sz w:val="20"/>
          <w:szCs w:val="20"/>
        </w:rPr>
        <w:t xml:space="preserve"> </w:t>
      </w:r>
      <w:r>
        <w:rPr>
          <w:rFonts w:hint="eastAsia" w:ascii="仿宋" w:hAnsi="仿宋" w:eastAsia="仿宋" w:cs="仿宋"/>
          <w:b w:val="0"/>
          <w:bCs/>
          <w:szCs w:val="24"/>
          <w:u w:val="single"/>
        </w:rPr>
        <w:t xml:space="preserve">       </w:t>
      </w:r>
      <w:r>
        <w:rPr>
          <w:rFonts w:hint="eastAsia" w:ascii="仿宋" w:hAnsi="仿宋" w:eastAsia="仿宋" w:cs="仿宋"/>
          <w:b w:val="0"/>
          <w:bCs/>
          <w:szCs w:val="24"/>
        </w:rPr>
        <w:t>年</w:t>
      </w:r>
      <w:r>
        <w:rPr>
          <w:rFonts w:hint="eastAsia" w:ascii="仿宋" w:hAnsi="仿宋" w:eastAsia="仿宋" w:cs="仿宋"/>
          <w:b w:val="0"/>
          <w:bCs/>
          <w:szCs w:val="24"/>
          <w:u w:val="single"/>
        </w:rPr>
        <w:t xml:space="preserve">       </w:t>
      </w:r>
      <w:r>
        <w:rPr>
          <w:rFonts w:hint="eastAsia" w:ascii="仿宋" w:hAnsi="仿宋" w:eastAsia="仿宋" w:cs="仿宋"/>
          <w:b w:val="0"/>
          <w:bCs/>
          <w:szCs w:val="24"/>
        </w:rPr>
        <w:t>月</w:t>
      </w:r>
      <w:r>
        <w:rPr>
          <w:rFonts w:hint="eastAsia" w:ascii="仿宋" w:hAnsi="仿宋" w:eastAsia="仿宋" w:cs="仿宋"/>
          <w:b w:val="0"/>
          <w:bCs/>
          <w:szCs w:val="24"/>
          <w:u w:val="single"/>
        </w:rPr>
        <w:t xml:space="preserve">       </w:t>
      </w:r>
      <w:r>
        <w:rPr>
          <w:rFonts w:hint="eastAsia" w:ascii="仿宋" w:hAnsi="仿宋" w:eastAsia="仿宋" w:cs="仿宋"/>
          <w:b w:val="0"/>
          <w:bCs/>
          <w:szCs w:val="24"/>
        </w:rPr>
        <w:t>日</w:t>
      </w:r>
    </w:p>
    <w:p w14:paraId="37A6FEF9">
      <w:pPr>
        <w:pStyle w:val="14"/>
        <w:jc w:val="right"/>
        <w:rPr>
          <w:rFonts w:ascii="仿宋" w:hAnsi="仿宋" w:eastAsia="仿宋" w:cs="仿宋"/>
          <w:b w:val="0"/>
          <w:bCs/>
          <w:szCs w:val="24"/>
        </w:rPr>
      </w:pPr>
    </w:p>
    <w:p w14:paraId="1C9064E9">
      <w:pPr>
        <w:topLinePunct/>
        <w:spacing w:line="360" w:lineRule="auto"/>
        <w:rPr>
          <w:rFonts w:ascii="仿宋" w:hAnsi="仿宋" w:eastAsia="仿宋" w:cs="仿宋"/>
          <w:sz w:val="22"/>
          <w:szCs w:val="22"/>
        </w:rPr>
      </w:pPr>
    </w:p>
    <w:p w14:paraId="6A7BF8F0">
      <w:pPr>
        <w:topLinePunct/>
        <w:spacing w:line="360" w:lineRule="auto"/>
        <w:rPr>
          <w:rFonts w:ascii="仿宋" w:hAnsi="仿宋" w:eastAsia="仿宋" w:cs="仿宋"/>
          <w:sz w:val="22"/>
          <w:szCs w:val="22"/>
        </w:rPr>
      </w:pPr>
      <w:r>
        <w:rPr>
          <w:rFonts w:hint="eastAsia" w:ascii="仿宋" w:hAnsi="仿宋" w:eastAsia="仿宋" w:cs="仿宋"/>
          <w:sz w:val="22"/>
          <w:szCs w:val="22"/>
        </w:rPr>
        <w:t>说明:</w:t>
      </w:r>
    </w:p>
    <w:p w14:paraId="3109F52B">
      <w:pPr>
        <w:topLinePunct/>
        <w:spacing w:line="360" w:lineRule="auto"/>
        <w:ind w:firstLine="440" w:firstLineChars="200"/>
        <w:jc w:val="left"/>
        <w:rPr>
          <w:rFonts w:ascii="仿宋" w:hAnsi="仿宋" w:eastAsia="仿宋" w:cs="仿宋"/>
          <w:sz w:val="22"/>
          <w:szCs w:val="22"/>
        </w:rPr>
      </w:pPr>
      <w:r>
        <w:rPr>
          <w:rFonts w:hint="eastAsia" w:ascii="仿宋" w:hAnsi="仿宋" w:eastAsia="仿宋" w:cs="仿宋"/>
          <w:sz w:val="22"/>
          <w:szCs w:val="22"/>
        </w:rPr>
        <w:t>1、若投标人代表为法定代表人，应提供法定代表人身份证明(1)并附法定代表人身份证正反面;</w:t>
      </w:r>
    </w:p>
    <w:p w14:paraId="660F2E43">
      <w:pPr>
        <w:spacing w:line="360" w:lineRule="auto"/>
        <w:ind w:firstLine="440" w:firstLineChars="200"/>
        <w:jc w:val="left"/>
        <w:rPr>
          <w:rFonts w:ascii="仿宋" w:hAnsi="仿宋" w:eastAsia="仿宋" w:cs="仿宋"/>
          <w:sz w:val="24"/>
        </w:rPr>
      </w:pPr>
      <w:r>
        <w:rPr>
          <w:rFonts w:hint="eastAsia" w:ascii="仿宋" w:hAnsi="仿宋" w:eastAsia="仿宋" w:cs="仿宋"/>
          <w:sz w:val="22"/>
          <w:szCs w:val="22"/>
        </w:rPr>
        <w:t>2、若投标人代表为法定代表人授权的委托代理人，应提供法定代表人授权委托书（2），并附法定代表人及授权代表的身份证正反面</w:t>
      </w:r>
      <w:r>
        <w:rPr>
          <w:rFonts w:hint="eastAsia" w:ascii="仿宋" w:hAnsi="仿宋" w:eastAsia="仿宋" w:cs="仿宋"/>
          <w:sz w:val="24"/>
        </w:rPr>
        <w:t>。</w:t>
      </w:r>
    </w:p>
    <w:p w14:paraId="6F6EB0A8">
      <w:pPr>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sz w:val="24"/>
        </w:rPr>
        <w:t>3、联合体投标的，联合体各方均须提供。</w:t>
      </w:r>
      <w:r>
        <w:rPr>
          <w:rFonts w:hint="eastAsia" w:ascii="仿宋" w:hAnsi="仿宋" w:eastAsia="仿宋" w:cs="仿宋"/>
          <w:sz w:val="20"/>
          <w:szCs w:val="20"/>
        </w:rPr>
        <w:br w:type="page"/>
      </w:r>
    </w:p>
    <w:p w14:paraId="047C0197">
      <w:pPr>
        <w:widowControl/>
        <w:adjustRightInd/>
        <w:jc w:val="left"/>
        <w:rPr>
          <w:rFonts w:ascii="仿宋" w:hAnsi="仿宋" w:eastAsia="仿宋" w:cs="仿宋"/>
          <w:b/>
          <w:kern w:val="0"/>
          <w:sz w:val="32"/>
          <w:szCs w:val="32"/>
        </w:rPr>
      </w:pPr>
    </w:p>
    <w:p w14:paraId="2455A858">
      <w:pPr>
        <w:jc w:val="center"/>
        <w:rPr>
          <w:rFonts w:ascii="仿宋" w:hAnsi="仿宋" w:eastAsia="仿宋" w:cs="仿宋"/>
        </w:rPr>
      </w:pPr>
      <w:r>
        <w:rPr>
          <w:rFonts w:hint="eastAsia" w:ascii="仿宋" w:hAnsi="仿宋" w:eastAsia="仿宋" w:cs="仿宋"/>
          <w:b/>
          <w:kern w:val="0"/>
          <w:sz w:val="32"/>
          <w:szCs w:val="32"/>
        </w:rPr>
        <w:t>三、评标标准相应的商务技术资料</w:t>
      </w:r>
    </w:p>
    <w:p w14:paraId="0527EB13">
      <w:pPr>
        <w:snapToGrid w:val="0"/>
        <w:spacing w:line="360" w:lineRule="auto"/>
        <w:jc w:val="left"/>
        <w:rPr>
          <w:rFonts w:ascii="仿宋" w:hAnsi="仿宋" w:eastAsia="仿宋" w:cs="仿宋"/>
          <w:b/>
          <w:sz w:val="24"/>
        </w:rPr>
      </w:pPr>
    </w:p>
    <w:p w14:paraId="6771E6BB">
      <w:pPr>
        <w:snapToGrid w:val="0"/>
        <w:spacing w:line="360" w:lineRule="auto"/>
        <w:jc w:val="center"/>
        <w:rPr>
          <w:rFonts w:ascii="仿宋" w:hAnsi="仿宋" w:eastAsia="仿宋" w:cs="仿宋"/>
          <w:sz w:val="24"/>
        </w:rPr>
      </w:pPr>
      <w:r>
        <w:rPr>
          <w:rFonts w:hint="eastAsia" w:ascii="仿宋" w:hAnsi="仿宋" w:eastAsia="仿宋" w:cs="仿宋"/>
          <w:sz w:val="24"/>
        </w:rPr>
        <w:t>（按采购文件第六部分评审办法前附表中相应的商务技术评审标准提供资料）</w:t>
      </w:r>
    </w:p>
    <w:p w14:paraId="17AD81EE">
      <w:pPr>
        <w:jc w:val="center"/>
        <w:rPr>
          <w:rFonts w:ascii="仿宋" w:hAnsi="仿宋" w:eastAsia="仿宋" w:cs="仿宋"/>
          <w:b/>
          <w:kern w:val="0"/>
          <w:sz w:val="32"/>
          <w:szCs w:val="32"/>
        </w:rPr>
      </w:pPr>
    </w:p>
    <w:p w14:paraId="765E53CF">
      <w:pPr>
        <w:jc w:val="center"/>
        <w:rPr>
          <w:rFonts w:ascii="仿宋" w:hAnsi="仿宋" w:eastAsia="仿宋" w:cs="仿宋"/>
          <w:b/>
          <w:kern w:val="0"/>
          <w:sz w:val="32"/>
          <w:szCs w:val="32"/>
        </w:rPr>
      </w:pPr>
    </w:p>
    <w:p w14:paraId="1BC22FED">
      <w:pPr>
        <w:widowControl/>
        <w:adjustRightInd/>
        <w:jc w:val="left"/>
        <w:rPr>
          <w:rFonts w:ascii="仿宋" w:hAnsi="仿宋" w:eastAsia="仿宋" w:cs="仿宋"/>
          <w:b/>
          <w:kern w:val="0"/>
          <w:sz w:val="32"/>
          <w:szCs w:val="32"/>
        </w:rPr>
      </w:pPr>
      <w:r>
        <w:rPr>
          <w:rFonts w:hint="eastAsia" w:ascii="仿宋" w:hAnsi="仿宋" w:eastAsia="仿宋" w:cs="仿宋"/>
          <w:b/>
          <w:kern w:val="0"/>
          <w:sz w:val="32"/>
          <w:szCs w:val="32"/>
        </w:rPr>
        <w:br w:type="page"/>
      </w:r>
    </w:p>
    <w:p w14:paraId="03B5572A">
      <w:pPr>
        <w:jc w:val="center"/>
        <w:rPr>
          <w:rFonts w:ascii="仿宋" w:hAnsi="仿宋" w:eastAsia="仿宋" w:cs="仿宋"/>
          <w:b/>
          <w:kern w:val="0"/>
          <w:sz w:val="32"/>
          <w:szCs w:val="32"/>
        </w:rPr>
      </w:pPr>
      <w:r>
        <w:rPr>
          <w:rFonts w:hint="eastAsia" w:ascii="仿宋" w:hAnsi="仿宋" w:eastAsia="仿宋" w:cs="仿宋"/>
          <w:b/>
          <w:kern w:val="0"/>
          <w:sz w:val="32"/>
          <w:szCs w:val="32"/>
        </w:rPr>
        <w:t>四、商务技术偏离表</w:t>
      </w:r>
    </w:p>
    <w:tbl>
      <w:tblPr>
        <w:tblStyle w:val="16"/>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395"/>
        <w:gridCol w:w="3254"/>
        <w:gridCol w:w="1273"/>
      </w:tblGrid>
      <w:tr w14:paraId="74FB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56" w:type="dxa"/>
            <w:shd w:val="clear" w:color="auto" w:fill="auto"/>
          </w:tcPr>
          <w:p w14:paraId="5EDDA559">
            <w:pPr>
              <w:jc w:val="center"/>
              <w:rPr>
                <w:rFonts w:ascii="仿宋" w:hAnsi="仿宋" w:eastAsia="仿宋" w:cs="仿宋"/>
                <w:b/>
                <w:bCs/>
                <w:sz w:val="24"/>
              </w:rPr>
            </w:pPr>
            <w:r>
              <w:rPr>
                <w:rFonts w:hint="eastAsia" w:ascii="仿宋" w:hAnsi="仿宋" w:eastAsia="仿宋" w:cs="仿宋"/>
                <w:b/>
                <w:bCs/>
                <w:sz w:val="24"/>
              </w:rPr>
              <w:t>序号</w:t>
            </w:r>
          </w:p>
        </w:tc>
        <w:tc>
          <w:tcPr>
            <w:tcW w:w="3395" w:type="dxa"/>
            <w:shd w:val="clear" w:color="auto" w:fill="auto"/>
          </w:tcPr>
          <w:p w14:paraId="781D1EEC">
            <w:pPr>
              <w:jc w:val="center"/>
              <w:rPr>
                <w:rFonts w:ascii="仿宋" w:hAnsi="仿宋" w:eastAsia="仿宋" w:cs="仿宋"/>
                <w:b/>
                <w:bCs/>
                <w:sz w:val="24"/>
              </w:rPr>
            </w:pPr>
            <w:r>
              <w:rPr>
                <w:rFonts w:hint="eastAsia" w:ascii="仿宋" w:hAnsi="仿宋" w:eastAsia="仿宋" w:cs="仿宋"/>
                <w:b/>
                <w:bCs/>
                <w:sz w:val="24"/>
              </w:rPr>
              <w:t>招标文件章节及具体内容</w:t>
            </w:r>
          </w:p>
        </w:tc>
        <w:tc>
          <w:tcPr>
            <w:tcW w:w="3254" w:type="dxa"/>
            <w:shd w:val="clear" w:color="auto" w:fill="auto"/>
          </w:tcPr>
          <w:p w14:paraId="10382A8A">
            <w:pPr>
              <w:jc w:val="center"/>
              <w:rPr>
                <w:rFonts w:ascii="仿宋" w:hAnsi="仿宋" w:eastAsia="仿宋" w:cs="仿宋"/>
                <w:b/>
                <w:bCs/>
                <w:sz w:val="24"/>
              </w:rPr>
            </w:pPr>
            <w:r>
              <w:rPr>
                <w:rFonts w:hint="eastAsia" w:ascii="仿宋" w:hAnsi="仿宋" w:eastAsia="仿宋" w:cs="仿宋"/>
                <w:b/>
                <w:bCs/>
                <w:sz w:val="24"/>
              </w:rPr>
              <w:t>投标文件章节及具体内容</w:t>
            </w:r>
          </w:p>
        </w:tc>
        <w:tc>
          <w:tcPr>
            <w:tcW w:w="1273" w:type="dxa"/>
            <w:shd w:val="clear" w:color="auto" w:fill="auto"/>
          </w:tcPr>
          <w:p w14:paraId="55C4ABB3">
            <w:pPr>
              <w:jc w:val="center"/>
              <w:rPr>
                <w:rFonts w:ascii="仿宋" w:hAnsi="仿宋" w:eastAsia="仿宋" w:cs="仿宋"/>
                <w:b/>
                <w:bCs/>
                <w:sz w:val="24"/>
              </w:rPr>
            </w:pPr>
            <w:r>
              <w:rPr>
                <w:rFonts w:hint="eastAsia" w:ascii="仿宋" w:hAnsi="仿宋" w:eastAsia="仿宋" w:cs="仿宋"/>
                <w:b/>
                <w:bCs/>
                <w:sz w:val="24"/>
              </w:rPr>
              <w:t>偏离说明</w:t>
            </w:r>
          </w:p>
        </w:tc>
      </w:tr>
      <w:tr w14:paraId="7F55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6" w:type="dxa"/>
            <w:shd w:val="clear" w:color="auto" w:fill="auto"/>
          </w:tcPr>
          <w:p w14:paraId="7D1BDA8C">
            <w:pPr>
              <w:jc w:val="center"/>
              <w:rPr>
                <w:rFonts w:ascii="仿宋" w:hAnsi="仿宋" w:eastAsia="仿宋" w:cs="仿宋"/>
                <w:kern w:val="0"/>
                <w:sz w:val="24"/>
              </w:rPr>
            </w:pPr>
            <w:r>
              <w:rPr>
                <w:rFonts w:hint="eastAsia" w:ascii="仿宋" w:hAnsi="仿宋" w:eastAsia="仿宋" w:cs="仿宋"/>
                <w:kern w:val="0"/>
                <w:sz w:val="24"/>
              </w:rPr>
              <w:t>1</w:t>
            </w:r>
          </w:p>
        </w:tc>
        <w:tc>
          <w:tcPr>
            <w:tcW w:w="3395" w:type="dxa"/>
            <w:shd w:val="clear" w:color="auto" w:fill="auto"/>
          </w:tcPr>
          <w:p w14:paraId="309C239F">
            <w:pPr>
              <w:jc w:val="center"/>
              <w:rPr>
                <w:rFonts w:ascii="仿宋" w:hAnsi="仿宋" w:eastAsia="仿宋" w:cs="仿宋"/>
                <w:b/>
                <w:kern w:val="0"/>
                <w:sz w:val="32"/>
                <w:szCs w:val="32"/>
              </w:rPr>
            </w:pPr>
          </w:p>
        </w:tc>
        <w:tc>
          <w:tcPr>
            <w:tcW w:w="3254" w:type="dxa"/>
            <w:shd w:val="clear" w:color="auto" w:fill="auto"/>
          </w:tcPr>
          <w:p w14:paraId="710F60DA">
            <w:pPr>
              <w:jc w:val="center"/>
              <w:rPr>
                <w:rFonts w:ascii="仿宋" w:hAnsi="仿宋" w:eastAsia="仿宋" w:cs="仿宋"/>
                <w:b/>
                <w:kern w:val="0"/>
                <w:sz w:val="32"/>
                <w:szCs w:val="32"/>
              </w:rPr>
            </w:pPr>
          </w:p>
        </w:tc>
        <w:tc>
          <w:tcPr>
            <w:tcW w:w="1273" w:type="dxa"/>
            <w:shd w:val="clear" w:color="auto" w:fill="auto"/>
          </w:tcPr>
          <w:p w14:paraId="76038015">
            <w:pPr>
              <w:jc w:val="center"/>
              <w:rPr>
                <w:rFonts w:ascii="仿宋" w:hAnsi="仿宋" w:eastAsia="仿宋" w:cs="仿宋"/>
                <w:b/>
                <w:kern w:val="0"/>
                <w:sz w:val="32"/>
                <w:szCs w:val="32"/>
              </w:rPr>
            </w:pPr>
          </w:p>
        </w:tc>
      </w:tr>
      <w:tr w14:paraId="381C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6" w:type="dxa"/>
            <w:shd w:val="clear" w:color="auto" w:fill="auto"/>
          </w:tcPr>
          <w:p w14:paraId="1018D88C">
            <w:pPr>
              <w:jc w:val="center"/>
              <w:rPr>
                <w:rFonts w:ascii="仿宋" w:hAnsi="仿宋" w:eastAsia="仿宋" w:cs="仿宋"/>
                <w:kern w:val="0"/>
                <w:sz w:val="24"/>
              </w:rPr>
            </w:pPr>
            <w:r>
              <w:rPr>
                <w:rFonts w:hint="eastAsia" w:ascii="仿宋" w:hAnsi="仿宋" w:eastAsia="仿宋" w:cs="仿宋"/>
                <w:kern w:val="0"/>
                <w:sz w:val="24"/>
              </w:rPr>
              <w:t>2</w:t>
            </w:r>
          </w:p>
        </w:tc>
        <w:tc>
          <w:tcPr>
            <w:tcW w:w="3395" w:type="dxa"/>
            <w:shd w:val="clear" w:color="auto" w:fill="auto"/>
          </w:tcPr>
          <w:p w14:paraId="243835EC">
            <w:pPr>
              <w:jc w:val="center"/>
              <w:rPr>
                <w:rFonts w:ascii="仿宋" w:hAnsi="仿宋" w:eastAsia="仿宋" w:cs="仿宋"/>
                <w:b/>
                <w:kern w:val="0"/>
                <w:sz w:val="32"/>
                <w:szCs w:val="32"/>
              </w:rPr>
            </w:pPr>
          </w:p>
        </w:tc>
        <w:tc>
          <w:tcPr>
            <w:tcW w:w="3254" w:type="dxa"/>
            <w:shd w:val="clear" w:color="auto" w:fill="auto"/>
          </w:tcPr>
          <w:p w14:paraId="1B796804">
            <w:pPr>
              <w:jc w:val="center"/>
              <w:rPr>
                <w:rFonts w:ascii="仿宋" w:hAnsi="仿宋" w:eastAsia="仿宋" w:cs="仿宋"/>
                <w:b/>
                <w:kern w:val="0"/>
                <w:sz w:val="32"/>
                <w:szCs w:val="32"/>
              </w:rPr>
            </w:pPr>
          </w:p>
        </w:tc>
        <w:tc>
          <w:tcPr>
            <w:tcW w:w="1273" w:type="dxa"/>
            <w:shd w:val="clear" w:color="auto" w:fill="auto"/>
          </w:tcPr>
          <w:p w14:paraId="1B982DA8">
            <w:pPr>
              <w:jc w:val="center"/>
              <w:rPr>
                <w:rFonts w:ascii="仿宋" w:hAnsi="仿宋" w:eastAsia="仿宋" w:cs="仿宋"/>
                <w:b/>
                <w:kern w:val="0"/>
                <w:sz w:val="32"/>
                <w:szCs w:val="32"/>
              </w:rPr>
            </w:pPr>
          </w:p>
        </w:tc>
      </w:tr>
      <w:tr w14:paraId="1F14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56" w:type="dxa"/>
            <w:shd w:val="clear" w:color="auto" w:fill="auto"/>
          </w:tcPr>
          <w:p w14:paraId="320731A9">
            <w:pPr>
              <w:jc w:val="center"/>
              <w:rPr>
                <w:rFonts w:ascii="仿宋" w:hAnsi="仿宋" w:eastAsia="仿宋" w:cs="仿宋"/>
                <w:kern w:val="0"/>
                <w:sz w:val="24"/>
              </w:rPr>
            </w:pPr>
            <w:r>
              <w:rPr>
                <w:rFonts w:hint="eastAsia" w:ascii="仿宋" w:hAnsi="仿宋" w:eastAsia="仿宋" w:cs="仿宋"/>
                <w:kern w:val="0"/>
                <w:sz w:val="24"/>
              </w:rPr>
              <w:t>……</w:t>
            </w:r>
          </w:p>
        </w:tc>
        <w:tc>
          <w:tcPr>
            <w:tcW w:w="3395" w:type="dxa"/>
            <w:shd w:val="clear" w:color="auto" w:fill="auto"/>
          </w:tcPr>
          <w:p w14:paraId="5908F729">
            <w:pPr>
              <w:jc w:val="center"/>
              <w:rPr>
                <w:rFonts w:ascii="仿宋" w:hAnsi="仿宋" w:eastAsia="仿宋" w:cs="仿宋"/>
                <w:b/>
                <w:kern w:val="0"/>
                <w:sz w:val="32"/>
                <w:szCs w:val="32"/>
              </w:rPr>
            </w:pPr>
          </w:p>
        </w:tc>
        <w:tc>
          <w:tcPr>
            <w:tcW w:w="3254" w:type="dxa"/>
            <w:shd w:val="clear" w:color="auto" w:fill="auto"/>
          </w:tcPr>
          <w:p w14:paraId="47FEC6C5">
            <w:pPr>
              <w:jc w:val="center"/>
              <w:rPr>
                <w:rFonts w:ascii="仿宋" w:hAnsi="仿宋" w:eastAsia="仿宋" w:cs="仿宋"/>
                <w:b/>
                <w:kern w:val="0"/>
                <w:sz w:val="32"/>
                <w:szCs w:val="32"/>
              </w:rPr>
            </w:pPr>
          </w:p>
        </w:tc>
        <w:tc>
          <w:tcPr>
            <w:tcW w:w="1273" w:type="dxa"/>
            <w:shd w:val="clear" w:color="auto" w:fill="auto"/>
          </w:tcPr>
          <w:p w14:paraId="141C5C78">
            <w:pPr>
              <w:jc w:val="center"/>
              <w:rPr>
                <w:rFonts w:ascii="仿宋" w:hAnsi="仿宋" w:eastAsia="仿宋" w:cs="仿宋"/>
                <w:b/>
                <w:kern w:val="0"/>
                <w:sz w:val="32"/>
                <w:szCs w:val="32"/>
              </w:rPr>
            </w:pPr>
          </w:p>
        </w:tc>
      </w:tr>
    </w:tbl>
    <w:p w14:paraId="63143F8D">
      <w:pPr>
        <w:widowControl/>
        <w:adjustRightInd/>
        <w:jc w:val="left"/>
        <w:rPr>
          <w:rFonts w:ascii="仿宋" w:hAnsi="仿宋" w:eastAsia="仿宋" w:cs="仿宋"/>
          <w:b/>
          <w:kern w:val="0"/>
          <w:sz w:val="36"/>
          <w:szCs w:val="36"/>
        </w:rPr>
      </w:pPr>
      <w:r>
        <w:rPr>
          <w:rFonts w:hint="eastAsia" w:ascii="仿宋" w:hAnsi="仿宋" w:eastAsia="仿宋" w:cs="仿宋"/>
          <w:b/>
          <w:bCs/>
          <w:sz w:val="24"/>
        </w:rPr>
        <w:t>注： 如有偏离，必须在偏离表中进行详细对比说明并注明正偏离和负偏离，如不说明或提供偏离情况，视为完全响应招标文件要求无偏离。</w:t>
      </w:r>
      <w:r>
        <w:rPr>
          <w:rFonts w:hint="eastAsia" w:ascii="仿宋" w:hAnsi="仿宋" w:eastAsia="仿宋" w:cs="仿宋"/>
          <w:b/>
          <w:kern w:val="0"/>
          <w:sz w:val="36"/>
          <w:szCs w:val="36"/>
        </w:rPr>
        <w:br w:type="page"/>
      </w:r>
    </w:p>
    <w:p w14:paraId="1AD6F764">
      <w:pPr>
        <w:rPr>
          <w:rFonts w:ascii="仿宋" w:hAnsi="仿宋" w:eastAsia="仿宋" w:cs="仿宋"/>
          <w:b/>
          <w:kern w:val="0"/>
          <w:sz w:val="36"/>
          <w:szCs w:val="36"/>
        </w:rPr>
      </w:pPr>
    </w:p>
    <w:p w14:paraId="43DD71C6">
      <w:pPr>
        <w:rPr>
          <w:rFonts w:ascii="仿宋" w:hAnsi="仿宋" w:eastAsia="仿宋" w:cs="仿宋"/>
          <w:b/>
          <w:kern w:val="0"/>
          <w:sz w:val="36"/>
          <w:szCs w:val="36"/>
        </w:rPr>
      </w:pPr>
    </w:p>
    <w:p w14:paraId="2162867C">
      <w:pPr>
        <w:spacing w:line="360" w:lineRule="auto"/>
        <w:jc w:val="center"/>
        <w:outlineLvl w:val="1"/>
        <w:rPr>
          <w:rFonts w:ascii="仿宋" w:hAnsi="仿宋" w:eastAsia="仿宋" w:cs="仿宋"/>
          <w:b/>
          <w:kern w:val="0"/>
          <w:sz w:val="36"/>
          <w:szCs w:val="36"/>
        </w:rPr>
      </w:pPr>
      <w:bookmarkStart w:id="103" w:name="_Toc16825"/>
      <w:r>
        <w:rPr>
          <w:rFonts w:hint="eastAsia" w:ascii="仿宋" w:hAnsi="仿宋" w:eastAsia="仿宋" w:cs="仿宋"/>
          <w:b/>
          <w:kern w:val="0"/>
          <w:sz w:val="36"/>
          <w:szCs w:val="36"/>
        </w:rPr>
        <w:t>报价文件部分</w:t>
      </w:r>
      <w:bookmarkEnd w:id="103"/>
    </w:p>
    <w:p w14:paraId="5BCDF672">
      <w:pPr>
        <w:jc w:val="center"/>
        <w:rPr>
          <w:rFonts w:ascii="仿宋" w:hAnsi="仿宋" w:eastAsia="仿宋" w:cs="仿宋"/>
          <w:b/>
          <w:kern w:val="0"/>
          <w:sz w:val="36"/>
          <w:szCs w:val="36"/>
        </w:rPr>
      </w:pPr>
      <w:r>
        <w:rPr>
          <w:rFonts w:hint="eastAsia" w:ascii="仿宋" w:hAnsi="仿宋" w:eastAsia="仿宋" w:cs="仿宋"/>
          <w:b/>
          <w:kern w:val="0"/>
          <w:sz w:val="36"/>
          <w:szCs w:val="36"/>
        </w:rPr>
        <w:t>目录</w:t>
      </w:r>
    </w:p>
    <w:p w14:paraId="0774647C">
      <w:pPr>
        <w:rPr>
          <w:rFonts w:ascii="仿宋" w:hAnsi="仿宋" w:eastAsia="仿宋" w:cs="仿宋"/>
          <w:b/>
          <w:kern w:val="0"/>
          <w:sz w:val="36"/>
          <w:szCs w:val="36"/>
        </w:rPr>
      </w:pPr>
    </w:p>
    <w:p w14:paraId="173FA032">
      <w:pPr>
        <w:snapToGrid w:val="0"/>
        <w:spacing w:line="360" w:lineRule="auto"/>
        <w:rPr>
          <w:rFonts w:ascii="仿宋" w:hAnsi="仿宋" w:eastAsia="仿宋" w:cs="仿宋"/>
          <w:sz w:val="24"/>
        </w:rPr>
      </w:pPr>
      <w:r>
        <w:rPr>
          <w:rFonts w:hint="eastAsia" w:ascii="仿宋" w:hAnsi="仿宋" w:eastAsia="仿宋" w:cs="仿宋"/>
          <w:sz w:val="24"/>
        </w:rPr>
        <w:t>（1）开标一览表（首次报价表）…………………………………………（页码）</w:t>
      </w:r>
    </w:p>
    <w:p w14:paraId="7EF16C03">
      <w:pPr>
        <w:snapToGrid w:val="0"/>
        <w:spacing w:line="360" w:lineRule="auto"/>
        <w:ind w:right="480"/>
        <w:jc w:val="center"/>
        <w:rPr>
          <w:rFonts w:ascii="仿宋" w:hAnsi="仿宋" w:eastAsia="仿宋" w:cs="仿宋"/>
          <w:b/>
          <w:kern w:val="0"/>
          <w:sz w:val="32"/>
          <w:szCs w:val="32"/>
        </w:rPr>
      </w:pPr>
    </w:p>
    <w:p w14:paraId="0EC9A4BB">
      <w:pPr>
        <w:snapToGrid w:val="0"/>
        <w:spacing w:line="360" w:lineRule="auto"/>
        <w:ind w:right="480"/>
        <w:jc w:val="center"/>
        <w:rPr>
          <w:rFonts w:ascii="仿宋" w:hAnsi="仿宋" w:eastAsia="仿宋" w:cs="仿宋"/>
          <w:b/>
          <w:kern w:val="0"/>
          <w:sz w:val="32"/>
          <w:szCs w:val="32"/>
        </w:rPr>
      </w:pPr>
    </w:p>
    <w:p w14:paraId="68C1544D">
      <w:pPr>
        <w:snapToGrid w:val="0"/>
        <w:spacing w:line="360" w:lineRule="auto"/>
        <w:ind w:right="480"/>
        <w:jc w:val="center"/>
        <w:rPr>
          <w:rFonts w:ascii="仿宋" w:hAnsi="仿宋" w:eastAsia="仿宋" w:cs="仿宋"/>
          <w:b/>
          <w:kern w:val="0"/>
          <w:sz w:val="32"/>
          <w:szCs w:val="32"/>
        </w:rPr>
      </w:pPr>
    </w:p>
    <w:p w14:paraId="5BCBFAEB">
      <w:pPr>
        <w:snapToGrid w:val="0"/>
        <w:spacing w:line="360" w:lineRule="auto"/>
        <w:ind w:right="480"/>
        <w:jc w:val="center"/>
        <w:rPr>
          <w:rFonts w:ascii="仿宋" w:hAnsi="仿宋" w:eastAsia="仿宋" w:cs="仿宋"/>
          <w:b/>
          <w:kern w:val="0"/>
          <w:sz w:val="32"/>
          <w:szCs w:val="32"/>
        </w:rPr>
      </w:pPr>
    </w:p>
    <w:p w14:paraId="3B65E742">
      <w:pPr>
        <w:snapToGrid w:val="0"/>
        <w:spacing w:line="360" w:lineRule="auto"/>
        <w:ind w:right="480"/>
        <w:jc w:val="center"/>
        <w:rPr>
          <w:rFonts w:ascii="仿宋" w:hAnsi="仿宋" w:eastAsia="仿宋" w:cs="仿宋"/>
          <w:b/>
          <w:kern w:val="0"/>
          <w:sz w:val="32"/>
          <w:szCs w:val="32"/>
        </w:rPr>
      </w:pPr>
    </w:p>
    <w:p w14:paraId="4F65994E">
      <w:pPr>
        <w:snapToGrid w:val="0"/>
        <w:spacing w:line="360" w:lineRule="auto"/>
        <w:ind w:right="480"/>
        <w:jc w:val="center"/>
        <w:rPr>
          <w:rFonts w:ascii="仿宋" w:hAnsi="仿宋" w:eastAsia="仿宋" w:cs="仿宋"/>
          <w:b/>
          <w:kern w:val="0"/>
          <w:sz w:val="32"/>
          <w:szCs w:val="32"/>
        </w:rPr>
      </w:pPr>
    </w:p>
    <w:p w14:paraId="07B7265F">
      <w:pPr>
        <w:snapToGrid w:val="0"/>
        <w:spacing w:line="360" w:lineRule="auto"/>
        <w:ind w:right="480"/>
        <w:jc w:val="center"/>
        <w:rPr>
          <w:rFonts w:ascii="仿宋" w:hAnsi="仿宋" w:eastAsia="仿宋" w:cs="仿宋"/>
          <w:b/>
          <w:kern w:val="0"/>
          <w:sz w:val="32"/>
          <w:szCs w:val="32"/>
        </w:rPr>
      </w:pPr>
    </w:p>
    <w:p w14:paraId="1847C69B">
      <w:pPr>
        <w:snapToGrid w:val="0"/>
        <w:spacing w:line="360" w:lineRule="auto"/>
        <w:ind w:right="480"/>
        <w:jc w:val="center"/>
        <w:rPr>
          <w:rFonts w:ascii="仿宋" w:hAnsi="仿宋" w:eastAsia="仿宋" w:cs="仿宋"/>
          <w:b/>
          <w:kern w:val="0"/>
          <w:sz w:val="32"/>
          <w:szCs w:val="32"/>
        </w:rPr>
      </w:pPr>
    </w:p>
    <w:p w14:paraId="149AF5B6">
      <w:pPr>
        <w:widowControl/>
        <w:adjustRightInd/>
        <w:jc w:val="left"/>
        <w:rPr>
          <w:rFonts w:ascii="仿宋" w:hAnsi="仿宋" w:eastAsia="仿宋" w:cs="仿宋"/>
          <w:b/>
          <w:bCs/>
          <w:kern w:val="0"/>
          <w:sz w:val="22"/>
          <w:szCs w:val="22"/>
          <w:lang w:val="zh-CN"/>
        </w:rPr>
      </w:pPr>
      <w:bookmarkStart w:id="104" w:name="_Toc25942242"/>
      <w:bookmarkStart w:id="105" w:name="_Toc14812100"/>
      <w:r>
        <w:rPr>
          <w:rFonts w:hint="eastAsia" w:ascii="仿宋" w:hAnsi="仿宋" w:eastAsia="仿宋" w:cs="仿宋"/>
          <w:b/>
          <w:bCs/>
          <w:kern w:val="0"/>
          <w:sz w:val="22"/>
          <w:szCs w:val="22"/>
          <w:lang w:val="zh-CN"/>
        </w:rPr>
        <w:br w:type="page"/>
      </w:r>
    </w:p>
    <w:p w14:paraId="17D112F3">
      <w:pPr>
        <w:pStyle w:val="26"/>
        <w:keepNext w:val="0"/>
        <w:pageBreakBefore w:val="0"/>
        <w:tabs>
          <w:tab w:val="clear" w:pos="720"/>
        </w:tabs>
        <w:snapToGrid w:val="0"/>
        <w:spacing w:before="120" w:after="120"/>
        <w:jc w:val="both"/>
        <w:outlineLvl w:val="9"/>
        <w:rPr>
          <w:rFonts w:ascii="仿宋" w:hAnsi="仿宋" w:eastAsia="仿宋" w:cs="仿宋"/>
          <w:sz w:val="28"/>
          <w:szCs w:val="28"/>
        </w:rPr>
      </w:pPr>
      <w:bookmarkStart w:id="106" w:name="_Hlk93170250"/>
      <w:r>
        <w:rPr>
          <w:rFonts w:hint="eastAsia" w:ascii="仿宋" w:hAnsi="仿宋" w:eastAsia="仿宋" w:cs="仿宋"/>
          <w:sz w:val="28"/>
          <w:szCs w:val="28"/>
        </w:rPr>
        <w:t>附件4</w:t>
      </w:r>
    </w:p>
    <w:p w14:paraId="4AD0A0DC">
      <w:pPr>
        <w:autoSpaceDE w:val="0"/>
        <w:autoSpaceDN w:val="0"/>
        <w:spacing w:line="460" w:lineRule="atLeast"/>
        <w:jc w:val="center"/>
        <w:rPr>
          <w:rFonts w:ascii="仿宋" w:hAnsi="仿宋" w:eastAsia="仿宋" w:cs="仿宋"/>
          <w:b/>
          <w:kern w:val="0"/>
          <w:sz w:val="32"/>
          <w:szCs w:val="32"/>
        </w:rPr>
      </w:pPr>
      <w:r>
        <w:rPr>
          <w:rFonts w:hint="eastAsia" w:ascii="仿宋" w:hAnsi="仿宋" w:eastAsia="仿宋" w:cs="仿宋"/>
          <w:b/>
          <w:kern w:val="0"/>
          <w:sz w:val="32"/>
          <w:szCs w:val="32"/>
        </w:rPr>
        <w:t>一、开标一览表（首次报价表）</w:t>
      </w:r>
    </w:p>
    <w:p w14:paraId="40B7F4AF">
      <w:pPr>
        <w:pStyle w:val="8"/>
        <w:ind w:left="-420" w:leftChars="-200" w:firstLine="0" w:firstLineChars="0"/>
        <w:rPr>
          <w:rFonts w:ascii="仿宋" w:hAnsi="仿宋" w:eastAsia="仿宋" w:cs="仿宋"/>
          <w:lang w:val="zh-CN"/>
        </w:rPr>
      </w:pPr>
    </w:p>
    <w:bookmarkEnd w:id="106"/>
    <w:p w14:paraId="6C32B277">
      <w:pPr>
        <w:spacing w:line="380" w:lineRule="exact"/>
        <w:rPr>
          <w:rFonts w:ascii="仿宋" w:hAnsi="仿宋" w:eastAsia="仿宋" w:cs="仿宋"/>
          <w:bCs/>
          <w:sz w:val="22"/>
          <w:szCs w:val="22"/>
        </w:rPr>
      </w:pPr>
      <w:r>
        <w:rPr>
          <w:rFonts w:hint="eastAsia" w:ascii="仿宋" w:hAnsi="仿宋" w:eastAsia="仿宋" w:cs="仿宋"/>
          <w:bCs/>
          <w:sz w:val="22"/>
          <w:szCs w:val="22"/>
        </w:rPr>
        <w:t>项目名称：                                       项目编号：</w:t>
      </w:r>
    </w:p>
    <w:p w14:paraId="6FF577B6">
      <w:pPr>
        <w:spacing w:line="380" w:lineRule="exact"/>
        <w:rPr>
          <w:rFonts w:ascii="仿宋" w:hAnsi="仿宋" w:eastAsia="仿宋" w:cs="仿宋"/>
          <w:bCs/>
          <w:sz w:val="22"/>
          <w:szCs w:val="22"/>
        </w:rPr>
      </w:pPr>
    </w:p>
    <w:tbl>
      <w:tblPr>
        <w:tblStyle w:val="1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3"/>
        <w:gridCol w:w="2788"/>
        <w:gridCol w:w="1337"/>
        <w:gridCol w:w="1751"/>
      </w:tblGrid>
      <w:tr w14:paraId="7BD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3463" w:type="dxa"/>
            <w:vAlign w:val="center"/>
          </w:tcPr>
          <w:p w14:paraId="36FE8451">
            <w:pPr>
              <w:pStyle w:val="9"/>
              <w:jc w:val="center"/>
              <w:rPr>
                <w:rFonts w:ascii="仿宋" w:hAnsi="仿宋" w:eastAsia="仿宋" w:cs="仿宋"/>
                <w:sz w:val="22"/>
                <w:szCs w:val="22"/>
              </w:rPr>
            </w:pPr>
            <w:r>
              <w:rPr>
                <w:rFonts w:hint="eastAsia" w:ascii="仿宋" w:hAnsi="仿宋" w:eastAsia="仿宋" w:cs="仿宋"/>
                <w:sz w:val="22"/>
                <w:szCs w:val="22"/>
              </w:rPr>
              <w:t>名称</w:t>
            </w:r>
          </w:p>
        </w:tc>
        <w:tc>
          <w:tcPr>
            <w:tcW w:w="2788" w:type="dxa"/>
            <w:vAlign w:val="center"/>
          </w:tcPr>
          <w:p w14:paraId="5D26F35D">
            <w:pPr>
              <w:pStyle w:val="9"/>
              <w:jc w:val="center"/>
              <w:rPr>
                <w:rFonts w:ascii="仿宋" w:hAnsi="仿宋" w:eastAsia="仿宋" w:cs="仿宋"/>
                <w:sz w:val="22"/>
                <w:szCs w:val="22"/>
              </w:rPr>
            </w:pPr>
            <w:r>
              <w:rPr>
                <w:rFonts w:hint="eastAsia" w:ascii="仿宋" w:hAnsi="仿宋" w:eastAsia="仿宋" w:cs="仿宋"/>
                <w:sz w:val="22"/>
                <w:szCs w:val="22"/>
              </w:rPr>
              <w:t>投标报价</w:t>
            </w:r>
          </w:p>
        </w:tc>
        <w:tc>
          <w:tcPr>
            <w:tcW w:w="1337" w:type="dxa"/>
            <w:vAlign w:val="center"/>
          </w:tcPr>
          <w:p w14:paraId="3A530BC1">
            <w:pPr>
              <w:pStyle w:val="9"/>
              <w:jc w:val="center"/>
              <w:rPr>
                <w:rFonts w:ascii="仿宋" w:hAnsi="仿宋" w:eastAsia="仿宋" w:cs="仿宋"/>
                <w:sz w:val="22"/>
                <w:szCs w:val="22"/>
              </w:rPr>
            </w:pPr>
            <w:r>
              <w:rPr>
                <w:rFonts w:hint="eastAsia" w:ascii="仿宋" w:hAnsi="仿宋" w:eastAsia="仿宋" w:cs="仿宋"/>
                <w:sz w:val="22"/>
                <w:szCs w:val="22"/>
              </w:rPr>
              <w:t>服务期</w:t>
            </w:r>
          </w:p>
        </w:tc>
        <w:tc>
          <w:tcPr>
            <w:tcW w:w="1751" w:type="dxa"/>
            <w:vAlign w:val="center"/>
          </w:tcPr>
          <w:p w14:paraId="1EF6C435">
            <w:pPr>
              <w:pStyle w:val="9"/>
              <w:jc w:val="center"/>
              <w:rPr>
                <w:rFonts w:ascii="仿宋" w:hAnsi="仿宋" w:eastAsia="仿宋" w:cs="仿宋"/>
                <w:sz w:val="22"/>
                <w:szCs w:val="22"/>
              </w:rPr>
            </w:pPr>
            <w:r>
              <w:rPr>
                <w:rFonts w:hint="eastAsia" w:ascii="仿宋" w:hAnsi="仿宋" w:eastAsia="仿宋" w:cs="仿宋"/>
                <w:sz w:val="22"/>
                <w:szCs w:val="22"/>
              </w:rPr>
              <w:t>备注</w:t>
            </w:r>
          </w:p>
        </w:tc>
      </w:tr>
      <w:tr w14:paraId="30F9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3463" w:type="dxa"/>
            <w:vAlign w:val="center"/>
          </w:tcPr>
          <w:p w14:paraId="3C49318C">
            <w:pPr>
              <w:pStyle w:val="9"/>
              <w:jc w:val="center"/>
              <w:rPr>
                <w:rFonts w:ascii="仿宋" w:hAnsi="仿宋" w:eastAsia="仿宋" w:cs="仿宋"/>
                <w:sz w:val="22"/>
                <w:szCs w:val="22"/>
              </w:rPr>
            </w:pPr>
            <w:r>
              <w:rPr>
                <w:rFonts w:hint="eastAsia" w:ascii="仿宋" w:hAnsi="仿宋" w:eastAsia="仿宋" w:cs="仿宋"/>
                <w:sz w:val="22"/>
                <w:szCs w:val="22"/>
              </w:rPr>
              <w:t>温州市龙湾中学教学综合楼建设项目第三方工程质量检测服务</w:t>
            </w:r>
          </w:p>
        </w:tc>
        <w:tc>
          <w:tcPr>
            <w:tcW w:w="2788" w:type="dxa"/>
            <w:vAlign w:val="center"/>
          </w:tcPr>
          <w:p w14:paraId="5EFE9269">
            <w:pPr>
              <w:pStyle w:val="9"/>
              <w:rPr>
                <w:rFonts w:ascii="仿宋" w:hAnsi="仿宋" w:eastAsia="仿宋" w:cs="仿宋"/>
                <w:u w:val="single"/>
              </w:rPr>
            </w:pPr>
            <w:r>
              <w:rPr>
                <w:rFonts w:hint="eastAsia" w:ascii="仿宋" w:hAnsi="仿宋" w:eastAsia="仿宋" w:cs="仿宋"/>
              </w:rPr>
              <w:t>小写：</w:t>
            </w:r>
            <w:r>
              <w:rPr>
                <w:rFonts w:hint="eastAsia" w:ascii="仿宋" w:hAnsi="仿宋" w:eastAsia="仿宋" w:cs="仿宋"/>
                <w:sz w:val="22"/>
                <w:szCs w:val="22"/>
              </w:rPr>
              <w:t>￥</w:t>
            </w:r>
            <w:r>
              <w:rPr>
                <w:rFonts w:hint="eastAsia" w:ascii="仿宋" w:hAnsi="仿宋" w:eastAsia="仿宋" w:cs="仿宋"/>
                <w:u w:val="single"/>
              </w:rPr>
              <w:t xml:space="preserve">           元 ；</w:t>
            </w:r>
          </w:p>
          <w:p w14:paraId="6743BC14">
            <w:pPr>
              <w:rPr>
                <w:rFonts w:ascii="仿宋" w:hAnsi="仿宋" w:eastAsia="仿宋" w:cs="仿宋"/>
              </w:rPr>
            </w:pPr>
            <w:r>
              <w:rPr>
                <w:rFonts w:hint="eastAsia" w:ascii="仿宋" w:hAnsi="仿宋" w:eastAsia="仿宋" w:cs="仿宋"/>
              </w:rPr>
              <w:t>大写：</w:t>
            </w:r>
            <w:r>
              <w:rPr>
                <w:rFonts w:hint="eastAsia" w:ascii="仿宋" w:hAnsi="仿宋" w:eastAsia="仿宋" w:cs="仿宋"/>
                <w:u w:val="single"/>
              </w:rPr>
              <w:t>人民币        元；</w:t>
            </w:r>
            <w:r>
              <w:rPr>
                <w:rFonts w:hint="eastAsia" w:ascii="仿宋" w:hAnsi="仿宋" w:eastAsia="仿宋" w:cs="仿宋"/>
              </w:rPr>
              <w:t xml:space="preserve">     </w:t>
            </w:r>
          </w:p>
        </w:tc>
        <w:tc>
          <w:tcPr>
            <w:tcW w:w="1337" w:type="dxa"/>
            <w:vAlign w:val="center"/>
          </w:tcPr>
          <w:p w14:paraId="2C9347B9">
            <w:pPr>
              <w:pStyle w:val="9"/>
              <w:jc w:val="center"/>
              <w:rPr>
                <w:rFonts w:ascii="仿宋" w:hAnsi="仿宋" w:eastAsia="仿宋" w:cs="仿宋"/>
                <w:sz w:val="22"/>
                <w:szCs w:val="22"/>
              </w:rPr>
            </w:pPr>
            <w:r>
              <w:rPr>
                <w:rFonts w:hint="eastAsia" w:ascii="仿宋" w:hAnsi="仿宋" w:eastAsia="仿宋" w:cs="仿宋"/>
                <w:sz w:val="22"/>
                <w:szCs w:val="22"/>
              </w:rPr>
              <w:t>符合招标文件要求</w:t>
            </w:r>
          </w:p>
        </w:tc>
        <w:tc>
          <w:tcPr>
            <w:tcW w:w="1751" w:type="dxa"/>
            <w:vAlign w:val="center"/>
          </w:tcPr>
          <w:p w14:paraId="293352BC">
            <w:pPr>
              <w:pStyle w:val="9"/>
              <w:jc w:val="center"/>
              <w:rPr>
                <w:rFonts w:ascii="仿宋" w:hAnsi="仿宋" w:eastAsia="仿宋" w:cs="仿宋"/>
                <w:sz w:val="22"/>
                <w:szCs w:val="22"/>
              </w:rPr>
            </w:pPr>
          </w:p>
        </w:tc>
      </w:tr>
    </w:tbl>
    <w:p w14:paraId="7703CACD">
      <w:pPr>
        <w:spacing w:line="380" w:lineRule="exact"/>
        <w:ind w:left="529" w:leftChars="-66" w:hanging="668" w:hangingChars="304"/>
        <w:rPr>
          <w:rFonts w:ascii="仿宋" w:hAnsi="仿宋" w:eastAsia="仿宋" w:cs="仿宋"/>
          <w:sz w:val="22"/>
          <w:szCs w:val="22"/>
        </w:rPr>
      </w:pPr>
      <w:r>
        <w:rPr>
          <w:rFonts w:hint="eastAsia" w:ascii="仿宋" w:hAnsi="仿宋" w:eastAsia="仿宋" w:cs="仿宋"/>
          <w:sz w:val="22"/>
          <w:szCs w:val="22"/>
        </w:rPr>
        <w:t>说明：</w:t>
      </w:r>
    </w:p>
    <w:p w14:paraId="67882337">
      <w:pPr>
        <w:numPr>
          <w:ilvl w:val="0"/>
          <w:numId w:val="13"/>
        </w:numPr>
        <w:spacing w:line="380" w:lineRule="exact"/>
        <w:rPr>
          <w:rFonts w:ascii="仿宋" w:hAnsi="仿宋" w:eastAsia="仿宋" w:cs="仿宋"/>
          <w:b/>
          <w:bCs/>
          <w:sz w:val="22"/>
          <w:szCs w:val="22"/>
          <w:u w:val="single"/>
        </w:rPr>
      </w:pPr>
      <w:r>
        <w:rPr>
          <w:rFonts w:hint="eastAsia" w:ascii="仿宋" w:hAnsi="仿宋" w:eastAsia="仿宋" w:cs="仿宋"/>
          <w:b/>
          <w:bCs/>
          <w:sz w:val="22"/>
          <w:szCs w:val="22"/>
          <w:u w:val="single"/>
        </w:rPr>
        <w:t>▲未提供开标一览表的投标响应文件将被视为未实质性响应招标文件要求，投标无效。</w:t>
      </w:r>
    </w:p>
    <w:p w14:paraId="6CBBE1D9">
      <w:pPr>
        <w:numPr>
          <w:ilvl w:val="0"/>
          <w:numId w:val="13"/>
        </w:numPr>
        <w:spacing w:line="380" w:lineRule="exact"/>
        <w:rPr>
          <w:rFonts w:ascii="仿宋" w:hAnsi="仿宋" w:eastAsia="仿宋" w:cs="仿宋"/>
          <w:b/>
          <w:bCs/>
          <w:sz w:val="22"/>
          <w:szCs w:val="22"/>
          <w:u w:val="single"/>
        </w:rPr>
      </w:pPr>
      <w:r>
        <w:rPr>
          <w:rFonts w:hint="eastAsia" w:ascii="仿宋" w:hAnsi="仿宋" w:eastAsia="仿宋" w:cs="仿宋"/>
          <w:b/>
          <w:bCs/>
          <w:sz w:val="22"/>
          <w:szCs w:val="22"/>
          <w:u w:val="single"/>
        </w:rPr>
        <w:t>▲本项目为总价合同，投标报价应是成交供应商在正确地完全履行合同义务（满足温州市龙湾中学教学综合楼建设项目竣工验收所必需检测服务）后采购人应支付给成交供应商的全部服务费用，本项目以总价包干形式完成所有的服务内容，结算时不做调整，合同总价中均包括完成该项工程项目的人工费、材料费、施工机械使用费、设备进出场费（包含多次进场）、施工措施费、检测不合格需重新检测、企业管理费、利润、税金、保险、规费、安全施工费、风险费及检验试验费等政策性文件规定及合同包含的所有风险、责任、安全伤亡事故等一切费。供应商在报价时自行考虑风险，结算时不予调整。供应商应结合项目特点，市场行情及供应商自身的技术，管理水平，竞争能力，进行投标报价。</w:t>
      </w:r>
    </w:p>
    <w:p w14:paraId="7ED43F1C">
      <w:pPr>
        <w:pStyle w:val="3"/>
        <w:rPr>
          <w:rFonts w:ascii="仿宋" w:hAnsi="仿宋" w:eastAsia="仿宋" w:cs="仿宋"/>
        </w:rPr>
      </w:pPr>
    </w:p>
    <w:p w14:paraId="2F8609FD">
      <w:pPr>
        <w:autoSpaceDE w:val="0"/>
        <w:autoSpaceDN w:val="0"/>
        <w:spacing w:line="380" w:lineRule="atLeast"/>
        <w:ind w:left="36"/>
        <w:rPr>
          <w:rFonts w:ascii="仿宋" w:hAnsi="仿宋" w:eastAsia="仿宋" w:cs="仿宋"/>
          <w:kern w:val="0"/>
          <w:sz w:val="22"/>
          <w:szCs w:val="22"/>
        </w:rPr>
      </w:pPr>
    </w:p>
    <w:p w14:paraId="4439E948">
      <w:pPr>
        <w:autoSpaceDE w:val="0"/>
        <w:autoSpaceDN w:val="0"/>
        <w:spacing w:line="380" w:lineRule="atLeast"/>
        <w:ind w:firstLine="660"/>
        <w:rPr>
          <w:rFonts w:ascii="仿宋" w:hAnsi="仿宋" w:eastAsia="仿宋" w:cs="仿宋"/>
          <w:kern w:val="0"/>
          <w:sz w:val="22"/>
          <w:szCs w:val="22"/>
          <w:lang w:val="zh-CN"/>
        </w:rPr>
      </w:pPr>
    </w:p>
    <w:p w14:paraId="7CB735BC">
      <w:pPr>
        <w:autoSpaceDE w:val="0"/>
        <w:autoSpaceDN w:val="0"/>
        <w:spacing w:line="380" w:lineRule="atLeast"/>
        <w:ind w:firstLine="660"/>
        <w:rPr>
          <w:rFonts w:ascii="仿宋" w:hAnsi="仿宋" w:eastAsia="仿宋" w:cs="仿宋"/>
          <w:kern w:val="0"/>
          <w:sz w:val="22"/>
          <w:szCs w:val="22"/>
          <w:lang w:val="zh-CN"/>
        </w:rPr>
      </w:pPr>
    </w:p>
    <w:p w14:paraId="1B95718C">
      <w:pPr>
        <w:autoSpaceDE w:val="0"/>
        <w:autoSpaceDN w:val="0"/>
        <w:spacing w:line="380" w:lineRule="atLeast"/>
        <w:ind w:firstLine="660"/>
        <w:rPr>
          <w:rFonts w:ascii="仿宋" w:hAnsi="仿宋" w:eastAsia="仿宋" w:cs="仿宋"/>
          <w:kern w:val="0"/>
          <w:sz w:val="22"/>
          <w:szCs w:val="22"/>
          <w:lang w:val="zh-CN"/>
        </w:rPr>
      </w:pPr>
    </w:p>
    <w:p w14:paraId="4F31D243">
      <w:pPr>
        <w:snapToGrid w:val="0"/>
        <w:spacing w:line="360" w:lineRule="auto"/>
        <w:ind w:firstLine="576"/>
        <w:jc w:val="center"/>
        <w:rPr>
          <w:rFonts w:ascii="仿宋" w:hAnsi="仿宋" w:eastAsia="仿宋" w:cs="仿宋"/>
          <w:kern w:val="0"/>
          <w:sz w:val="24"/>
          <w:lang w:val="zh-CN"/>
        </w:rPr>
      </w:pPr>
      <w:r>
        <w:rPr>
          <w:rFonts w:hint="eastAsia" w:ascii="仿宋" w:hAnsi="仿宋" w:eastAsia="仿宋" w:cs="仿宋"/>
          <w:kern w:val="0"/>
          <w:sz w:val="24"/>
          <w:lang w:val="zh-CN"/>
        </w:rPr>
        <w:t xml:space="preserve">投标人名称(电子签名)：                              </w:t>
      </w:r>
    </w:p>
    <w:p w14:paraId="455C3C57">
      <w:pPr>
        <w:spacing w:line="360" w:lineRule="auto"/>
        <w:jc w:val="center"/>
        <w:rPr>
          <w:rFonts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7E83B3F0">
      <w:pPr>
        <w:rPr>
          <w:rFonts w:ascii="仿宋" w:hAnsi="仿宋" w:eastAsia="仿宋" w:cs="仿宋"/>
          <w:kern w:val="0"/>
          <w:sz w:val="24"/>
          <w:lang w:val="zh-CN"/>
        </w:rPr>
      </w:pPr>
      <w:r>
        <w:rPr>
          <w:rFonts w:hint="eastAsia" w:ascii="仿宋" w:hAnsi="仿宋" w:eastAsia="仿宋" w:cs="仿宋"/>
          <w:kern w:val="0"/>
          <w:sz w:val="24"/>
          <w:lang w:val="zh-CN"/>
        </w:rPr>
        <w:br w:type="page"/>
      </w:r>
    </w:p>
    <w:p w14:paraId="1D9AF254">
      <w:pPr>
        <w:widowControl/>
        <w:adjustRightInd/>
        <w:jc w:val="left"/>
        <w:rPr>
          <w:rFonts w:ascii="仿宋" w:hAnsi="仿宋" w:eastAsia="仿宋" w:cs="仿宋"/>
          <w:sz w:val="28"/>
          <w:szCs w:val="36"/>
        </w:rPr>
        <w:sectPr>
          <w:headerReference r:id="rId9" w:type="default"/>
          <w:footerReference r:id="rId10" w:type="default"/>
          <w:pgSz w:w="11907" w:h="16840"/>
          <w:pgMar w:top="1474" w:right="1814" w:bottom="1474" w:left="1814" w:header="851" w:footer="851" w:gutter="0"/>
          <w:cols w:space="720" w:num="1"/>
        </w:sectPr>
      </w:pPr>
    </w:p>
    <w:bookmarkEnd w:id="104"/>
    <w:bookmarkEnd w:id="105"/>
    <w:p w14:paraId="5C4F48F8">
      <w:pPr>
        <w:pStyle w:val="5"/>
        <w:overflowPunct w:val="0"/>
        <w:spacing w:after="0" w:line="460" w:lineRule="exact"/>
        <w:jc w:val="center"/>
        <w:rPr>
          <w:rFonts w:ascii="仿宋" w:hAnsi="仿宋" w:eastAsia="仿宋" w:cs="仿宋"/>
          <w:b/>
          <w:sz w:val="36"/>
          <w:szCs w:val="36"/>
        </w:rPr>
      </w:pPr>
      <w:r>
        <w:rPr>
          <w:rStyle w:val="28"/>
          <w:rFonts w:hint="eastAsia" w:ascii="仿宋" w:hAnsi="仿宋" w:eastAsia="仿宋" w:cs="仿宋"/>
          <w:sz w:val="36"/>
          <w:szCs w:val="36"/>
        </w:rPr>
        <w:t>第六部分   评审办法</w:t>
      </w:r>
    </w:p>
    <w:p w14:paraId="68AF44BB">
      <w:pPr>
        <w:snapToGrid w:val="0"/>
        <w:spacing w:line="360" w:lineRule="auto"/>
        <w:jc w:val="center"/>
        <w:rPr>
          <w:rFonts w:ascii="仿宋" w:hAnsi="仿宋" w:eastAsia="仿宋" w:cs="仿宋"/>
          <w:b/>
          <w:sz w:val="24"/>
        </w:rPr>
      </w:pPr>
      <w:r>
        <w:rPr>
          <w:rFonts w:hint="eastAsia" w:ascii="仿宋" w:hAnsi="仿宋" w:eastAsia="仿宋" w:cs="仿宋"/>
          <w:b/>
          <w:sz w:val="24"/>
        </w:rPr>
        <w:t>评审办法前附表</w:t>
      </w:r>
    </w:p>
    <w:bookmarkEnd w:id="90"/>
    <w:bookmarkEnd w:id="91"/>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9"/>
        <w:gridCol w:w="16"/>
        <w:gridCol w:w="1047"/>
        <w:gridCol w:w="1838"/>
        <w:gridCol w:w="5289"/>
      </w:tblGrid>
      <w:tr w14:paraId="015AC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blHeader/>
          <w:jc w:val="center"/>
        </w:trPr>
        <w:tc>
          <w:tcPr>
            <w:tcW w:w="1912" w:type="dxa"/>
            <w:gridSpan w:val="3"/>
            <w:tcBorders>
              <w:top w:val="single" w:color="auto" w:sz="4" w:space="0"/>
              <w:bottom w:val="single" w:color="auto" w:sz="4" w:space="0"/>
              <w:right w:val="single" w:color="auto" w:sz="4" w:space="0"/>
            </w:tcBorders>
            <w:vAlign w:val="center"/>
          </w:tcPr>
          <w:p w14:paraId="26ECB6B1">
            <w:pPr>
              <w:jc w:val="center"/>
              <w:rPr>
                <w:rFonts w:ascii="仿宋" w:hAnsi="仿宋" w:eastAsia="仿宋" w:cs="仿宋"/>
                <w:b/>
                <w:bCs/>
                <w:szCs w:val="21"/>
              </w:rPr>
            </w:pPr>
            <w:r>
              <w:rPr>
                <w:rFonts w:hint="eastAsia" w:ascii="仿宋" w:hAnsi="仿宋" w:eastAsia="仿宋" w:cs="仿宋"/>
                <w:b/>
                <w:bCs/>
                <w:szCs w:val="21"/>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62296855">
            <w:pPr>
              <w:jc w:val="center"/>
              <w:rPr>
                <w:rFonts w:ascii="仿宋" w:hAnsi="仿宋" w:eastAsia="仿宋" w:cs="仿宋"/>
                <w:b/>
                <w:bCs/>
                <w:szCs w:val="21"/>
              </w:rPr>
            </w:pPr>
            <w:r>
              <w:rPr>
                <w:rFonts w:hint="eastAsia" w:ascii="仿宋" w:hAnsi="仿宋" w:eastAsia="仿宋" w:cs="仿宋"/>
                <w:b/>
                <w:bCs/>
                <w:szCs w:val="21"/>
              </w:rPr>
              <w:t>评审因素</w:t>
            </w:r>
          </w:p>
        </w:tc>
        <w:tc>
          <w:tcPr>
            <w:tcW w:w="5289" w:type="dxa"/>
            <w:tcBorders>
              <w:top w:val="single" w:color="auto" w:sz="4" w:space="0"/>
              <w:left w:val="single" w:color="auto" w:sz="4" w:space="0"/>
              <w:bottom w:val="single" w:color="auto" w:sz="4" w:space="0"/>
            </w:tcBorders>
            <w:vAlign w:val="center"/>
          </w:tcPr>
          <w:p w14:paraId="69948262">
            <w:pPr>
              <w:jc w:val="center"/>
              <w:rPr>
                <w:rFonts w:ascii="仿宋" w:hAnsi="仿宋" w:eastAsia="仿宋" w:cs="仿宋"/>
                <w:b/>
                <w:bCs/>
                <w:szCs w:val="21"/>
              </w:rPr>
            </w:pPr>
            <w:r>
              <w:rPr>
                <w:rFonts w:hint="eastAsia" w:ascii="仿宋" w:hAnsi="仿宋" w:eastAsia="仿宋" w:cs="仿宋"/>
                <w:b/>
                <w:bCs/>
                <w:szCs w:val="21"/>
              </w:rPr>
              <w:t>评审标准</w:t>
            </w:r>
          </w:p>
        </w:tc>
      </w:tr>
      <w:tr w14:paraId="57AB8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2" w:hRule="atLeast"/>
          <w:jc w:val="center"/>
        </w:trPr>
        <w:tc>
          <w:tcPr>
            <w:tcW w:w="849" w:type="dxa"/>
            <w:vMerge w:val="restart"/>
            <w:tcBorders>
              <w:top w:val="single" w:color="auto" w:sz="4" w:space="0"/>
              <w:bottom w:val="single" w:color="auto" w:sz="4" w:space="0"/>
              <w:right w:val="single" w:color="auto" w:sz="4" w:space="0"/>
            </w:tcBorders>
            <w:vAlign w:val="center"/>
          </w:tcPr>
          <w:p w14:paraId="1375A74D">
            <w:pPr>
              <w:jc w:val="center"/>
              <w:rPr>
                <w:rFonts w:ascii="仿宋" w:hAnsi="仿宋" w:eastAsia="仿宋" w:cs="仿宋"/>
                <w:szCs w:val="21"/>
              </w:rPr>
            </w:pPr>
            <w:r>
              <w:rPr>
                <w:rFonts w:hint="eastAsia" w:ascii="仿宋" w:hAnsi="仿宋" w:eastAsia="仿宋" w:cs="仿宋"/>
                <w:szCs w:val="21"/>
              </w:rPr>
              <w:t>1</w:t>
            </w:r>
          </w:p>
        </w:tc>
        <w:tc>
          <w:tcPr>
            <w:tcW w:w="1063" w:type="dxa"/>
            <w:gridSpan w:val="2"/>
            <w:vMerge w:val="restart"/>
            <w:tcBorders>
              <w:top w:val="single" w:color="auto" w:sz="4" w:space="0"/>
              <w:left w:val="single" w:color="auto" w:sz="4" w:space="0"/>
              <w:right w:val="single" w:color="auto" w:sz="4" w:space="0"/>
            </w:tcBorders>
            <w:vAlign w:val="center"/>
          </w:tcPr>
          <w:p w14:paraId="239FF5B7">
            <w:pPr>
              <w:jc w:val="center"/>
              <w:rPr>
                <w:rFonts w:ascii="仿宋" w:hAnsi="仿宋" w:eastAsia="仿宋" w:cs="仿宋"/>
                <w:szCs w:val="21"/>
              </w:rPr>
            </w:pPr>
            <w:r>
              <w:rPr>
                <w:rFonts w:hint="eastAsia" w:ascii="仿宋" w:hAnsi="仿宋" w:eastAsia="仿宋" w:cs="仿宋"/>
                <w:szCs w:val="21"/>
              </w:rPr>
              <w:t>评标方法</w:t>
            </w:r>
          </w:p>
        </w:tc>
        <w:tc>
          <w:tcPr>
            <w:tcW w:w="1838" w:type="dxa"/>
            <w:tcBorders>
              <w:top w:val="single" w:color="auto" w:sz="4" w:space="0"/>
              <w:left w:val="single" w:color="auto" w:sz="4" w:space="0"/>
              <w:bottom w:val="single" w:color="auto" w:sz="4" w:space="0"/>
              <w:right w:val="single" w:color="auto" w:sz="4" w:space="0"/>
            </w:tcBorders>
            <w:vAlign w:val="center"/>
          </w:tcPr>
          <w:p w14:paraId="4AA22A0F">
            <w:pPr>
              <w:jc w:val="center"/>
              <w:rPr>
                <w:rFonts w:ascii="仿宋" w:hAnsi="仿宋" w:eastAsia="仿宋" w:cs="仿宋"/>
                <w:szCs w:val="21"/>
              </w:rPr>
            </w:pPr>
            <w:r>
              <w:rPr>
                <w:rFonts w:hint="eastAsia" w:ascii="仿宋" w:hAnsi="仿宋" w:eastAsia="仿宋" w:cs="仿宋"/>
                <w:szCs w:val="21"/>
              </w:rPr>
              <w:t>评审办法</w:t>
            </w:r>
          </w:p>
        </w:tc>
        <w:tc>
          <w:tcPr>
            <w:tcW w:w="5289" w:type="dxa"/>
            <w:tcBorders>
              <w:top w:val="single" w:color="auto" w:sz="4" w:space="0"/>
              <w:left w:val="single" w:color="auto" w:sz="4" w:space="0"/>
              <w:bottom w:val="single" w:color="auto" w:sz="4" w:space="0"/>
            </w:tcBorders>
            <w:vAlign w:val="center"/>
          </w:tcPr>
          <w:p w14:paraId="4A3468F6">
            <w:pPr>
              <w:jc w:val="left"/>
              <w:rPr>
                <w:rFonts w:ascii="仿宋" w:hAnsi="仿宋" w:eastAsia="仿宋" w:cs="仿宋"/>
                <w:szCs w:val="21"/>
              </w:rPr>
            </w:pPr>
            <w:r>
              <w:rPr>
                <w:rFonts w:hint="eastAsia" w:ascii="仿宋" w:hAnsi="仿宋" w:eastAsia="仿宋" w:cs="仿宋"/>
                <w:szCs w:val="21"/>
              </w:rPr>
              <w:t>综合评分法</w:t>
            </w:r>
          </w:p>
        </w:tc>
      </w:tr>
      <w:tr w14:paraId="74A5E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849" w:type="dxa"/>
            <w:vMerge w:val="continue"/>
            <w:tcBorders>
              <w:top w:val="single" w:color="auto" w:sz="4" w:space="0"/>
              <w:bottom w:val="single" w:color="auto" w:sz="4" w:space="0"/>
              <w:right w:val="single" w:color="auto" w:sz="4" w:space="0"/>
            </w:tcBorders>
            <w:vAlign w:val="center"/>
          </w:tcPr>
          <w:p w14:paraId="6BBCE915">
            <w:pPr>
              <w:jc w:val="center"/>
              <w:rPr>
                <w:rFonts w:ascii="仿宋" w:hAnsi="仿宋" w:eastAsia="仿宋" w:cs="仿宋"/>
                <w:szCs w:val="21"/>
              </w:rPr>
            </w:pPr>
          </w:p>
        </w:tc>
        <w:tc>
          <w:tcPr>
            <w:tcW w:w="1063" w:type="dxa"/>
            <w:gridSpan w:val="2"/>
            <w:vMerge w:val="continue"/>
            <w:tcBorders>
              <w:left w:val="single" w:color="auto" w:sz="4" w:space="0"/>
              <w:right w:val="single" w:color="auto" w:sz="4" w:space="0"/>
            </w:tcBorders>
            <w:vAlign w:val="center"/>
          </w:tcPr>
          <w:p w14:paraId="4946CC1B">
            <w:pPr>
              <w:jc w:val="center"/>
              <w:rPr>
                <w:rFonts w:ascii="仿宋" w:hAnsi="仿宋" w:eastAsia="仿宋" w:cs="仿宋"/>
                <w:szCs w:val="21"/>
              </w:rPr>
            </w:pPr>
          </w:p>
        </w:tc>
        <w:tc>
          <w:tcPr>
            <w:tcW w:w="1838" w:type="dxa"/>
            <w:tcBorders>
              <w:top w:val="single" w:color="auto" w:sz="4" w:space="0"/>
              <w:left w:val="single" w:color="auto" w:sz="4" w:space="0"/>
              <w:bottom w:val="single" w:color="auto" w:sz="4" w:space="0"/>
              <w:right w:val="single" w:color="auto" w:sz="4" w:space="0"/>
            </w:tcBorders>
            <w:vAlign w:val="center"/>
          </w:tcPr>
          <w:p w14:paraId="3C10FCDA">
            <w:pPr>
              <w:jc w:val="center"/>
              <w:rPr>
                <w:rFonts w:ascii="仿宋" w:hAnsi="仿宋" w:eastAsia="仿宋" w:cs="仿宋"/>
                <w:szCs w:val="21"/>
              </w:rPr>
            </w:pPr>
            <w:r>
              <w:rPr>
                <w:rFonts w:hint="eastAsia" w:ascii="仿宋" w:hAnsi="仿宋" w:eastAsia="仿宋" w:cs="仿宋"/>
                <w:szCs w:val="21"/>
              </w:rPr>
              <w:t>推荐中标候选人的数量</w:t>
            </w:r>
          </w:p>
        </w:tc>
        <w:tc>
          <w:tcPr>
            <w:tcW w:w="5289" w:type="dxa"/>
            <w:tcBorders>
              <w:top w:val="single" w:color="auto" w:sz="4" w:space="0"/>
              <w:left w:val="single" w:color="auto" w:sz="4" w:space="0"/>
              <w:bottom w:val="single" w:color="auto" w:sz="4" w:space="0"/>
            </w:tcBorders>
            <w:vAlign w:val="center"/>
          </w:tcPr>
          <w:p w14:paraId="72C11740">
            <w:pPr>
              <w:jc w:val="left"/>
              <w:rPr>
                <w:rFonts w:ascii="仿宋" w:hAnsi="仿宋" w:eastAsia="仿宋" w:cs="仿宋"/>
                <w:szCs w:val="21"/>
              </w:rPr>
            </w:pPr>
            <w:r>
              <w:rPr>
                <w:rFonts w:hint="eastAsia" w:ascii="仿宋" w:hAnsi="仿宋" w:eastAsia="仿宋" w:cs="仿宋"/>
                <w:szCs w:val="21"/>
              </w:rPr>
              <w:t>1</w:t>
            </w:r>
          </w:p>
        </w:tc>
      </w:tr>
      <w:tr w14:paraId="35D97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jc w:val="center"/>
        </w:trPr>
        <w:tc>
          <w:tcPr>
            <w:tcW w:w="849" w:type="dxa"/>
            <w:vMerge w:val="continue"/>
            <w:tcBorders>
              <w:top w:val="single" w:color="auto" w:sz="4" w:space="0"/>
              <w:bottom w:val="single" w:color="auto" w:sz="4" w:space="0"/>
              <w:right w:val="single" w:color="auto" w:sz="4" w:space="0"/>
            </w:tcBorders>
            <w:vAlign w:val="center"/>
          </w:tcPr>
          <w:p w14:paraId="1C89E6F1">
            <w:pPr>
              <w:jc w:val="center"/>
              <w:rPr>
                <w:rFonts w:ascii="仿宋" w:hAnsi="仿宋" w:eastAsia="仿宋" w:cs="仿宋"/>
                <w:szCs w:val="21"/>
              </w:rPr>
            </w:pPr>
          </w:p>
        </w:tc>
        <w:tc>
          <w:tcPr>
            <w:tcW w:w="1063" w:type="dxa"/>
            <w:gridSpan w:val="2"/>
            <w:vMerge w:val="continue"/>
            <w:tcBorders>
              <w:left w:val="single" w:color="auto" w:sz="4" w:space="0"/>
              <w:right w:val="single" w:color="auto" w:sz="4" w:space="0"/>
            </w:tcBorders>
            <w:vAlign w:val="center"/>
          </w:tcPr>
          <w:p w14:paraId="716D798C">
            <w:pPr>
              <w:jc w:val="center"/>
              <w:rPr>
                <w:rFonts w:ascii="仿宋" w:hAnsi="仿宋" w:eastAsia="仿宋" w:cs="仿宋"/>
                <w:szCs w:val="21"/>
              </w:rPr>
            </w:pPr>
          </w:p>
        </w:tc>
        <w:tc>
          <w:tcPr>
            <w:tcW w:w="1838" w:type="dxa"/>
            <w:tcBorders>
              <w:top w:val="single" w:color="auto" w:sz="4" w:space="0"/>
              <w:left w:val="single" w:color="auto" w:sz="4" w:space="0"/>
              <w:bottom w:val="single" w:color="auto" w:sz="4" w:space="0"/>
              <w:right w:val="single" w:color="auto" w:sz="4" w:space="0"/>
            </w:tcBorders>
            <w:vAlign w:val="center"/>
          </w:tcPr>
          <w:p w14:paraId="0FDCF370">
            <w:pPr>
              <w:jc w:val="center"/>
              <w:rPr>
                <w:rFonts w:ascii="仿宋" w:hAnsi="仿宋" w:eastAsia="仿宋" w:cs="仿宋"/>
                <w:szCs w:val="21"/>
              </w:rPr>
            </w:pPr>
            <w:r>
              <w:rPr>
                <w:rFonts w:hint="eastAsia" w:ascii="仿宋" w:hAnsi="仿宋" w:eastAsia="仿宋" w:cs="仿宋"/>
                <w:szCs w:val="21"/>
              </w:rPr>
              <w:t>综合评分、投标报价及商务技术得分均相等时确定中标候选人排序的方式</w:t>
            </w:r>
          </w:p>
        </w:tc>
        <w:tc>
          <w:tcPr>
            <w:tcW w:w="5289" w:type="dxa"/>
            <w:tcBorders>
              <w:top w:val="single" w:color="auto" w:sz="4" w:space="0"/>
              <w:left w:val="single" w:color="auto" w:sz="4" w:space="0"/>
              <w:bottom w:val="single" w:color="auto" w:sz="4" w:space="0"/>
            </w:tcBorders>
            <w:vAlign w:val="center"/>
          </w:tcPr>
          <w:p w14:paraId="2A73C1AB">
            <w:pPr>
              <w:jc w:val="left"/>
              <w:rPr>
                <w:rFonts w:ascii="仿宋" w:hAnsi="仿宋" w:eastAsia="仿宋" w:cs="仿宋"/>
                <w:szCs w:val="21"/>
              </w:rPr>
            </w:pPr>
            <w:r>
              <w:rPr>
                <w:rFonts w:hint="eastAsia" w:ascii="仿宋" w:hAnsi="仿宋" w:eastAsia="仿宋" w:cs="仿宋"/>
                <w:szCs w:val="21"/>
              </w:rPr>
              <w:t>采购人抽签确定</w:t>
            </w:r>
          </w:p>
        </w:tc>
      </w:tr>
      <w:tr w14:paraId="1EE63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849" w:type="dxa"/>
            <w:tcBorders>
              <w:top w:val="single" w:color="auto" w:sz="4" w:space="0"/>
              <w:bottom w:val="single" w:color="auto" w:sz="4" w:space="0"/>
              <w:right w:val="single" w:color="auto" w:sz="4" w:space="0"/>
            </w:tcBorders>
            <w:vAlign w:val="center"/>
          </w:tcPr>
          <w:p w14:paraId="72A48509">
            <w:pPr>
              <w:jc w:val="center"/>
              <w:rPr>
                <w:rFonts w:ascii="仿宋" w:hAnsi="仿宋" w:eastAsia="仿宋" w:cs="仿宋"/>
                <w:szCs w:val="21"/>
              </w:rPr>
            </w:pPr>
            <w:r>
              <w:rPr>
                <w:rFonts w:hint="eastAsia" w:ascii="仿宋" w:hAnsi="仿宋" w:eastAsia="仿宋" w:cs="仿宋"/>
                <w:szCs w:val="21"/>
              </w:rPr>
              <w:t>2.1.2</w:t>
            </w:r>
          </w:p>
        </w:tc>
        <w:tc>
          <w:tcPr>
            <w:tcW w:w="1063" w:type="dxa"/>
            <w:gridSpan w:val="2"/>
            <w:vMerge w:val="restart"/>
            <w:tcBorders>
              <w:top w:val="single" w:color="auto" w:sz="4" w:space="0"/>
              <w:left w:val="single" w:color="auto" w:sz="4" w:space="0"/>
              <w:right w:val="single" w:color="auto" w:sz="4" w:space="0"/>
            </w:tcBorders>
            <w:vAlign w:val="center"/>
          </w:tcPr>
          <w:p w14:paraId="2C90975E">
            <w:pPr>
              <w:jc w:val="center"/>
              <w:rPr>
                <w:rFonts w:ascii="仿宋" w:hAnsi="仿宋" w:eastAsia="仿宋" w:cs="仿宋"/>
                <w:szCs w:val="21"/>
              </w:rPr>
            </w:pPr>
            <w:r>
              <w:rPr>
                <w:rFonts w:hint="eastAsia" w:ascii="仿宋" w:hAnsi="仿宋" w:eastAsia="仿宋" w:cs="仿宋"/>
                <w:szCs w:val="21"/>
              </w:rPr>
              <w:t>资格审查</w:t>
            </w:r>
          </w:p>
        </w:tc>
        <w:tc>
          <w:tcPr>
            <w:tcW w:w="1838" w:type="dxa"/>
            <w:tcBorders>
              <w:top w:val="single" w:color="auto" w:sz="4" w:space="0"/>
              <w:left w:val="single" w:color="auto" w:sz="4" w:space="0"/>
              <w:bottom w:val="single" w:color="auto" w:sz="4" w:space="0"/>
              <w:right w:val="single" w:color="auto" w:sz="4" w:space="0"/>
            </w:tcBorders>
            <w:vAlign w:val="center"/>
          </w:tcPr>
          <w:p w14:paraId="420BB69B">
            <w:pPr>
              <w:jc w:val="center"/>
              <w:rPr>
                <w:rFonts w:ascii="仿宋" w:hAnsi="仿宋" w:eastAsia="仿宋" w:cs="仿宋"/>
                <w:szCs w:val="21"/>
              </w:rPr>
            </w:pPr>
            <w:r>
              <w:rPr>
                <w:rFonts w:hint="eastAsia" w:ascii="仿宋" w:hAnsi="仿宋" w:eastAsia="仿宋" w:cs="仿宋"/>
                <w:szCs w:val="21"/>
              </w:rPr>
              <w:t>落实采购政策需满足的资格要求</w:t>
            </w:r>
          </w:p>
        </w:tc>
        <w:tc>
          <w:tcPr>
            <w:tcW w:w="5289" w:type="dxa"/>
            <w:tcBorders>
              <w:top w:val="single" w:color="auto" w:sz="4" w:space="0"/>
              <w:left w:val="single" w:color="auto" w:sz="4" w:space="0"/>
              <w:bottom w:val="single" w:color="auto" w:sz="4" w:space="0"/>
            </w:tcBorders>
            <w:shd w:val="clear" w:color="auto" w:fill="auto"/>
            <w:vAlign w:val="center"/>
          </w:tcPr>
          <w:p w14:paraId="566940C2">
            <w:pPr>
              <w:rPr>
                <w:szCs w:val="21"/>
              </w:rPr>
            </w:pPr>
            <w:r>
              <w:rPr>
                <w:rFonts w:hint="eastAsia" w:ascii="仿宋" w:hAnsi="仿宋" w:eastAsia="仿宋" w:cs="仿宋"/>
                <w:kern w:val="0"/>
                <w:szCs w:val="21"/>
              </w:rPr>
              <w:t>详见磋商公告</w:t>
            </w:r>
          </w:p>
        </w:tc>
      </w:tr>
      <w:tr w14:paraId="2D1BF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849" w:type="dxa"/>
            <w:tcBorders>
              <w:top w:val="single" w:color="auto" w:sz="4" w:space="0"/>
              <w:bottom w:val="single" w:color="auto" w:sz="4" w:space="0"/>
              <w:right w:val="single" w:color="auto" w:sz="4" w:space="0"/>
            </w:tcBorders>
            <w:vAlign w:val="center"/>
          </w:tcPr>
          <w:p w14:paraId="006FA365">
            <w:pPr>
              <w:jc w:val="center"/>
              <w:rPr>
                <w:rFonts w:ascii="仿宋" w:hAnsi="仿宋" w:eastAsia="仿宋" w:cs="仿宋"/>
                <w:szCs w:val="21"/>
              </w:rPr>
            </w:pPr>
            <w:r>
              <w:rPr>
                <w:rFonts w:hint="eastAsia" w:ascii="仿宋" w:hAnsi="仿宋" w:eastAsia="仿宋" w:cs="仿宋"/>
                <w:szCs w:val="21"/>
              </w:rPr>
              <w:t>2.1.3</w:t>
            </w:r>
          </w:p>
        </w:tc>
        <w:tc>
          <w:tcPr>
            <w:tcW w:w="1063" w:type="dxa"/>
            <w:gridSpan w:val="2"/>
            <w:vMerge w:val="continue"/>
            <w:tcBorders>
              <w:left w:val="single" w:color="auto" w:sz="4" w:space="0"/>
              <w:right w:val="single" w:color="auto" w:sz="4" w:space="0"/>
            </w:tcBorders>
            <w:vAlign w:val="center"/>
          </w:tcPr>
          <w:p w14:paraId="55DBFDE1">
            <w:pPr>
              <w:jc w:val="center"/>
              <w:rPr>
                <w:rFonts w:ascii="仿宋" w:hAnsi="仿宋" w:eastAsia="仿宋" w:cs="仿宋"/>
                <w:szCs w:val="21"/>
              </w:rPr>
            </w:pPr>
          </w:p>
        </w:tc>
        <w:tc>
          <w:tcPr>
            <w:tcW w:w="1838" w:type="dxa"/>
            <w:tcBorders>
              <w:top w:val="single" w:color="auto" w:sz="4" w:space="0"/>
              <w:left w:val="single" w:color="auto" w:sz="4" w:space="0"/>
              <w:bottom w:val="single" w:color="auto" w:sz="4" w:space="0"/>
              <w:right w:val="single" w:color="auto" w:sz="4" w:space="0"/>
            </w:tcBorders>
            <w:vAlign w:val="center"/>
          </w:tcPr>
          <w:p w14:paraId="73A796AC">
            <w:pPr>
              <w:jc w:val="center"/>
              <w:rPr>
                <w:rFonts w:ascii="仿宋" w:hAnsi="仿宋" w:eastAsia="仿宋" w:cs="仿宋"/>
                <w:szCs w:val="21"/>
              </w:rPr>
            </w:pPr>
            <w:r>
              <w:rPr>
                <w:rFonts w:hint="eastAsia" w:ascii="仿宋" w:hAnsi="仿宋" w:eastAsia="仿宋" w:cs="仿宋"/>
                <w:szCs w:val="21"/>
              </w:rPr>
              <w:t>特定资格条件要求</w:t>
            </w:r>
          </w:p>
        </w:tc>
        <w:tc>
          <w:tcPr>
            <w:tcW w:w="5289" w:type="dxa"/>
            <w:tcBorders>
              <w:top w:val="single" w:color="auto" w:sz="4" w:space="0"/>
              <w:left w:val="single" w:color="auto" w:sz="4" w:space="0"/>
              <w:bottom w:val="single" w:color="auto" w:sz="4" w:space="0"/>
            </w:tcBorders>
            <w:vAlign w:val="center"/>
          </w:tcPr>
          <w:p w14:paraId="7F4C4C67">
            <w:pPr>
              <w:jc w:val="left"/>
              <w:rPr>
                <w:rFonts w:ascii="仿宋" w:hAnsi="仿宋" w:eastAsia="仿宋" w:cs="仿宋"/>
                <w:szCs w:val="21"/>
              </w:rPr>
            </w:pPr>
            <w:r>
              <w:rPr>
                <w:rFonts w:hint="eastAsia" w:ascii="仿宋" w:hAnsi="仿宋" w:eastAsia="仿宋" w:cs="仿宋"/>
                <w:kern w:val="0"/>
                <w:szCs w:val="21"/>
              </w:rPr>
              <w:t>详见磋商公告</w:t>
            </w:r>
          </w:p>
        </w:tc>
      </w:tr>
      <w:tr w14:paraId="1E4E4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jc w:val="center"/>
        </w:trPr>
        <w:tc>
          <w:tcPr>
            <w:tcW w:w="849" w:type="dxa"/>
            <w:tcBorders>
              <w:top w:val="single" w:color="auto" w:sz="4" w:space="0"/>
              <w:bottom w:val="single" w:color="auto" w:sz="4" w:space="0"/>
              <w:right w:val="single" w:color="auto" w:sz="4" w:space="0"/>
            </w:tcBorders>
            <w:vAlign w:val="center"/>
          </w:tcPr>
          <w:p w14:paraId="2516C59E">
            <w:pPr>
              <w:jc w:val="center"/>
              <w:rPr>
                <w:rFonts w:ascii="仿宋" w:hAnsi="仿宋" w:eastAsia="仿宋" w:cs="仿宋"/>
                <w:szCs w:val="21"/>
              </w:rPr>
            </w:pPr>
            <w:r>
              <w:rPr>
                <w:rFonts w:hint="eastAsia" w:ascii="仿宋" w:hAnsi="仿宋" w:eastAsia="仿宋" w:cs="仿宋"/>
                <w:szCs w:val="21"/>
              </w:rPr>
              <w:t>2.1.4</w:t>
            </w:r>
          </w:p>
        </w:tc>
        <w:tc>
          <w:tcPr>
            <w:tcW w:w="1063" w:type="dxa"/>
            <w:gridSpan w:val="2"/>
            <w:vMerge w:val="continue"/>
            <w:tcBorders>
              <w:left w:val="single" w:color="auto" w:sz="4" w:space="0"/>
              <w:bottom w:val="single" w:color="auto" w:sz="4" w:space="0"/>
              <w:right w:val="single" w:color="auto" w:sz="4" w:space="0"/>
            </w:tcBorders>
            <w:vAlign w:val="center"/>
          </w:tcPr>
          <w:p w14:paraId="75A80B92">
            <w:pPr>
              <w:jc w:val="center"/>
              <w:rPr>
                <w:rFonts w:ascii="仿宋" w:hAnsi="仿宋" w:eastAsia="仿宋" w:cs="仿宋"/>
                <w:szCs w:val="21"/>
              </w:rPr>
            </w:pPr>
          </w:p>
        </w:tc>
        <w:tc>
          <w:tcPr>
            <w:tcW w:w="1838" w:type="dxa"/>
            <w:tcBorders>
              <w:top w:val="single" w:color="auto" w:sz="4" w:space="0"/>
              <w:left w:val="single" w:color="auto" w:sz="4" w:space="0"/>
              <w:bottom w:val="single" w:color="auto" w:sz="4" w:space="0"/>
              <w:right w:val="single" w:color="auto" w:sz="4" w:space="0"/>
            </w:tcBorders>
            <w:vAlign w:val="center"/>
          </w:tcPr>
          <w:p w14:paraId="4AD0E3B0">
            <w:pPr>
              <w:jc w:val="center"/>
              <w:rPr>
                <w:rFonts w:ascii="仿宋" w:hAnsi="仿宋" w:eastAsia="仿宋" w:cs="仿宋"/>
                <w:szCs w:val="21"/>
              </w:rPr>
            </w:pPr>
            <w:r>
              <w:rPr>
                <w:rFonts w:hint="eastAsia" w:ascii="仿宋" w:hAnsi="仿宋" w:eastAsia="仿宋" w:cs="仿宋"/>
                <w:szCs w:val="21"/>
              </w:rPr>
              <w:t>资格审查其他要求</w:t>
            </w:r>
          </w:p>
        </w:tc>
        <w:tc>
          <w:tcPr>
            <w:tcW w:w="5289" w:type="dxa"/>
            <w:tcBorders>
              <w:top w:val="single" w:color="auto" w:sz="4" w:space="0"/>
              <w:left w:val="single" w:color="auto" w:sz="4" w:space="0"/>
              <w:bottom w:val="single" w:color="auto" w:sz="4" w:space="0"/>
            </w:tcBorders>
            <w:vAlign w:val="center"/>
          </w:tcPr>
          <w:p w14:paraId="4ABBB652">
            <w:pPr>
              <w:jc w:val="left"/>
              <w:rPr>
                <w:rFonts w:ascii="仿宋" w:hAnsi="仿宋" w:eastAsia="仿宋" w:cs="仿宋"/>
                <w:kern w:val="0"/>
                <w:szCs w:val="21"/>
              </w:rPr>
            </w:pPr>
            <w:r>
              <w:rPr>
                <w:rFonts w:hint="eastAsia" w:ascii="仿宋" w:hAnsi="仿宋" w:eastAsia="仿宋" w:cs="仿宋"/>
                <w:kern w:val="0"/>
                <w:szCs w:val="21"/>
              </w:rPr>
              <w:t>采用联合体投标的应当提交联合体协议书，明确联合体各方承担的工作和义务，并指定一家成员作为联合体牵头人代表联合体负责投标和合同实施阶段的主办、协调工作。</w:t>
            </w:r>
          </w:p>
        </w:tc>
      </w:tr>
      <w:tr w14:paraId="772B8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849" w:type="dxa"/>
            <w:tcBorders>
              <w:top w:val="single" w:color="auto" w:sz="4" w:space="0"/>
              <w:bottom w:val="single" w:color="auto" w:sz="4" w:space="0"/>
              <w:right w:val="single" w:color="auto" w:sz="4" w:space="0"/>
            </w:tcBorders>
            <w:vAlign w:val="center"/>
          </w:tcPr>
          <w:p w14:paraId="3C88E008">
            <w:pPr>
              <w:jc w:val="center"/>
              <w:rPr>
                <w:rFonts w:ascii="仿宋" w:hAnsi="仿宋" w:eastAsia="仿宋" w:cs="仿宋"/>
                <w:szCs w:val="21"/>
              </w:rPr>
            </w:pPr>
            <w:r>
              <w:rPr>
                <w:rFonts w:hint="eastAsia" w:ascii="仿宋" w:hAnsi="仿宋" w:eastAsia="仿宋" w:cs="仿宋"/>
                <w:szCs w:val="21"/>
              </w:rPr>
              <w:t>2.2</w:t>
            </w: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6A07567D">
            <w:pPr>
              <w:jc w:val="center"/>
              <w:rPr>
                <w:rFonts w:ascii="仿宋" w:hAnsi="仿宋" w:eastAsia="仿宋" w:cs="仿宋"/>
                <w:szCs w:val="21"/>
              </w:rPr>
            </w:pPr>
            <w:r>
              <w:rPr>
                <w:rFonts w:hint="eastAsia" w:ascii="仿宋" w:hAnsi="仿宋" w:eastAsia="仿宋" w:cs="仿宋"/>
                <w:szCs w:val="21"/>
              </w:rPr>
              <w:t>符合性审查</w:t>
            </w:r>
          </w:p>
        </w:tc>
        <w:tc>
          <w:tcPr>
            <w:tcW w:w="1838" w:type="dxa"/>
            <w:tcBorders>
              <w:top w:val="single" w:color="auto" w:sz="4" w:space="0"/>
              <w:left w:val="single" w:color="auto" w:sz="4" w:space="0"/>
              <w:bottom w:val="single" w:color="auto" w:sz="4" w:space="0"/>
              <w:right w:val="single" w:color="auto" w:sz="4" w:space="0"/>
            </w:tcBorders>
            <w:vAlign w:val="center"/>
          </w:tcPr>
          <w:p w14:paraId="368DF378">
            <w:pPr>
              <w:jc w:val="center"/>
              <w:rPr>
                <w:rFonts w:ascii="仿宋" w:hAnsi="仿宋" w:eastAsia="仿宋" w:cs="仿宋"/>
                <w:szCs w:val="21"/>
              </w:rPr>
            </w:pPr>
            <w:r>
              <w:rPr>
                <w:rFonts w:hint="eastAsia" w:ascii="仿宋" w:hAnsi="仿宋" w:eastAsia="仿宋" w:cs="仿宋"/>
                <w:szCs w:val="21"/>
              </w:rPr>
              <w:t>符合性审查其他要求</w:t>
            </w:r>
          </w:p>
        </w:tc>
        <w:tc>
          <w:tcPr>
            <w:tcW w:w="5289" w:type="dxa"/>
            <w:tcBorders>
              <w:top w:val="single" w:color="auto" w:sz="4" w:space="0"/>
              <w:left w:val="single" w:color="auto" w:sz="4" w:space="0"/>
              <w:bottom w:val="single" w:color="auto" w:sz="4" w:space="0"/>
            </w:tcBorders>
            <w:vAlign w:val="center"/>
          </w:tcPr>
          <w:p w14:paraId="7EC2184F">
            <w:pPr>
              <w:rPr>
                <w:rFonts w:ascii="仿宋" w:hAnsi="仿宋" w:eastAsia="仿宋" w:cs="仿宋"/>
                <w:szCs w:val="21"/>
              </w:rPr>
            </w:pPr>
            <w:r>
              <w:rPr>
                <w:rFonts w:hint="eastAsia" w:ascii="仿宋" w:hAnsi="仿宋" w:eastAsia="仿宋" w:cs="仿宋"/>
                <w:b/>
                <w:bCs/>
                <w:szCs w:val="21"/>
              </w:rPr>
              <w:t>/</w:t>
            </w:r>
          </w:p>
        </w:tc>
      </w:tr>
      <w:tr w14:paraId="1604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912" w:type="dxa"/>
            <w:gridSpan w:val="3"/>
            <w:tcBorders>
              <w:top w:val="single" w:color="auto" w:sz="4" w:space="0"/>
              <w:bottom w:val="single" w:color="auto" w:sz="4" w:space="0"/>
              <w:right w:val="single" w:color="auto" w:sz="4" w:space="0"/>
            </w:tcBorders>
            <w:vAlign w:val="center"/>
          </w:tcPr>
          <w:p w14:paraId="5BEB131D">
            <w:pPr>
              <w:jc w:val="center"/>
              <w:rPr>
                <w:rFonts w:ascii="仿宋" w:hAnsi="仿宋" w:eastAsia="仿宋" w:cs="仿宋"/>
                <w:szCs w:val="21"/>
              </w:rPr>
            </w:pPr>
            <w:r>
              <w:rPr>
                <w:rFonts w:hint="eastAsia" w:ascii="仿宋" w:hAnsi="仿宋" w:eastAsia="仿宋" w:cs="仿宋"/>
                <w:szCs w:val="21"/>
              </w:rPr>
              <w:t>2.3.1</w:t>
            </w:r>
          </w:p>
        </w:tc>
        <w:tc>
          <w:tcPr>
            <w:tcW w:w="1838" w:type="dxa"/>
            <w:tcBorders>
              <w:top w:val="single" w:color="auto" w:sz="4" w:space="0"/>
              <w:left w:val="single" w:color="auto" w:sz="4" w:space="0"/>
              <w:bottom w:val="single" w:color="auto" w:sz="4" w:space="0"/>
              <w:right w:val="single" w:color="auto" w:sz="4" w:space="0"/>
            </w:tcBorders>
            <w:vAlign w:val="center"/>
          </w:tcPr>
          <w:p w14:paraId="6449268F">
            <w:pPr>
              <w:jc w:val="center"/>
              <w:rPr>
                <w:rFonts w:ascii="仿宋" w:hAnsi="仿宋" w:eastAsia="仿宋" w:cs="仿宋"/>
                <w:szCs w:val="21"/>
              </w:rPr>
            </w:pPr>
            <w:r>
              <w:rPr>
                <w:rFonts w:hint="eastAsia" w:ascii="仿宋" w:hAnsi="仿宋" w:eastAsia="仿宋" w:cs="仿宋"/>
                <w:szCs w:val="21"/>
              </w:rPr>
              <w:t>分值权重构成</w:t>
            </w:r>
          </w:p>
        </w:tc>
        <w:tc>
          <w:tcPr>
            <w:tcW w:w="5289" w:type="dxa"/>
            <w:tcBorders>
              <w:top w:val="single" w:color="auto" w:sz="4" w:space="0"/>
              <w:left w:val="single" w:color="auto" w:sz="4" w:space="0"/>
              <w:bottom w:val="single" w:color="auto" w:sz="4" w:space="0"/>
            </w:tcBorders>
            <w:vAlign w:val="center"/>
          </w:tcPr>
          <w:p w14:paraId="655932C9">
            <w:pPr>
              <w:snapToGrid w:val="0"/>
              <w:rPr>
                <w:rFonts w:ascii="仿宋" w:hAnsi="仿宋" w:eastAsia="仿宋" w:cs="仿宋"/>
                <w:szCs w:val="21"/>
              </w:rPr>
            </w:pPr>
            <w:r>
              <w:rPr>
                <w:rFonts w:hint="eastAsia" w:ascii="仿宋" w:hAnsi="仿宋" w:eastAsia="仿宋" w:cs="仿宋"/>
                <w:szCs w:val="21"/>
              </w:rPr>
              <w:t>商务技术权重：</w:t>
            </w:r>
            <w:r>
              <w:rPr>
                <w:rFonts w:hint="eastAsia" w:ascii="仿宋" w:hAnsi="仿宋" w:eastAsia="仿宋" w:cs="仿宋"/>
                <w:szCs w:val="21"/>
                <w:u w:val="single"/>
              </w:rPr>
              <w:t xml:space="preserve"> 80 </w:t>
            </w:r>
            <w:r>
              <w:rPr>
                <w:rFonts w:hint="eastAsia" w:ascii="仿宋" w:hAnsi="仿宋" w:eastAsia="仿宋" w:cs="仿宋"/>
                <w:szCs w:val="21"/>
              </w:rPr>
              <w:t>%</w:t>
            </w:r>
          </w:p>
          <w:p w14:paraId="29FE2602">
            <w:pPr>
              <w:snapToGrid w:val="0"/>
              <w:rPr>
                <w:rFonts w:ascii="仿宋" w:hAnsi="仿宋" w:eastAsia="仿宋" w:cs="仿宋"/>
                <w:szCs w:val="21"/>
              </w:rPr>
            </w:pPr>
            <w:r>
              <w:rPr>
                <w:rFonts w:hint="eastAsia" w:ascii="仿宋" w:hAnsi="仿宋" w:eastAsia="仿宋" w:cs="仿宋"/>
                <w:szCs w:val="21"/>
              </w:rPr>
              <w:t>报价权重：</w:t>
            </w:r>
            <w:r>
              <w:rPr>
                <w:rFonts w:hint="eastAsia" w:ascii="仿宋" w:hAnsi="仿宋" w:eastAsia="仿宋" w:cs="仿宋"/>
                <w:szCs w:val="21"/>
                <w:u w:val="single"/>
              </w:rPr>
              <w:t xml:space="preserve"> 20</w:t>
            </w:r>
            <w:r>
              <w:rPr>
                <w:rFonts w:hint="eastAsia" w:ascii="仿宋" w:hAnsi="仿宋" w:eastAsia="仿宋" w:cs="仿宋"/>
                <w:szCs w:val="21"/>
              </w:rPr>
              <w:t>%</w:t>
            </w:r>
          </w:p>
        </w:tc>
      </w:tr>
      <w:tr w14:paraId="5FAAB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2" w:hRule="atLeast"/>
          <w:jc w:val="center"/>
        </w:trPr>
        <w:tc>
          <w:tcPr>
            <w:tcW w:w="865" w:type="dxa"/>
            <w:gridSpan w:val="2"/>
            <w:vMerge w:val="restart"/>
            <w:tcBorders>
              <w:top w:val="single" w:color="auto" w:sz="4" w:space="0"/>
              <w:right w:val="single" w:color="auto" w:sz="4" w:space="0"/>
            </w:tcBorders>
            <w:vAlign w:val="center"/>
          </w:tcPr>
          <w:p w14:paraId="53CBB704">
            <w:pPr>
              <w:jc w:val="center"/>
              <w:rPr>
                <w:rFonts w:ascii="仿宋" w:hAnsi="仿宋" w:eastAsia="仿宋" w:cs="仿宋"/>
                <w:szCs w:val="21"/>
              </w:rPr>
            </w:pPr>
            <w:r>
              <w:rPr>
                <w:rFonts w:hint="eastAsia" w:ascii="仿宋" w:hAnsi="仿宋" w:eastAsia="仿宋" w:cs="仿宋"/>
                <w:szCs w:val="21"/>
              </w:rPr>
              <w:t>2.3.2</w:t>
            </w:r>
          </w:p>
        </w:tc>
        <w:tc>
          <w:tcPr>
            <w:tcW w:w="1047" w:type="dxa"/>
            <w:vMerge w:val="restart"/>
            <w:tcBorders>
              <w:top w:val="single" w:color="auto" w:sz="4" w:space="0"/>
              <w:right w:val="single" w:color="auto" w:sz="4" w:space="0"/>
            </w:tcBorders>
            <w:vAlign w:val="center"/>
          </w:tcPr>
          <w:p w14:paraId="4938F26A">
            <w:pPr>
              <w:jc w:val="center"/>
              <w:rPr>
                <w:rFonts w:ascii="仿宋" w:hAnsi="仿宋" w:eastAsia="仿宋" w:cs="仿宋"/>
                <w:szCs w:val="21"/>
              </w:rPr>
            </w:pPr>
            <w:r>
              <w:rPr>
                <w:rFonts w:hint="eastAsia" w:ascii="仿宋" w:hAnsi="仿宋" w:eastAsia="仿宋" w:cs="仿宋"/>
                <w:szCs w:val="21"/>
              </w:rPr>
              <w:t>商务技术评分标准</w:t>
            </w:r>
          </w:p>
        </w:tc>
        <w:tc>
          <w:tcPr>
            <w:tcW w:w="1838" w:type="dxa"/>
            <w:tcBorders>
              <w:top w:val="single" w:color="auto" w:sz="4" w:space="0"/>
              <w:left w:val="single" w:color="auto" w:sz="4" w:space="0"/>
              <w:bottom w:val="single" w:color="auto" w:sz="4" w:space="0"/>
            </w:tcBorders>
            <w:vAlign w:val="center"/>
          </w:tcPr>
          <w:p w14:paraId="28B89DCF">
            <w:pPr>
              <w:tabs>
                <w:tab w:val="left" w:pos="0"/>
              </w:tabs>
              <w:jc w:val="center"/>
              <w:rPr>
                <w:rFonts w:ascii="仿宋" w:hAnsi="仿宋" w:eastAsia="仿宋" w:cs="仿宋"/>
                <w:szCs w:val="21"/>
              </w:rPr>
            </w:pPr>
            <w:r>
              <w:rPr>
                <w:rFonts w:hint="eastAsia" w:ascii="仿宋" w:hAnsi="仿宋" w:eastAsia="仿宋" w:cs="仿宋"/>
                <w:szCs w:val="21"/>
              </w:rPr>
              <w:t>评审因素</w:t>
            </w:r>
          </w:p>
        </w:tc>
        <w:tc>
          <w:tcPr>
            <w:tcW w:w="5289" w:type="dxa"/>
            <w:tcBorders>
              <w:top w:val="single" w:color="auto" w:sz="4" w:space="0"/>
              <w:left w:val="single" w:color="auto" w:sz="4" w:space="0"/>
              <w:bottom w:val="single" w:color="auto" w:sz="4" w:space="0"/>
            </w:tcBorders>
            <w:vAlign w:val="center"/>
          </w:tcPr>
          <w:p w14:paraId="4D8AC4BF">
            <w:pPr>
              <w:autoSpaceDE w:val="0"/>
              <w:autoSpaceDN w:val="0"/>
              <w:jc w:val="center"/>
              <w:rPr>
                <w:rFonts w:ascii="仿宋" w:hAnsi="仿宋" w:eastAsia="仿宋" w:cs="仿宋"/>
                <w:szCs w:val="21"/>
              </w:rPr>
            </w:pPr>
            <w:r>
              <w:rPr>
                <w:rFonts w:hint="eastAsia" w:ascii="仿宋" w:hAnsi="仿宋" w:eastAsia="仿宋" w:cs="仿宋"/>
                <w:szCs w:val="21"/>
              </w:rPr>
              <w:t>评审标准（分值）</w:t>
            </w:r>
          </w:p>
        </w:tc>
      </w:tr>
      <w:tr w14:paraId="2CF04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64" w:hRule="atLeast"/>
          <w:jc w:val="center"/>
        </w:trPr>
        <w:tc>
          <w:tcPr>
            <w:tcW w:w="865" w:type="dxa"/>
            <w:gridSpan w:val="2"/>
            <w:vMerge w:val="continue"/>
            <w:tcBorders>
              <w:top w:val="single" w:color="auto" w:sz="4" w:space="0"/>
              <w:right w:val="single" w:color="auto" w:sz="4" w:space="0"/>
            </w:tcBorders>
            <w:vAlign w:val="center"/>
          </w:tcPr>
          <w:p w14:paraId="331D4C39">
            <w:pPr>
              <w:jc w:val="center"/>
              <w:rPr>
                <w:rFonts w:ascii="仿宋" w:hAnsi="仿宋" w:eastAsia="仿宋" w:cs="仿宋"/>
                <w:szCs w:val="21"/>
              </w:rPr>
            </w:pPr>
          </w:p>
        </w:tc>
        <w:tc>
          <w:tcPr>
            <w:tcW w:w="1047" w:type="dxa"/>
            <w:vMerge w:val="continue"/>
            <w:tcBorders>
              <w:top w:val="single" w:color="auto" w:sz="4" w:space="0"/>
              <w:right w:val="single" w:color="auto" w:sz="4" w:space="0"/>
            </w:tcBorders>
            <w:vAlign w:val="center"/>
          </w:tcPr>
          <w:p w14:paraId="0602044C">
            <w:pPr>
              <w:jc w:val="center"/>
              <w:rPr>
                <w:rFonts w:ascii="仿宋" w:hAnsi="仿宋" w:eastAsia="仿宋" w:cs="仿宋"/>
                <w:szCs w:val="21"/>
              </w:rPr>
            </w:pPr>
          </w:p>
        </w:tc>
        <w:tc>
          <w:tcPr>
            <w:tcW w:w="7127" w:type="dxa"/>
            <w:gridSpan w:val="2"/>
            <w:tcBorders>
              <w:top w:val="single" w:color="auto" w:sz="4" w:space="0"/>
              <w:left w:val="single" w:color="auto" w:sz="4" w:space="0"/>
              <w:bottom w:val="single" w:color="auto" w:sz="4" w:space="0"/>
            </w:tcBorders>
          </w:tcPr>
          <w:p w14:paraId="166B8611">
            <w:pPr>
              <w:tabs>
                <w:tab w:val="left" w:pos="0"/>
              </w:tabs>
              <w:rPr>
                <w:rFonts w:ascii="仿宋" w:hAnsi="仿宋" w:eastAsia="仿宋" w:cs="仿宋"/>
                <w:bCs/>
                <w:szCs w:val="21"/>
              </w:rPr>
            </w:pPr>
            <w:r>
              <w:rPr>
                <w:rFonts w:hint="eastAsia" w:ascii="仿宋" w:hAnsi="仿宋" w:eastAsia="仿宋" w:cs="仿宋"/>
                <w:bCs/>
                <w:szCs w:val="21"/>
              </w:rPr>
              <w:t>见商务技术评分标准附表。</w:t>
            </w:r>
          </w:p>
          <w:p w14:paraId="36030554">
            <w:pPr>
              <w:tabs>
                <w:tab w:val="left" w:pos="0"/>
              </w:tabs>
              <w:rPr>
                <w:rFonts w:ascii="仿宋" w:hAnsi="仿宋" w:eastAsia="仿宋" w:cs="仿宋"/>
                <w:szCs w:val="21"/>
              </w:rPr>
            </w:pPr>
            <w:r>
              <w:rPr>
                <w:rFonts w:hint="eastAsia" w:ascii="仿宋" w:hAnsi="仿宋" w:eastAsia="仿宋" w:cs="仿宋"/>
                <w:szCs w:val="21"/>
              </w:rPr>
              <w:t>说明：各评委成员按上述评分内容进行评定，每人一张评分计算表，由评标委员会成员各自评定独立打分并记实名。如某张表的一项评分内容分值超过规定的范围，则该张表无效。评标委员会成员对供应商的各项评分内容评分的合计分的算术平均值为该供应商技术资信的最终得分。</w:t>
            </w:r>
            <w:r>
              <w:rPr>
                <w:rFonts w:hint="eastAsia" w:ascii="仿宋" w:hAnsi="仿宋" w:eastAsia="仿宋" w:cs="仿宋"/>
                <w:b/>
                <w:bCs/>
                <w:szCs w:val="21"/>
              </w:rPr>
              <w:t>注：评审小组成员个人主观打分偏离所有评审小组成员主观打分平均值30%以上的，由评审委员会启动评分畸高、畸低行为认定程序，限制专家自由裁量权。如评委对各供应商的技术标分值出现明显偏高或偏低情况的，该评委需阐述理由，并向招标人提交书面说明。</w:t>
            </w:r>
          </w:p>
        </w:tc>
      </w:tr>
      <w:tr w14:paraId="4C96F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912" w:type="dxa"/>
            <w:gridSpan w:val="3"/>
            <w:tcBorders>
              <w:top w:val="single" w:color="auto" w:sz="4" w:space="0"/>
              <w:bottom w:val="single" w:color="auto" w:sz="4" w:space="0"/>
              <w:right w:val="single" w:color="auto" w:sz="4" w:space="0"/>
            </w:tcBorders>
            <w:vAlign w:val="center"/>
          </w:tcPr>
          <w:p w14:paraId="19192572">
            <w:pPr>
              <w:jc w:val="center"/>
              <w:rPr>
                <w:rFonts w:ascii="仿宋" w:hAnsi="仿宋" w:eastAsia="仿宋" w:cs="仿宋"/>
                <w:szCs w:val="21"/>
              </w:rPr>
            </w:pPr>
            <w:r>
              <w:rPr>
                <w:rFonts w:hint="eastAsia" w:ascii="仿宋" w:hAnsi="仿宋" w:eastAsia="仿宋" w:cs="仿宋"/>
                <w:szCs w:val="21"/>
              </w:rPr>
              <w:t>2.3.3</w:t>
            </w:r>
          </w:p>
        </w:tc>
        <w:tc>
          <w:tcPr>
            <w:tcW w:w="1838" w:type="dxa"/>
            <w:tcBorders>
              <w:top w:val="single" w:color="auto" w:sz="4" w:space="0"/>
              <w:left w:val="single" w:color="auto" w:sz="4" w:space="0"/>
              <w:bottom w:val="single" w:color="auto" w:sz="4" w:space="0"/>
              <w:right w:val="single" w:color="auto" w:sz="4" w:space="0"/>
            </w:tcBorders>
            <w:vAlign w:val="center"/>
          </w:tcPr>
          <w:p w14:paraId="74BE57EF">
            <w:pPr>
              <w:jc w:val="center"/>
              <w:rPr>
                <w:rFonts w:ascii="仿宋" w:hAnsi="仿宋" w:eastAsia="仿宋" w:cs="仿宋"/>
                <w:szCs w:val="21"/>
              </w:rPr>
            </w:pPr>
            <w:r>
              <w:rPr>
                <w:rFonts w:hint="eastAsia" w:ascii="仿宋" w:hAnsi="仿宋" w:eastAsia="仿宋" w:cs="仿宋"/>
                <w:szCs w:val="21"/>
              </w:rPr>
              <w:t>报价评分标准（低价优先法）</w:t>
            </w:r>
          </w:p>
        </w:tc>
        <w:tc>
          <w:tcPr>
            <w:tcW w:w="5289" w:type="dxa"/>
            <w:tcBorders>
              <w:top w:val="single" w:color="auto" w:sz="4" w:space="0"/>
              <w:left w:val="single" w:color="auto" w:sz="4" w:space="0"/>
              <w:bottom w:val="single" w:color="auto" w:sz="4" w:space="0"/>
            </w:tcBorders>
            <w:vAlign w:val="center"/>
          </w:tcPr>
          <w:p w14:paraId="45405DA4">
            <w:pPr>
              <w:snapToGrid w:val="0"/>
              <w:outlineLvl w:val="0"/>
              <w:rPr>
                <w:rFonts w:ascii="仿宋" w:hAnsi="仿宋" w:eastAsia="仿宋" w:cs="仿宋"/>
                <w:szCs w:val="21"/>
              </w:rPr>
            </w:pPr>
            <w:r>
              <w:rPr>
                <w:rFonts w:hint="eastAsia" w:ascii="仿宋" w:hAnsi="仿宋" w:eastAsia="仿宋" w:cs="仿宋"/>
                <w:szCs w:val="21"/>
              </w:rPr>
              <w:t>磋商报价得分=（磋商基准价/最后磋商报价）×价格权值×100</w:t>
            </w:r>
          </w:p>
          <w:p w14:paraId="5155331F">
            <w:pPr>
              <w:pStyle w:val="6"/>
              <w:snapToGrid w:val="0"/>
              <w:spacing w:after="0"/>
              <w:ind w:firstLine="0" w:firstLineChars="0"/>
              <w:rPr>
                <w:rFonts w:ascii="仿宋" w:hAnsi="仿宋" w:eastAsia="仿宋" w:cs="仿宋"/>
                <w:szCs w:val="21"/>
              </w:rPr>
            </w:pPr>
            <w:r>
              <w:rPr>
                <w:rFonts w:hint="eastAsia" w:ascii="仿宋" w:hAnsi="仿宋" w:eastAsia="仿宋" w:cs="仿宋"/>
                <w:szCs w:val="21"/>
              </w:rPr>
              <w:t>（1）即满足磋商文件要求且最后磋商报价最低的（投标报价）供应商的有效价格为磋商基准价。</w:t>
            </w:r>
          </w:p>
        </w:tc>
      </w:tr>
      <w:tr w14:paraId="735C6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7" w:hRule="atLeast"/>
          <w:jc w:val="center"/>
        </w:trPr>
        <w:tc>
          <w:tcPr>
            <w:tcW w:w="1912" w:type="dxa"/>
            <w:gridSpan w:val="3"/>
            <w:tcBorders>
              <w:top w:val="single" w:color="auto" w:sz="4" w:space="0"/>
              <w:bottom w:val="single" w:color="auto" w:sz="4" w:space="0"/>
              <w:right w:val="single" w:color="auto" w:sz="4" w:space="0"/>
            </w:tcBorders>
            <w:vAlign w:val="center"/>
          </w:tcPr>
          <w:p w14:paraId="57A412B2">
            <w:pPr>
              <w:jc w:val="center"/>
              <w:rPr>
                <w:rFonts w:ascii="仿宋" w:hAnsi="仿宋" w:eastAsia="仿宋" w:cs="仿宋"/>
                <w:szCs w:val="21"/>
              </w:rPr>
            </w:pPr>
            <w:bookmarkStart w:id="107" w:name="_Toc63189375"/>
            <w:bookmarkStart w:id="108" w:name="_Toc55302373"/>
            <w:r>
              <w:rPr>
                <w:rFonts w:hint="eastAsia" w:ascii="仿宋" w:hAnsi="仿宋" w:eastAsia="仿宋" w:cs="仿宋"/>
                <w:szCs w:val="21"/>
              </w:rPr>
              <w:t>2.3.3</w:t>
            </w:r>
          </w:p>
        </w:tc>
        <w:tc>
          <w:tcPr>
            <w:tcW w:w="1838" w:type="dxa"/>
            <w:tcBorders>
              <w:top w:val="single" w:color="auto" w:sz="4" w:space="0"/>
              <w:left w:val="single" w:color="auto" w:sz="4" w:space="0"/>
              <w:bottom w:val="single" w:color="auto" w:sz="4" w:space="0"/>
              <w:right w:val="single" w:color="auto" w:sz="4" w:space="0"/>
            </w:tcBorders>
            <w:vAlign w:val="center"/>
          </w:tcPr>
          <w:p w14:paraId="4C6E1AC5">
            <w:pPr>
              <w:jc w:val="center"/>
              <w:rPr>
                <w:rFonts w:ascii="仿宋" w:hAnsi="仿宋" w:eastAsia="仿宋" w:cs="仿宋"/>
                <w:szCs w:val="21"/>
              </w:rPr>
            </w:pPr>
            <w:r>
              <w:rPr>
                <w:rFonts w:hint="eastAsia" w:ascii="仿宋" w:hAnsi="仿宋" w:eastAsia="仿宋" w:cs="仿宋"/>
                <w:szCs w:val="21"/>
              </w:rPr>
              <w:t>落实政府采购政策需进行的价格扣除</w:t>
            </w:r>
          </w:p>
        </w:tc>
        <w:tc>
          <w:tcPr>
            <w:tcW w:w="5289" w:type="dxa"/>
            <w:tcBorders>
              <w:top w:val="single" w:color="auto" w:sz="4" w:space="0"/>
              <w:left w:val="single" w:color="auto" w:sz="4" w:space="0"/>
              <w:bottom w:val="single" w:color="auto" w:sz="4" w:space="0"/>
            </w:tcBorders>
            <w:shd w:val="clear" w:color="auto" w:fill="auto"/>
            <w:vAlign w:val="center"/>
          </w:tcPr>
          <w:p w14:paraId="3705C4D1">
            <w:pPr>
              <w:jc w:val="left"/>
              <w:rPr>
                <w:rFonts w:ascii="仿宋" w:hAnsi="仿宋" w:eastAsia="仿宋" w:cs="仿宋"/>
                <w:szCs w:val="21"/>
              </w:rPr>
            </w:pPr>
            <w:r>
              <w:rPr>
                <w:rFonts w:hint="eastAsia" w:ascii="仿宋" w:hAnsi="仿宋" w:eastAsia="仿宋" w:cs="仿宋"/>
                <w:szCs w:val="21"/>
              </w:rPr>
              <w:t>本项目为专门面向中小企业采购的项目，不再执行价格评审优惠的扶持政策。</w:t>
            </w:r>
          </w:p>
        </w:tc>
      </w:tr>
      <w:tr w14:paraId="32E92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03" w:hRule="atLeast"/>
          <w:jc w:val="center"/>
        </w:trPr>
        <w:tc>
          <w:tcPr>
            <w:tcW w:w="1912" w:type="dxa"/>
            <w:gridSpan w:val="3"/>
            <w:tcBorders>
              <w:top w:val="single" w:color="auto" w:sz="4" w:space="0"/>
              <w:bottom w:val="single" w:color="auto" w:sz="4" w:space="0"/>
              <w:right w:val="single" w:color="auto" w:sz="4" w:space="0"/>
            </w:tcBorders>
            <w:vAlign w:val="center"/>
          </w:tcPr>
          <w:p w14:paraId="3B6241E6">
            <w:pPr>
              <w:jc w:val="center"/>
              <w:rPr>
                <w:rFonts w:ascii="仿宋" w:hAnsi="仿宋" w:eastAsia="仿宋" w:cs="仿宋"/>
                <w:szCs w:val="21"/>
              </w:rPr>
            </w:pPr>
            <w:r>
              <w:rPr>
                <w:rFonts w:hint="eastAsia" w:ascii="仿宋" w:hAnsi="仿宋" w:eastAsia="仿宋" w:cs="仿宋"/>
                <w:szCs w:val="21"/>
              </w:rPr>
              <w:t>备注</w:t>
            </w:r>
          </w:p>
        </w:tc>
        <w:tc>
          <w:tcPr>
            <w:tcW w:w="7127" w:type="dxa"/>
            <w:gridSpan w:val="2"/>
            <w:tcBorders>
              <w:top w:val="single" w:color="auto" w:sz="4" w:space="0"/>
              <w:left w:val="single" w:color="auto" w:sz="4" w:space="0"/>
              <w:bottom w:val="single" w:color="auto" w:sz="4" w:space="0"/>
            </w:tcBorders>
            <w:vAlign w:val="center"/>
          </w:tcPr>
          <w:p w14:paraId="4386F0A4">
            <w:pPr>
              <w:snapToGrid w:val="0"/>
              <w:spacing w:line="360" w:lineRule="auto"/>
              <w:jc w:val="left"/>
              <w:rPr>
                <w:rFonts w:ascii="仿宋" w:hAnsi="仿宋" w:eastAsia="仿宋" w:cs="仿宋"/>
                <w:b/>
                <w:szCs w:val="21"/>
                <w:u w:val="single"/>
              </w:rPr>
            </w:pPr>
            <w:r>
              <w:rPr>
                <w:rFonts w:hint="eastAsia" w:ascii="仿宋" w:hAnsi="仿宋" w:eastAsia="仿宋" w:cs="仿宋"/>
                <w:b/>
                <w:szCs w:val="21"/>
                <w:u w:val="single"/>
              </w:rPr>
              <w:t>根据《关于推动解决政府采购异常低价问题的通知》财库〔2026〕2号文件规定：政府采购评审中出现下列情形之一的，评审委员会应当启动异常低价投标（响应）审查程序：</w:t>
            </w:r>
          </w:p>
          <w:p w14:paraId="2ACAA67C">
            <w:pPr>
              <w:snapToGrid w:val="0"/>
              <w:spacing w:line="360" w:lineRule="auto"/>
              <w:jc w:val="left"/>
              <w:rPr>
                <w:rFonts w:ascii="仿宋" w:hAnsi="仿宋" w:eastAsia="仿宋" w:cs="仿宋"/>
                <w:b/>
                <w:szCs w:val="21"/>
                <w:u w:val="single"/>
              </w:rPr>
            </w:pPr>
            <w:r>
              <w:rPr>
                <w:rFonts w:hint="eastAsia" w:ascii="仿宋" w:hAnsi="仿宋" w:eastAsia="仿宋" w:cs="仿宋"/>
                <w:b/>
                <w:szCs w:val="21"/>
                <w:u w:val="single"/>
              </w:rPr>
              <w:t>（一）投标（响应）报价低于全部通过符合性审查供应商投标（响应）报价平均值50%的，即投标（响应）报价&lt;全部通过符合性审查供应商投标（响应）报价平均值×50%；</w:t>
            </w:r>
          </w:p>
          <w:p w14:paraId="3B61B3E5">
            <w:pPr>
              <w:snapToGrid w:val="0"/>
              <w:spacing w:line="360" w:lineRule="auto"/>
              <w:jc w:val="left"/>
              <w:rPr>
                <w:rFonts w:ascii="仿宋" w:hAnsi="仿宋" w:eastAsia="仿宋" w:cs="仿宋"/>
                <w:b/>
                <w:szCs w:val="21"/>
                <w:u w:val="single"/>
              </w:rPr>
            </w:pPr>
            <w:r>
              <w:rPr>
                <w:rFonts w:hint="eastAsia" w:ascii="仿宋" w:hAnsi="仿宋" w:eastAsia="仿宋" w:cs="仿宋"/>
                <w:b/>
                <w:szCs w:val="21"/>
                <w:u w:val="single"/>
              </w:rPr>
              <w:t>（二）投标（响应）报价低于通过符合性审查且报价次低供应商投标（响应）报价50%的，即投标（响应）报价&lt;通过符合性审查且报价次低供应商投标（响应）报价×50%；</w:t>
            </w:r>
          </w:p>
          <w:p w14:paraId="2E3F31A8">
            <w:pPr>
              <w:snapToGrid w:val="0"/>
              <w:spacing w:line="360" w:lineRule="auto"/>
              <w:jc w:val="left"/>
              <w:rPr>
                <w:rFonts w:ascii="仿宋" w:hAnsi="仿宋" w:eastAsia="仿宋" w:cs="仿宋"/>
                <w:b/>
                <w:szCs w:val="21"/>
                <w:u w:val="single"/>
              </w:rPr>
            </w:pPr>
            <w:r>
              <w:rPr>
                <w:rFonts w:hint="eastAsia" w:ascii="仿宋" w:hAnsi="仿宋" w:eastAsia="仿宋" w:cs="仿宋"/>
                <w:b/>
                <w:szCs w:val="21"/>
                <w:u w:val="single"/>
              </w:rPr>
              <w:t>（三）投标（响应）报价低于采购项目最高限价45%的，即投标（响应）报价&lt;采购项目最高限价×45%；</w:t>
            </w:r>
          </w:p>
          <w:p w14:paraId="4960CF39">
            <w:pPr>
              <w:snapToGrid w:val="0"/>
              <w:spacing w:line="360" w:lineRule="auto"/>
              <w:jc w:val="left"/>
              <w:rPr>
                <w:rFonts w:ascii="仿宋" w:hAnsi="仿宋" w:eastAsia="仿宋" w:cs="仿宋"/>
                <w:b/>
                <w:szCs w:val="21"/>
                <w:u w:val="single"/>
              </w:rPr>
            </w:pPr>
            <w:r>
              <w:rPr>
                <w:rFonts w:hint="eastAsia" w:ascii="仿宋" w:hAnsi="仿宋" w:eastAsia="仿宋" w:cs="仿宋"/>
                <w:b/>
                <w:szCs w:val="21"/>
                <w:u w:val="single"/>
              </w:rPr>
              <w:t>（四）其他评审委员会认为供应商报价过低，有可能影响产品质量或者不能诚信履约的情形。</w:t>
            </w:r>
          </w:p>
          <w:p w14:paraId="21FAABB4">
            <w:pPr>
              <w:snapToGrid w:val="0"/>
              <w:spacing w:line="360" w:lineRule="auto"/>
              <w:jc w:val="left"/>
              <w:rPr>
                <w:rFonts w:ascii="仿宋" w:hAnsi="仿宋" w:eastAsia="仿宋" w:cs="仿宋"/>
                <w:b/>
                <w:szCs w:val="21"/>
                <w:u w:val="single"/>
              </w:rPr>
            </w:pPr>
            <w:r>
              <w:rPr>
                <w:rFonts w:hint="eastAsia" w:ascii="仿宋" w:hAnsi="仿宋" w:eastAsia="仿宋" w:cs="仿宋"/>
                <w:b/>
                <w:szCs w:val="21"/>
                <w:u w:val="single"/>
              </w:rPr>
              <w:t>评审委员会启动异常低价投标（响应）审查后，应当要求相关供应商在评审现场合理的时间内提供书面说明及必要的证明材料，对投标（响应）价格作出解释，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99E4BF">
            <w:pPr>
              <w:snapToGrid w:val="0"/>
              <w:spacing w:line="360" w:lineRule="auto"/>
              <w:jc w:val="left"/>
              <w:rPr>
                <w:rFonts w:ascii="仿宋" w:hAnsi="仿宋" w:eastAsia="仿宋" w:cs="仿宋"/>
                <w:b/>
                <w:szCs w:val="21"/>
                <w:u w:val="single"/>
              </w:rPr>
            </w:pPr>
            <w:r>
              <w:rPr>
                <w:rFonts w:hint="eastAsia" w:ascii="仿宋" w:hAnsi="仿宋" w:eastAsia="仿宋" w:cs="仿宋"/>
                <w:b/>
                <w:szCs w:val="21"/>
                <w:u w:val="single"/>
              </w:rPr>
              <w:t>投标（响应）供应商不能提供书面说明、证明材料，或者提供的书面说明、证明材料不能证明其报价合理性的，评审委员会应当将其作为无效投标（响应）处理。</w:t>
            </w:r>
          </w:p>
        </w:tc>
      </w:tr>
    </w:tbl>
    <w:p w14:paraId="360BD7E1">
      <w:pPr>
        <w:rPr>
          <w:rFonts w:ascii="仿宋" w:hAnsi="仿宋" w:eastAsia="仿宋" w:cs="仿宋"/>
          <w:sz w:val="24"/>
        </w:rPr>
      </w:pPr>
      <w:r>
        <w:rPr>
          <w:rFonts w:hint="eastAsia" w:ascii="仿宋" w:hAnsi="仿宋" w:eastAsia="仿宋" w:cs="仿宋"/>
          <w:sz w:val="24"/>
        </w:rPr>
        <w:br w:type="page"/>
      </w:r>
    </w:p>
    <w:p w14:paraId="7F65AA40">
      <w:pPr>
        <w:spacing w:line="460" w:lineRule="exact"/>
        <w:ind w:firstLine="361" w:firstLineChars="150"/>
        <w:rPr>
          <w:rFonts w:ascii="仿宋" w:hAnsi="仿宋" w:eastAsia="仿宋" w:cs="仿宋"/>
          <w:kern w:val="0"/>
          <w:sz w:val="22"/>
          <w:szCs w:val="22"/>
        </w:rPr>
      </w:pPr>
      <w:r>
        <w:rPr>
          <w:rFonts w:hint="eastAsia" w:ascii="仿宋" w:hAnsi="仿宋" w:eastAsia="仿宋" w:cs="仿宋"/>
          <w:b/>
          <w:bCs/>
          <w:sz w:val="24"/>
        </w:rPr>
        <w:t>商务技术评分标准附表</w:t>
      </w:r>
    </w:p>
    <w:tbl>
      <w:tblPr>
        <w:tblStyle w:val="16"/>
        <w:tblW w:w="94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897"/>
        <w:gridCol w:w="6729"/>
      </w:tblGrid>
      <w:tr w14:paraId="38F7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420" w:type="dxa"/>
            <w:gridSpan w:val="3"/>
            <w:vAlign w:val="center"/>
          </w:tcPr>
          <w:p w14:paraId="7A415F71">
            <w:pPr>
              <w:snapToGrid w:val="0"/>
              <w:textAlignment w:val="baseline"/>
              <w:rPr>
                <w:rFonts w:ascii="仿宋" w:hAnsi="仿宋" w:eastAsia="仿宋" w:cs="仿宋"/>
                <w:b/>
                <w:szCs w:val="21"/>
              </w:rPr>
            </w:pPr>
            <w:r>
              <w:rPr>
                <w:rFonts w:hint="eastAsia" w:ascii="仿宋" w:hAnsi="仿宋" w:eastAsia="仿宋" w:cs="仿宋"/>
                <w:b/>
                <w:szCs w:val="21"/>
              </w:rPr>
              <w:t>（1）技术方案部分（页数建议不超过80页，超过部分专家可以不予评审）</w:t>
            </w:r>
          </w:p>
        </w:tc>
      </w:tr>
      <w:tr w14:paraId="7447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94" w:type="dxa"/>
            <w:vAlign w:val="center"/>
          </w:tcPr>
          <w:p w14:paraId="09BE6427">
            <w:pPr>
              <w:snapToGrid w:val="0"/>
              <w:jc w:val="center"/>
              <w:textAlignment w:val="baseline"/>
              <w:rPr>
                <w:rFonts w:ascii="仿宋" w:hAnsi="仿宋" w:eastAsia="仿宋" w:cs="仿宋"/>
                <w:szCs w:val="21"/>
              </w:rPr>
            </w:pPr>
            <w:r>
              <w:rPr>
                <w:rFonts w:hint="eastAsia" w:ascii="仿宋" w:hAnsi="仿宋" w:eastAsia="仿宋" w:cs="仿宋"/>
                <w:szCs w:val="21"/>
              </w:rPr>
              <w:t>评分内容</w:t>
            </w:r>
          </w:p>
        </w:tc>
        <w:tc>
          <w:tcPr>
            <w:tcW w:w="897" w:type="dxa"/>
            <w:vAlign w:val="center"/>
          </w:tcPr>
          <w:p w14:paraId="6814F4D9">
            <w:pPr>
              <w:snapToGrid w:val="0"/>
              <w:jc w:val="center"/>
              <w:textAlignment w:val="baseline"/>
              <w:rPr>
                <w:rFonts w:ascii="仿宋" w:hAnsi="仿宋" w:eastAsia="仿宋" w:cs="仿宋"/>
                <w:szCs w:val="21"/>
              </w:rPr>
            </w:pPr>
            <w:r>
              <w:rPr>
                <w:rFonts w:hint="eastAsia" w:ascii="仿宋" w:hAnsi="仿宋" w:eastAsia="仿宋" w:cs="仿宋"/>
                <w:szCs w:val="21"/>
              </w:rPr>
              <w:t>分值</w:t>
            </w:r>
          </w:p>
        </w:tc>
        <w:tc>
          <w:tcPr>
            <w:tcW w:w="6729" w:type="dxa"/>
            <w:vAlign w:val="center"/>
          </w:tcPr>
          <w:p w14:paraId="07020A05">
            <w:pPr>
              <w:snapToGrid w:val="0"/>
              <w:jc w:val="center"/>
              <w:textAlignment w:val="baseline"/>
              <w:rPr>
                <w:rFonts w:ascii="仿宋" w:hAnsi="仿宋" w:eastAsia="仿宋" w:cs="仿宋"/>
                <w:szCs w:val="21"/>
              </w:rPr>
            </w:pPr>
            <w:r>
              <w:rPr>
                <w:rFonts w:hint="eastAsia" w:ascii="仿宋" w:hAnsi="仿宋" w:eastAsia="仿宋" w:cs="仿宋"/>
                <w:szCs w:val="21"/>
              </w:rPr>
              <w:t>评分说明</w:t>
            </w:r>
          </w:p>
        </w:tc>
      </w:tr>
      <w:tr w14:paraId="05C4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794" w:type="dxa"/>
            <w:vAlign w:val="center"/>
          </w:tcPr>
          <w:p w14:paraId="63AA2B34">
            <w:pPr>
              <w:snapToGrid w:val="0"/>
              <w:jc w:val="center"/>
              <w:textAlignment w:val="baseline"/>
              <w:rPr>
                <w:rFonts w:ascii="仿宋" w:hAnsi="仿宋" w:eastAsia="仿宋" w:cs="仿宋"/>
                <w:szCs w:val="21"/>
              </w:rPr>
            </w:pPr>
            <w:r>
              <w:rPr>
                <w:rFonts w:hint="eastAsia" w:ascii="仿宋" w:hAnsi="仿宋" w:eastAsia="仿宋" w:cs="仿宋"/>
                <w:szCs w:val="21"/>
              </w:rPr>
              <w:t>1.1项目情况分析</w:t>
            </w:r>
          </w:p>
        </w:tc>
        <w:tc>
          <w:tcPr>
            <w:tcW w:w="897" w:type="dxa"/>
            <w:vAlign w:val="center"/>
          </w:tcPr>
          <w:p w14:paraId="12485CE9">
            <w:pPr>
              <w:snapToGrid w:val="0"/>
              <w:jc w:val="center"/>
              <w:textAlignment w:val="baseline"/>
              <w:rPr>
                <w:rFonts w:ascii="仿宋" w:hAnsi="仿宋" w:eastAsia="仿宋" w:cs="仿宋"/>
                <w:szCs w:val="21"/>
              </w:rPr>
            </w:pPr>
            <w:r>
              <w:rPr>
                <w:rFonts w:hint="eastAsia" w:ascii="仿宋" w:hAnsi="仿宋" w:eastAsia="仿宋" w:cs="仿宋"/>
                <w:szCs w:val="21"/>
              </w:rPr>
              <w:t>6分</w:t>
            </w:r>
          </w:p>
        </w:tc>
        <w:tc>
          <w:tcPr>
            <w:tcW w:w="6729" w:type="dxa"/>
          </w:tcPr>
          <w:p w14:paraId="7D210326">
            <w:pPr>
              <w:snapToGrid w:val="0"/>
              <w:jc w:val="left"/>
              <w:textAlignment w:val="baseline"/>
              <w:rPr>
                <w:rFonts w:ascii="仿宋" w:hAnsi="仿宋" w:eastAsia="仿宋" w:cs="仿宋"/>
                <w:szCs w:val="21"/>
              </w:rPr>
            </w:pPr>
            <w:r>
              <w:rPr>
                <w:rFonts w:hint="eastAsia" w:ascii="仿宋" w:hAnsi="仿宋" w:eastAsia="仿宋" w:cs="仿宋"/>
                <w:szCs w:val="21"/>
              </w:rPr>
              <w:t>根据投标人对本项目基本情况的了解、分析进行综合评审：</w:t>
            </w:r>
          </w:p>
          <w:p w14:paraId="7682C4F5">
            <w:pPr>
              <w:snapToGrid w:val="0"/>
              <w:jc w:val="left"/>
              <w:textAlignment w:val="baseline"/>
              <w:rPr>
                <w:rFonts w:ascii="仿宋" w:hAnsi="仿宋" w:eastAsia="仿宋" w:cs="仿宋"/>
                <w:szCs w:val="21"/>
              </w:rPr>
            </w:pPr>
            <w:r>
              <w:rPr>
                <w:rFonts w:hint="eastAsia" w:ascii="仿宋" w:hAnsi="仿宋" w:eastAsia="仿宋" w:cs="仿宋"/>
                <w:szCs w:val="21"/>
              </w:rPr>
              <w:t>了解透彻、分析到位，得6分</w:t>
            </w:r>
          </w:p>
          <w:p w14:paraId="11CAEA76">
            <w:pPr>
              <w:snapToGrid w:val="0"/>
              <w:jc w:val="left"/>
              <w:textAlignment w:val="baseline"/>
              <w:rPr>
                <w:rFonts w:ascii="仿宋" w:hAnsi="仿宋" w:eastAsia="仿宋" w:cs="仿宋"/>
                <w:szCs w:val="21"/>
              </w:rPr>
            </w:pPr>
            <w:r>
              <w:rPr>
                <w:rFonts w:hint="eastAsia" w:ascii="仿宋" w:hAnsi="仿宋" w:eastAsia="仿宋" w:cs="仿宋"/>
                <w:szCs w:val="21"/>
              </w:rPr>
              <w:t>了解较透彻、分析较到位，得4.5分</w:t>
            </w:r>
          </w:p>
          <w:p w14:paraId="3091634C">
            <w:pPr>
              <w:snapToGrid w:val="0"/>
              <w:jc w:val="left"/>
              <w:textAlignment w:val="baseline"/>
              <w:rPr>
                <w:rFonts w:ascii="仿宋" w:hAnsi="仿宋" w:eastAsia="仿宋" w:cs="仿宋"/>
                <w:szCs w:val="21"/>
              </w:rPr>
            </w:pPr>
            <w:r>
              <w:rPr>
                <w:rFonts w:hint="eastAsia" w:ascii="仿宋" w:hAnsi="仿宋" w:eastAsia="仿宋" w:cs="仿宋"/>
                <w:szCs w:val="21"/>
              </w:rPr>
              <w:t>了解分析一般，得3分</w:t>
            </w:r>
          </w:p>
          <w:p w14:paraId="549B1773">
            <w:pPr>
              <w:snapToGrid w:val="0"/>
              <w:jc w:val="left"/>
              <w:textAlignment w:val="baseline"/>
              <w:rPr>
                <w:rFonts w:ascii="仿宋" w:hAnsi="仿宋" w:eastAsia="仿宋" w:cs="仿宋"/>
                <w:szCs w:val="21"/>
              </w:rPr>
            </w:pPr>
            <w:r>
              <w:rPr>
                <w:rFonts w:hint="eastAsia" w:ascii="仿宋" w:hAnsi="仿宋" w:eastAsia="仿宋" w:cs="仿宋"/>
                <w:szCs w:val="21"/>
              </w:rPr>
              <w:t>了解分析内容简单或存在缺漏，得1分；</w:t>
            </w:r>
          </w:p>
          <w:p w14:paraId="5CDF837F">
            <w:pPr>
              <w:snapToGrid w:val="0"/>
              <w:jc w:val="left"/>
              <w:textAlignment w:val="baseline"/>
              <w:rPr>
                <w:rFonts w:ascii="仿宋" w:hAnsi="仿宋" w:eastAsia="仿宋" w:cs="仿宋"/>
                <w:szCs w:val="21"/>
              </w:rPr>
            </w:pPr>
            <w:r>
              <w:rPr>
                <w:rFonts w:hint="eastAsia" w:ascii="仿宋" w:hAnsi="仿宋" w:eastAsia="仿宋" w:cs="仿宋"/>
                <w:szCs w:val="21"/>
              </w:rPr>
              <w:t>无具体描述，得0分。</w:t>
            </w:r>
          </w:p>
        </w:tc>
      </w:tr>
      <w:tr w14:paraId="728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794" w:type="dxa"/>
            <w:vAlign w:val="center"/>
          </w:tcPr>
          <w:p w14:paraId="609ADB60">
            <w:pPr>
              <w:snapToGrid w:val="0"/>
              <w:jc w:val="center"/>
              <w:textAlignment w:val="baseline"/>
              <w:rPr>
                <w:rFonts w:ascii="仿宋" w:hAnsi="仿宋" w:eastAsia="仿宋" w:cs="仿宋"/>
                <w:szCs w:val="21"/>
              </w:rPr>
            </w:pPr>
            <w:r>
              <w:rPr>
                <w:rFonts w:hint="eastAsia" w:ascii="仿宋" w:hAnsi="仿宋" w:eastAsia="仿宋" w:cs="仿宋"/>
                <w:szCs w:val="21"/>
              </w:rPr>
              <w:t>1.2检测方案</w:t>
            </w:r>
          </w:p>
        </w:tc>
        <w:tc>
          <w:tcPr>
            <w:tcW w:w="897" w:type="dxa"/>
            <w:vAlign w:val="center"/>
          </w:tcPr>
          <w:p w14:paraId="2FDED1C9">
            <w:pPr>
              <w:snapToGrid w:val="0"/>
              <w:jc w:val="center"/>
              <w:textAlignment w:val="baseline"/>
              <w:rPr>
                <w:rFonts w:ascii="仿宋" w:hAnsi="仿宋" w:eastAsia="仿宋" w:cs="仿宋"/>
                <w:szCs w:val="21"/>
              </w:rPr>
            </w:pPr>
            <w:r>
              <w:rPr>
                <w:rFonts w:hint="eastAsia" w:ascii="仿宋" w:hAnsi="仿宋" w:eastAsia="仿宋" w:cs="仿宋"/>
                <w:szCs w:val="21"/>
              </w:rPr>
              <w:t>12分</w:t>
            </w:r>
          </w:p>
        </w:tc>
        <w:tc>
          <w:tcPr>
            <w:tcW w:w="6729" w:type="dxa"/>
          </w:tcPr>
          <w:p w14:paraId="1222D2AE">
            <w:pPr>
              <w:snapToGrid w:val="0"/>
              <w:jc w:val="left"/>
              <w:textAlignment w:val="baseline"/>
              <w:rPr>
                <w:rFonts w:ascii="仿宋" w:hAnsi="仿宋" w:eastAsia="仿宋" w:cs="仿宋"/>
                <w:szCs w:val="21"/>
              </w:rPr>
            </w:pPr>
            <w:r>
              <w:rPr>
                <w:rFonts w:hint="eastAsia" w:ascii="仿宋" w:hAnsi="仿宋" w:eastAsia="仿宋" w:cs="仿宋"/>
                <w:szCs w:val="21"/>
              </w:rPr>
              <w:t>内容齐全、方案完善、技术先进，得12分；</w:t>
            </w:r>
          </w:p>
          <w:p w14:paraId="5CF91BB3">
            <w:pPr>
              <w:snapToGrid w:val="0"/>
              <w:jc w:val="left"/>
              <w:textAlignment w:val="baseline"/>
              <w:rPr>
                <w:rFonts w:ascii="仿宋" w:hAnsi="仿宋" w:eastAsia="仿宋" w:cs="仿宋"/>
                <w:szCs w:val="21"/>
              </w:rPr>
            </w:pPr>
            <w:r>
              <w:rPr>
                <w:rFonts w:hint="eastAsia" w:ascii="仿宋" w:hAnsi="仿宋" w:eastAsia="仿宋" w:cs="仿宋"/>
                <w:szCs w:val="21"/>
              </w:rPr>
              <w:t>内容较齐全、方案较完善、技术较先进，得10分；</w:t>
            </w:r>
          </w:p>
          <w:p w14:paraId="5BA88E99">
            <w:pPr>
              <w:snapToGrid w:val="0"/>
              <w:jc w:val="left"/>
              <w:textAlignment w:val="baseline"/>
              <w:rPr>
                <w:rFonts w:ascii="仿宋" w:hAnsi="仿宋" w:eastAsia="仿宋" w:cs="仿宋"/>
                <w:szCs w:val="21"/>
              </w:rPr>
            </w:pPr>
            <w:r>
              <w:rPr>
                <w:rFonts w:hint="eastAsia" w:ascii="仿宋" w:hAnsi="仿宋" w:eastAsia="仿宋" w:cs="仿宋"/>
                <w:szCs w:val="21"/>
              </w:rPr>
              <w:t>内容基本齐全、方案基本完善、技术一般，得8分；</w:t>
            </w:r>
          </w:p>
          <w:p w14:paraId="6C7364FD">
            <w:pPr>
              <w:snapToGrid w:val="0"/>
              <w:jc w:val="left"/>
              <w:textAlignment w:val="baseline"/>
              <w:rPr>
                <w:rFonts w:ascii="仿宋" w:hAnsi="仿宋" w:eastAsia="仿宋" w:cs="仿宋"/>
                <w:szCs w:val="21"/>
              </w:rPr>
            </w:pPr>
            <w:r>
              <w:rPr>
                <w:rFonts w:hint="eastAsia" w:ascii="仿宋" w:hAnsi="仿宋" w:eastAsia="仿宋" w:cs="仿宋"/>
                <w:szCs w:val="21"/>
              </w:rPr>
              <w:t>内容、方案、技术一般但存在部分缺漏，得6分；</w:t>
            </w:r>
          </w:p>
          <w:p w14:paraId="21F61CD9">
            <w:pPr>
              <w:snapToGrid w:val="0"/>
              <w:jc w:val="left"/>
              <w:textAlignment w:val="baseline"/>
              <w:rPr>
                <w:rFonts w:ascii="仿宋" w:hAnsi="仿宋" w:eastAsia="仿宋" w:cs="仿宋"/>
                <w:szCs w:val="21"/>
              </w:rPr>
            </w:pPr>
            <w:r>
              <w:rPr>
                <w:rFonts w:hint="eastAsia" w:ascii="仿宋" w:hAnsi="仿宋" w:eastAsia="仿宋" w:cs="仿宋"/>
                <w:szCs w:val="21"/>
              </w:rPr>
              <w:t>内容较为简单或存在严重缺漏的，得3分；</w:t>
            </w:r>
          </w:p>
          <w:p w14:paraId="79BD69B3">
            <w:pPr>
              <w:snapToGrid w:val="0"/>
              <w:jc w:val="left"/>
              <w:textAlignment w:val="baseline"/>
              <w:rPr>
                <w:rFonts w:ascii="仿宋" w:hAnsi="仿宋" w:eastAsia="仿宋" w:cs="仿宋"/>
                <w:szCs w:val="21"/>
              </w:rPr>
            </w:pPr>
            <w:r>
              <w:rPr>
                <w:rFonts w:hint="eastAsia" w:ascii="仿宋" w:hAnsi="仿宋" w:eastAsia="仿宋" w:cs="仿宋"/>
                <w:szCs w:val="21"/>
              </w:rPr>
              <w:t>无具体描述，得0分。</w:t>
            </w:r>
          </w:p>
        </w:tc>
      </w:tr>
      <w:tr w14:paraId="2C77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794" w:type="dxa"/>
            <w:vAlign w:val="center"/>
          </w:tcPr>
          <w:p w14:paraId="24556A2E">
            <w:pPr>
              <w:ind w:right="3"/>
              <w:jc w:val="center"/>
              <w:rPr>
                <w:rFonts w:ascii="仿宋" w:hAnsi="仿宋" w:eastAsia="仿宋" w:cs="仿宋"/>
                <w:szCs w:val="21"/>
              </w:rPr>
            </w:pPr>
            <w:r>
              <w:rPr>
                <w:rFonts w:hint="eastAsia" w:ascii="仿宋" w:hAnsi="仿宋" w:eastAsia="仿宋" w:cs="仿宋"/>
                <w:szCs w:val="21"/>
              </w:rPr>
              <w:t>1.3重点、难点分析及建议</w:t>
            </w:r>
          </w:p>
        </w:tc>
        <w:tc>
          <w:tcPr>
            <w:tcW w:w="897" w:type="dxa"/>
            <w:vAlign w:val="center"/>
          </w:tcPr>
          <w:p w14:paraId="7BD7378E">
            <w:pPr>
              <w:ind w:right="3"/>
              <w:jc w:val="center"/>
              <w:rPr>
                <w:rFonts w:ascii="仿宋" w:hAnsi="仿宋" w:eastAsia="仿宋" w:cs="仿宋"/>
                <w:szCs w:val="21"/>
              </w:rPr>
            </w:pPr>
            <w:r>
              <w:rPr>
                <w:rFonts w:hint="eastAsia" w:ascii="仿宋" w:hAnsi="仿宋" w:eastAsia="仿宋" w:cs="仿宋"/>
                <w:szCs w:val="21"/>
              </w:rPr>
              <w:t>12分</w:t>
            </w:r>
          </w:p>
        </w:tc>
        <w:tc>
          <w:tcPr>
            <w:tcW w:w="6729" w:type="dxa"/>
            <w:vAlign w:val="center"/>
          </w:tcPr>
          <w:p w14:paraId="0A7B426B">
            <w:pPr>
              <w:snapToGrid w:val="0"/>
              <w:jc w:val="left"/>
              <w:textAlignment w:val="baseline"/>
              <w:rPr>
                <w:rFonts w:ascii="仿宋" w:hAnsi="仿宋" w:eastAsia="仿宋" w:cs="仿宋"/>
                <w:szCs w:val="21"/>
              </w:rPr>
            </w:pPr>
            <w:r>
              <w:rPr>
                <w:rFonts w:hint="eastAsia" w:ascii="仿宋" w:hAnsi="仿宋" w:eastAsia="仿宋" w:cs="仿宋"/>
                <w:szCs w:val="21"/>
              </w:rPr>
              <w:t>重点、难点分析准确，解决方案合理、完善，得12分；</w:t>
            </w:r>
          </w:p>
          <w:p w14:paraId="35AFB1DA">
            <w:pPr>
              <w:snapToGrid w:val="0"/>
              <w:jc w:val="left"/>
              <w:textAlignment w:val="baseline"/>
              <w:rPr>
                <w:rFonts w:ascii="仿宋" w:hAnsi="仿宋" w:eastAsia="仿宋" w:cs="仿宋"/>
                <w:szCs w:val="21"/>
              </w:rPr>
            </w:pPr>
            <w:r>
              <w:rPr>
                <w:rFonts w:hint="eastAsia" w:ascii="仿宋" w:hAnsi="仿宋" w:eastAsia="仿宋" w:cs="仿宋"/>
                <w:szCs w:val="21"/>
              </w:rPr>
              <w:t>重点、难点分析较准确，解决方案较合理、完善，得10分；</w:t>
            </w:r>
          </w:p>
          <w:p w14:paraId="3046CDC4">
            <w:pPr>
              <w:snapToGrid w:val="0"/>
              <w:jc w:val="left"/>
              <w:textAlignment w:val="baseline"/>
              <w:rPr>
                <w:rFonts w:ascii="仿宋" w:hAnsi="仿宋" w:eastAsia="仿宋" w:cs="仿宋"/>
                <w:szCs w:val="21"/>
              </w:rPr>
            </w:pPr>
            <w:r>
              <w:rPr>
                <w:rFonts w:hint="eastAsia" w:ascii="仿宋" w:hAnsi="仿宋" w:eastAsia="仿宋" w:cs="仿宋"/>
                <w:szCs w:val="21"/>
              </w:rPr>
              <w:t>重点、难点分析较准确，但解决方案一般，得8分；</w:t>
            </w:r>
          </w:p>
          <w:p w14:paraId="27509C51">
            <w:pPr>
              <w:snapToGrid w:val="0"/>
              <w:jc w:val="left"/>
              <w:textAlignment w:val="baseline"/>
              <w:rPr>
                <w:rFonts w:ascii="仿宋" w:hAnsi="仿宋" w:eastAsia="仿宋" w:cs="仿宋"/>
                <w:szCs w:val="21"/>
              </w:rPr>
            </w:pPr>
            <w:r>
              <w:rPr>
                <w:rFonts w:hint="eastAsia" w:ascii="仿宋" w:hAnsi="仿宋" w:eastAsia="仿宋" w:cs="仿宋"/>
                <w:szCs w:val="21"/>
              </w:rPr>
              <w:t>重点、难点分析一般，解决方案一般，得6分；</w:t>
            </w:r>
          </w:p>
          <w:p w14:paraId="5A89872C">
            <w:pPr>
              <w:snapToGrid w:val="0"/>
              <w:jc w:val="left"/>
              <w:textAlignment w:val="baseline"/>
              <w:rPr>
                <w:rFonts w:ascii="仿宋" w:hAnsi="仿宋" w:eastAsia="仿宋" w:cs="仿宋"/>
                <w:szCs w:val="21"/>
              </w:rPr>
            </w:pPr>
            <w:r>
              <w:rPr>
                <w:rFonts w:hint="eastAsia" w:ascii="仿宋" w:hAnsi="仿宋" w:eastAsia="仿宋" w:cs="仿宋"/>
                <w:szCs w:val="21"/>
              </w:rPr>
              <w:t>内容简单或存在缺漏，得3分；</w:t>
            </w:r>
          </w:p>
          <w:p w14:paraId="69138237">
            <w:pPr>
              <w:snapToGrid w:val="0"/>
              <w:jc w:val="left"/>
              <w:textAlignment w:val="baseline"/>
              <w:rPr>
                <w:rFonts w:ascii="仿宋" w:hAnsi="仿宋" w:eastAsia="仿宋" w:cs="仿宋"/>
                <w:szCs w:val="21"/>
              </w:rPr>
            </w:pPr>
            <w:r>
              <w:rPr>
                <w:rFonts w:hint="eastAsia" w:ascii="仿宋" w:hAnsi="仿宋" w:eastAsia="仿宋" w:cs="仿宋"/>
                <w:szCs w:val="21"/>
              </w:rPr>
              <w:t>无具体描述，得0分。</w:t>
            </w:r>
          </w:p>
        </w:tc>
      </w:tr>
      <w:tr w14:paraId="1AE2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794" w:type="dxa"/>
            <w:vAlign w:val="center"/>
          </w:tcPr>
          <w:p w14:paraId="7D841DAB">
            <w:pPr>
              <w:ind w:right="3"/>
              <w:jc w:val="center"/>
              <w:rPr>
                <w:rFonts w:ascii="仿宋" w:hAnsi="仿宋" w:eastAsia="仿宋" w:cs="仿宋"/>
                <w:szCs w:val="21"/>
              </w:rPr>
            </w:pPr>
            <w:r>
              <w:rPr>
                <w:rFonts w:hint="eastAsia" w:ascii="仿宋" w:hAnsi="仿宋" w:eastAsia="仿宋" w:cs="仿宋"/>
                <w:szCs w:val="21"/>
              </w:rPr>
              <w:t>1.4服务质量保证措施</w:t>
            </w:r>
          </w:p>
        </w:tc>
        <w:tc>
          <w:tcPr>
            <w:tcW w:w="897" w:type="dxa"/>
            <w:vAlign w:val="center"/>
          </w:tcPr>
          <w:p w14:paraId="50731252">
            <w:pPr>
              <w:ind w:right="6"/>
              <w:jc w:val="center"/>
              <w:rPr>
                <w:rFonts w:ascii="仿宋" w:hAnsi="仿宋" w:eastAsia="仿宋" w:cs="仿宋"/>
                <w:szCs w:val="21"/>
              </w:rPr>
            </w:pPr>
            <w:r>
              <w:rPr>
                <w:rFonts w:hint="eastAsia" w:ascii="仿宋" w:hAnsi="仿宋" w:eastAsia="仿宋" w:cs="仿宋"/>
                <w:bCs/>
                <w:kern w:val="28"/>
                <w:szCs w:val="21"/>
              </w:rPr>
              <w:t>8分</w:t>
            </w:r>
          </w:p>
        </w:tc>
        <w:tc>
          <w:tcPr>
            <w:tcW w:w="6729" w:type="dxa"/>
          </w:tcPr>
          <w:p w14:paraId="6992AE86">
            <w:pPr>
              <w:ind w:left="-50"/>
              <w:jc w:val="left"/>
              <w:rPr>
                <w:rFonts w:ascii="仿宋" w:hAnsi="仿宋" w:eastAsia="仿宋" w:cs="仿宋"/>
                <w:szCs w:val="21"/>
              </w:rPr>
            </w:pPr>
            <w:r>
              <w:rPr>
                <w:rFonts w:hint="eastAsia" w:ascii="仿宋" w:hAnsi="仿宋" w:eastAsia="仿宋" w:cs="仿宋"/>
                <w:szCs w:val="21"/>
              </w:rPr>
              <w:t>服务质量保证措施全面、合理，得8分；</w:t>
            </w:r>
          </w:p>
          <w:p w14:paraId="3B3E499C">
            <w:pPr>
              <w:ind w:left="-50"/>
              <w:jc w:val="left"/>
              <w:rPr>
                <w:rFonts w:ascii="仿宋" w:hAnsi="仿宋" w:eastAsia="仿宋" w:cs="仿宋"/>
                <w:szCs w:val="21"/>
              </w:rPr>
            </w:pPr>
            <w:r>
              <w:rPr>
                <w:rFonts w:hint="eastAsia" w:ascii="仿宋" w:hAnsi="仿宋" w:eastAsia="仿宋" w:cs="仿宋"/>
                <w:szCs w:val="21"/>
              </w:rPr>
              <w:t>服务质量保证措施较全面和合理，得6分；</w:t>
            </w:r>
          </w:p>
          <w:p w14:paraId="5F9AB3F8">
            <w:pPr>
              <w:ind w:left="-50"/>
              <w:jc w:val="left"/>
              <w:rPr>
                <w:rFonts w:ascii="仿宋" w:hAnsi="仿宋" w:eastAsia="仿宋" w:cs="仿宋"/>
                <w:szCs w:val="21"/>
              </w:rPr>
            </w:pPr>
            <w:r>
              <w:rPr>
                <w:rFonts w:hint="eastAsia" w:ascii="仿宋" w:hAnsi="仿宋" w:eastAsia="仿宋" w:cs="仿宋"/>
                <w:szCs w:val="21"/>
              </w:rPr>
              <w:t>服务质量保证措施一般，得4分；</w:t>
            </w:r>
          </w:p>
          <w:p w14:paraId="4CF72A2D">
            <w:pPr>
              <w:snapToGrid w:val="0"/>
              <w:jc w:val="left"/>
              <w:textAlignment w:val="baseline"/>
              <w:rPr>
                <w:rFonts w:ascii="仿宋" w:hAnsi="仿宋" w:eastAsia="仿宋" w:cs="仿宋"/>
                <w:szCs w:val="21"/>
              </w:rPr>
            </w:pPr>
            <w:r>
              <w:rPr>
                <w:rFonts w:hint="eastAsia" w:ascii="仿宋" w:hAnsi="仿宋" w:eastAsia="仿宋" w:cs="仿宋"/>
                <w:szCs w:val="21"/>
              </w:rPr>
              <w:t>内容简单或存在缺漏，得2分；</w:t>
            </w:r>
          </w:p>
          <w:p w14:paraId="4119EE91">
            <w:pPr>
              <w:pStyle w:val="6"/>
              <w:spacing w:after="0"/>
              <w:ind w:firstLine="0" w:firstLineChars="0"/>
              <w:rPr>
                <w:rFonts w:ascii="仿宋" w:hAnsi="仿宋" w:eastAsia="仿宋" w:cs="仿宋"/>
              </w:rPr>
            </w:pPr>
            <w:r>
              <w:rPr>
                <w:rFonts w:hint="eastAsia" w:ascii="仿宋" w:hAnsi="仿宋" w:eastAsia="仿宋" w:cs="仿宋"/>
                <w:szCs w:val="21"/>
              </w:rPr>
              <w:t>无具体描述，得0分。</w:t>
            </w:r>
          </w:p>
        </w:tc>
      </w:tr>
      <w:tr w14:paraId="1EE3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794" w:type="dxa"/>
            <w:vAlign w:val="center"/>
          </w:tcPr>
          <w:p w14:paraId="6DD6CED2">
            <w:pPr>
              <w:snapToGrid w:val="0"/>
              <w:jc w:val="center"/>
              <w:textAlignment w:val="baseline"/>
              <w:rPr>
                <w:rFonts w:ascii="仿宋" w:hAnsi="仿宋" w:eastAsia="仿宋" w:cs="仿宋"/>
                <w:szCs w:val="21"/>
              </w:rPr>
            </w:pPr>
            <w:r>
              <w:rPr>
                <w:rFonts w:hint="eastAsia" w:ascii="仿宋" w:hAnsi="仿宋" w:eastAsia="仿宋" w:cs="仿宋"/>
                <w:szCs w:val="21"/>
              </w:rPr>
              <w:t>1.5安全保证措施</w:t>
            </w:r>
          </w:p>
        </w:tc>
        <w:tc>
          <w:tcPr>
            <w:tcW w:w="897" w:type="dxa"/>
            <w:vAlign w:val="center"/>
          </w:tcPr>
          <w:p w14:paraId="64C935B0">
            <w:pPr>
              <w:snapToGrid w:val="0"/>
              <w:jc w:val="center"/>
              <w:textAlignment w:val="baseline"/>
              <w:rPr>
                <w:rFonts w:ascii="仿宋" w:hAnsi="仿宋" w:eastAsia="仿宋" w:cs="仿宋"/>
                <w:szCs w:val="21"/>
              </w:rPr>
            </w:pPr>
            <w:r>
              <w:rPr>
                <w:rFonts w:hint="eastAsia" w:ascii="仿宋" w:hAnsi="仿宋" w:eastAsia="仿宋" w:cs="仿宋"/>
                <w:szCs w:val="21"/>
              </w:rPr>
              <w:t>8分</w:t>
            </w:r>
          </w:p>
        </w:tc>
        <w:tc>
          <w:tcPr>
            <w:tcW w:w="6729" w:type="dxa"/>
          </w:tcPr>
          <w:p w14:paraId="161D9441">
            <w:pPr>
              <w:snapToGrid w:val="0"/>
              <w:jc w:val="left"/>
              <w:textAlignment w:val="baseline"/>
              <w:rPr>
                <w:rFonts w:ascii="仿宋" w:hAnsi="仿宋" w:eastAsia="仿宋" w:cs="仿宋"/>
                <w:szCs w:val="21"/>
              </w:rPr>
            </w:pPr>
            <w:r>
              <w:rPr>
                <w:rFonts w:hint="eastAsia" w:ascii="仿宋" w:hAnsi="仿宋" w:eastAsia="仿宋" w:cs="仿宋"/>
                <w:szCs w:val="21"/>
              </w:rPr>
              <w:t>安全保证体系完善，保证措施有针对性、预见性，得8分；</w:t>
            </w:r>
          </w:p>
          <w:p w14:paraId="07CD49FF">
            <w:pPr>
              <w:snapToGrid w:val="0"/>
              <w:jc w:val="left"/>
              <w:textAlignment w:val="baseline"/>
              <w:rPr>
                <w:rFonts w:ascii="仿宋" w:hAnsi="仿宋" w:eastAsia="仿宋" w:cs="仿宋"/>
                <w:szCs w:val="21"/>
              </w:rPr>
            </w:pPr>
            <w:r>
              <w:rPr>
                <w:rFonts w:hint="eastAsia" w:ascii="仿宋" w:hAnsi="仿宋" w:eastAsia="仿宋" w:cs="仿宋"/>
                <w:szCs w:val="21"/>
              </w:rPr>
              <w:t>安全保证体系较完善，保证措施针对性预见性一般，得6分；</w:t>
            </w:r>
          </w:p>
          <w:p w14:paraId="699C80F1">
            <w:pPr>
              <w:snapToGrid w:val="0"/>
              <w:jc w:val="left"/>
              <w:textAlignment w:val="baseline"/>
              <w:rPr>
                <w:rFonts w:ascii="仿宋" w:hAnsi="仿宋" w:eastAsia="仿宋" w:cs="仿宋"/>
                <w:szCs w:val="21"/>
              </w:rPr>
            </w:pPr>
            <w:r>
              <w:rPr>
                <w:rFonts w:hint="eastAsia" w:ascii="仿宋" w:hAnsi="仿宋" w:eastAsia="仿宋" w:cs="仿宋"/>
                <w:szCs w:val="21"/>
              </w:rPr>
              <w:t>安全保证体系一般，保证措施针对性预见性一般，得4分；</w:t>
            </w:r>
          </w:p>
          <w:p w14:paraId="340B9E6E">
            <w:pPr>
              <w:snapToGrid w:val="0"/>
              <w:jc w:val="left"/>
              <w:textAlignment w:val="baseline"/>
              <w:rPr>
                <w:rFonts w:ascii="仿宋" w:hAnsi="仿宋" w:eastAsia="仿宋" w:cs="仿宋"/>
                <w:szCs w:val="21"/>
              </w:rPr>
            </w:pPr>
            <w:r>
              <w:rPr>
                <w:rFonts w:hint="eastAsia" w:ascii="仿宋" w:hAnsi="仿宋" w:eastAsia="仿宋" w:cs="仿宋"/>
                <w:szCs w:val="21"/>
              </w:rPr>
              <w:t>内容简单或存在缺漏，得2分；</w:t>
            </w:r>
          </w:p>
          <w:p w14:paraId="3CC9A59F">
            <w:pPr>
              <w:snapToGrid w:val="0"/>
              <w:jc w:val="left"/>
              <w:textAlignment w:val="baseline"/>
              <w:rPr>
                <w:rFonts w:ascii="仿宋" w:hAnsi="仿宋" w:eastAsia="仿宋" w:cs="仿宋"/>
                <w:szCs w:val="21"/>
              </w:rPr>
            </w:pPr>
            <w:r>
              <w:rPr>
                <w:rFonts w:hint="eastAsia" w:ascii="仿宋" w:hAnsi="仿宋" w:eastAsia="仿宋" w:cs="仿宋"/>
                <w:szCs w:val="21"/>
              </w:rPr>
              <w:t>无具体描述，得0分。</w:t>
            </w:r>
          </w:p>
        </w:tc>
      </w:tr>
      <w:tr w14:paraId="3E8B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794" w:type="dxa"/>
            <w:vAlign w:val="center"/>
          </w:tcPr>
          <w:p w14:paraId="1D67EA32">
            <w:pPr>
              <w:ind w:right="3"/>
              <w:jc w:val="center"/>
              <w:rPr>
                <w:rFonts w:ascii="仿宋" w:hAnsi="仿宋" w:eastAsia="仿宋" w:cs="仿宋"/>
                <w:szCs w:val="21"/>
              </w:rPr>
            </w:pPr>
            <w:r>
              <w:rPr>
                <w:rFonts w:hint="eastAsia" w:ascii="仿宋" w:hAnsi="仿宋" w:eastAsia="仿宋" w:cs="仿宋"/>
                <w:szCs w:val="21"/>
              </w:rPr>
              <w:t>1.6检测进度保证措施</w:t>
            </w:r>
          </w:p>
        </w:tc>
        <w:tc>
          <w:tcPr>
            <w:tcW w:w="897" w:type="dxa"/>
            <w:vAlign w:val="center"/>
          </w:tcPr>
          <w:p w14:paraId="36905296">
            <w:pPr>
              <w:ind w:right="6"/>
              <w:jc w:val="center"/>
              <w:rPr>
                <w:rFonts w:ascii="仿宋" w:hAnsi="仿宋" w:eastAsia="仿宋" w:cs="仿宋"/>
                <w:szCs w:val="21"/>
              </w:rPr>
            </w:pPr>
            <w:r>
              <w:rPr>
                <w:rFonts w:hint="eastAsia" w:ascii="仿宋" w:hAnsi="仿宋" w:eastAsia="仿宋" w:cs="仿宋"/>
                <w:szCs w:val="21"/>
              </w:rPr>
              <w:t>8分</w:t>
            </w:r>
          </w:p>
        </w:tc>
        <w:tc>
          <w:tcPr>
            <w:tcW w:w="6729" w:type="dxa"/>
          </w:tcPr>
          <w:p w14:paraId="59BD16D6">
            <w:pPr>
              <w:ind w:left="-50"/>
              <w:jc w:val="left"/>
              <w:rPr>
                <w:rFonts w:ascii="仿宋" w:hAnsi="仿宋" w:eastAsia="仿宋" w:cs="仿宋"/>
                <w:szCs w:val="21"/>
              </w:rPr>
            </w:pPr>
            <w:r>
              <w:rPr>
                <w:rFonts w:hint="eastAsia" w:ascii="仿宋" w:hAnsi="仿宋" w:eastAsia="仿宋" w:cs="仿宋"/>
                <w:szCs w:val="21"/>
              </w:rPr>
              <w:t>检测进度保证措施全面、合理，得8分；</w:t>
            </w:r>
          </w:p>
          <w:p w14:paraId="4622017C">
            <w:pPr>
              <w:ind w:left="-50"/>
              <w:jc w:val="left"/>
              <w:rPr>
                <w:rFonts w:ascii="仿宋" w:hAnsi="仿宋" w:eastAsia="仿宋" w:cs="仿宋"/>
                <w:szCs w:val="21"/>
              </w:rPr>
            </w:pPr>
            <w:r>
              <w:rPr>
                <w:rFonts w:hint="eastAsia" w:ascii="仿宋" w:hAnsi="仿宋" w:eastAsia="仿宋" w:cs="仿宋"/>
                <w:szCs w:val="21"/>
              </w:rPr>
              <w:t>检测进度保证措施较全面、合理，得6分；</w:t>
            </w:r>
          </w:p>
          <w:p w14:paraId="219FC18C">
            <w:pPr>
              <w:ind w:left="-50"/>
              <w:jc w:val="left"/>
              <w:rPr>
                <w:rFonts w:ascii="仿宋" w:hAnsi="仿宋" w:eastAsia="仿宋" w:cs="仿宋"/>
                <w:szCs w:val="21"/>
              </w:rPr>
            </w:pPr>
            <w:r>
              <w:rPr>
                <w:rFonts w:hint="eastAsia" w:ascii="仿宋" w:hAnsi="仿宋" w:eastAsia="仿宋" w:cs="仿宋"/>
                <w:szCs w:val="21"/>
              </w:rPr>
              <w:t>检测进度保证措施一般，得4分；</w:t>
            </w:r>
          </w:p>
          <w:p w14:paraId="08D0E6FD">
            <w:pPr>
              <w:snapToGrid w:val="0"/>
              <w:jc w:val="left"/>
              <w:textAlignment w:val="baseline"/>
              <w:rPr>
                <w:rFonts w:ascii="仿宋" w:hAnsi="仿宋" w:eastAsia="仿宋" w:cs="仿宋"/>
                <w:szCs w:val="21"/>
              </w:rPr>
            </w:pPr>
            <w:r>
              <w:rPr>
                <w:rFonts w:hint="eastAsia" w:ascii="仿宋" w:hAnsi="仿宋" w:eastAsia="仿宋" w:cs="仿宋"/>
                <w:szCs w:val="21"/>
              </w:rPr>
              <w:t>内容简单或存在缺漏，得2分；</w:t>
            </w:r>
          </w:p>
          <w:p w14:paraId="513A2431">
            <w:pPr>
              <w:ind w:left="-50"/>
              <w:jc w:val="left"/>
              <w:rPr>
                <w:rFonts w:ascii="仿宋" w:hAnsi="仿宋" w:eastAsia="仿宋" w:cs="仿宋"/>
                <w:szCs w:val="21"/>
              </w:rPr>
            </w:pPr>
            <w:r>
              <w:rPr>
                <w:rFonts w:hint="eastAsia" w:ascii="仿宋" w:hAnsi="仿宋" w:eastAsia="仿宋" w:cs="仿宋"/>
                <w:szCs w:val="21"/>
              </w:rPr>
              <w:t>无具体描述，得0分。</w:t>
            </w:r>
          </w:p>
        </w:tc>
      </w:tr>
      <w:tr w14:paraId="022E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794" w:type="dxa"/>
            <w:vAlign w:val="center"/>
          </w:tcPr>
          <w:p w14:paraId="01FDFF1B">
            <w:pPr>
              <w:ind w:right="3"/>
              <w:jc w:val="center"/>
              <w:rPr>
                <w:rFonts w:ascii="仿宋" w:hAnsi="仿宋" w:eastAsia="仿宋" w:cs="仿宋"/>
                <w:szCs w:val="21"/>
              </w:rPr>
            </w:pPr>
            <w:r>
              <w:rPr>
                <w:rFonts w:hint="eastAsia" w:ascii="仿宋" w:hAnsi="仿宋" w:eastAsia="仿宋" w:cs="仿宋"/>
                <w:szCs w:val="21"/>
              </w:rPr>
              <w:t>1.7检测设备及办公设备</w:t>
            </w:r>
          </w:p>
        </w:tc>
        <w:tc>
          <w:tcPr>
            <w:tcW w:w="897" w:type="dxa"/>
            <w:vAlign w:val="center"/>
          </w:tcPr>
          <w:p w14:paraId="08305912">
            <w:pPr>
              <w:ind w:right="3"/>
              <w:jc w:val="center"/>
              <w:rPr>
                <w:rFonts w:ascii="仿宋" w:hAnsi="仿宋" w:eastAsia="仿宋" w:cs="仿宋"/>
                <w:szCs w:val="21"/>
              </w:rPr>
            </w:pPr>
            <w:r>
              <w:rPr>
                <w:rFonts w:hint="eastAsia" w:ascii="仿宋" w:hAnsi="仿宋" w:eastAsia="仿宋" w:cs="仿宋"/>
                <w:szCs w:val="21"/>
              </w:rPr>
              <w:t>4分</w:t>
            </w:r>
          </w:p>
        </w:tc>
        <w:tc>
          <w:tcPr>
            <w:tcW w:w="6729" w:type="dxa"/>
            <w:vAlign w:val="center"/>
          </w:tcPr>
          <w:p w14:paraId="41D5CC1A">
            <w:pPr>
              <w:snapToGrid w:val="0"/>
              <w:jc w:val="left"/>
              <w:textAlignment w:val="baseline"/>
              <w:rPr>
                <w:rFonts w:ascii="仿宋" w:hAnsi="仿宋" w:eastAsia="仿宋" w:cs="仿宋"/>
                <w:szCs w:val="21"/>
              </w:rPr>
            </w:pPr>
            <w:r>
              <w:rPr>
                <w:rFonts w:hint="eastAsia" w:ascii="仿宋" w:hAnsi="仿宋" w:eastAsia="仿宋" w:cs="仿宋"/>
                <w:szCs w:val="21"/>
              </w:rPr>
              <w:t>仪器、设备投入齐全、先进，得4分；</w:t>
            </w:r>
          </w:p>
          <w:p w14:paraId="4203D3A2">
            <w:pPr>
              <w:snapToGrid w:val="0"/>
              <w:jc w:val="left"/>
              <w:textAlignment w:val="baseline"/>
              <w:rPr>
                <w:rFonts w:ascii="仿宋" w:hAnsi="仿宋" w:eastAsia="仿宋" w:cs="仿宋"/>
                <w:szCs w:val="21"/>
              </w:rPr>
            </w:pPr>
            <w:r>
              <w:rPr>
                <w:rFonts w:hint="eastAsia" w:ascii="仿宋" w:hAnsi="仿宋" w:eastAsia="仿宋" w:cs="仿宋"/>
                <w:szCs w:val="21"/>
              </w:rPr>
              <w:t>仪器、设备投入较齐全、先进，得3分；</w:t>
            </w:r>
          </w:p>
          <w:p w14:paraId="27DAC25F">
            <w:pPr>
              <w:snapToGrid w:val="0"/>
              <w:jc w:val="left"/>
              <w:textAlignment w:val="baseline"/>
              <w:rPr>
                <w:rFonts w:ascii="仿宋" w:hAnsi="仿宋" w:eastAsia="仿宋" w:cs="仿宋"/>
                <w:szCs w:val="21"/>
              </w:rPr>
            </w:pPr>
            <w:r>
              <w:rPr>
                <w:rFonts w:hint="eastAsia" w:ascii="仿宋" w:hAnsi="仿宋" w:eastAsia="仿宋" w:cs="仿宋"/>
                <w:szCs w:val="21"/>
              </w:rPr>
              <w:t>仪器、设备投入一般，得2分；</w:t>
            </w:r>
          </w:p>
          <w:p w14:paraId="0E5F8C28">
            <w:pPr>
              <w:snapToGrid w:val="0"/>
              <w:jc w:val="left"/>
              <w:textAlignment w:val="baseline"/>
              <w:rPr>
                <w:rFonts w:ascii="仿宋" w:hAnsi="仿宋" w:eastAsia="仿宋" w:cs="仿宋"/>
                <w:szCs w:val="21"/>
              </w:rPr>
            </w:pPr>
            <w:r>
              <w:rPr>
                <w:rFonts w:hint="eastAsia" w:ascii="仿宋" w:hAnsi="仿宋" w:eastAsia="仿宋" w:cs="仿宋"/>
                <w:szCs w:val="21"/>
              </w:rPr>
              <w:t>内容简单或存在缺漏，得1分；</w:t>
            </w:r>
          </w:p>
          <w:p w14:paraId="0290A59D">
            <w:pPr>
              <w:snapToGrid w:val="0"/>
              <w:jc w:val="left"/>
              <w:textAlignment w:val="baseline"/>
              <w:rPr>
                <w:rFonts w:ascii="仿宋" w:hAnsi="仿宋" w:eastAsia="仿宋" w:cs="仿宋"/>
              </w:rPr>
            </w:pPr>
            <w:r>
              <w:rPr>
                <w:rFonts w:hint="eastAsia" w:ascii="仿宋" w:hAnsi="仿宋" w:eastAsia="仿宋" w:cs="仿宋"/>
                <w:szCs w:val="21"/>
              </w:rPr>
              <w:t>无具体描述，得0分。</w:t>
            </w:r>
          </w:p>
        </w:tc>
      </w:tr>
      <w:tr w14:paraId="6B46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794" w:type="dxa"/>
            <w:vAlign w:val="center"/>
          </w:tcPr>
          <w:p w14:paraId="404DD201">
            <w:pPr>
              <w:ind w:right="3"/>
              <w:jc w:val="center"/>
              <w:rPr>
                <w:rFonts w:ascii="仿宋" w:hAnsi="仿宋" w:eastAsia="仿宋" w:cs="仿宋"/>
                <w:szCs w:val="21"/>
              </w:rPr>
            </w:pPr>
            <w:r>
              <w:rPr>
                <w:rFonts w:hint="eastAsia" w:ascii="仿宋" w:hAnsi="仿宋" w:eastAsia="仿宋" w:cs="仿宋"/>
                <w:szCs w:val="21"/>
              </w:rPr>
              <w:t>1.8档案管理制度、监管制度</w:t>
            </w:r>
          </w:p>
        </w:tc>
        <w:tc>
          <w:tcPr>
            <w:tcW w:w="897" w:type="dxa"/>
            <w:vAlign w:val="center"/>
          </w:tcPr>
          <w:p w14:paraId="047E5883">
            <w:pPr>
              <w:ind w:right="3"/>
              <w:jc w:val="center"/>
              <w:rPr>
                <w:rFonts w:ascii="仿宋" w:hAnsi="仿宋" w:eastAsia="仿宋" w:cs="仿宋"/>
                <w:szCs w:val="21"/>
              </w:rPr>
            </w:pPr>
            <w:r>
              <w:rPr>
                <w:rFonts w:hint="eastAsia" w:ascii="仿宋" w:hAnsi="仿宋" w:eastAsia="仿宋" w:cs="仿宋"/>
                <w:szCs w:val="21"/>
              </w:rPr>
              <w:t>8分</w:t>
            </w:r>
          </w:p>
        </w:tc>
        <w:tc>
          <w:tcPr>
            <w:tcW w:w="6729" w:type="dxa"/>
            <w:vAlign w:val="center"/>
          </w:tcPr>
          <w:p w14:paraId="7E1657DA">
            <w:pPr>
              <w:ind w:right="3"/>
              <w:jc w:val="left"/>
              <w:rPr>
                <w:rFonts w:ascii="仿宋" w:hAnsi="仿宋" w:eastAsia="仿宋" w:cs="仿宋"/>
                <w:szCs w:val="21"/>
              </w:rPr>
            </w:pPr>
            <w:r>
              <w:rPr>
                <w:rFonts w:hint="eastAsia" w:ascii="仿宋" w:hAnsi="仿宋" w:eastAsia="仿宋" w:cs="仿宋"/>
                <w:szCs w:val="21"/>
              </w:rPr>
              <w:t xml:space="preserve">检测档案管理制度完善，防止虚假检测报告措施到位，得8分； </w:t>
            </w:r>
          </w:p>
          <w:p w14:paraId="3A35443A">
            <w:pPr>
              <w:ind w:right="3"/>
              <w:jc w:val="left"/>
              <w:rPr>
                <w:rFonts w:ascii="仿宋" w:hAnsi="仿宋" w:eastAsia="仿宋" w:cs="仿宋"/>
                <w:szCs w:val="21"/>
              </w:rPr>
            </w:pPr>
            <w:r>
              <w:rPr>
                <w:rFonts w:hint="eastAsia" w:ascii="仿宋" w:hAnsi="仿宋" w:eastAsia="仿宋" w:cs="仿宋"/>
                <w:szCs w:val="21"/>
              </w:rPr>
              <w:t>检测档案管理制度较完善，防止虚假检测报告措施较到位，得6分；</w:t>
            </w:r>
          </w:p>
          <w:p w14:paraId="28872CA1">
            <w:pPr>
              <w:ind w:right="3"/>
              <w:jc w:val="left"/>
              <w:rPr>
                <w:rFonts w:ascii="仿宋" w:hAnsi="仿宋" w:eastAsia="仿宋" w:cs="仿宋"/>
                <w:szCs w:val="21"/>
              </w:rPr>
            </w:pPr>
            <w:r>
              <w:rPr>
                <w:rFonts w:hint="eastAsia" w:ascii="仿宋" w:hAnsi="仿宋" w:eastAsia="仿宋" w:cs="仿宋"/>
                <w:szCs w:val="21"/>
              </w:rPr>
              <w:t>检测档案管理制度一般，防止虚假检测报告措施一般，得4分；</w:t>
            </w:r>
          </w:p>
          <w:p w14:paraId="64C7E1DF">
            <w:pPr>
              <w:ind w:right="3"/>
              <w:jc w:val="left"/>
              <w:rPr>
                <w:rFonts w:ascii="仿宋" w:hAnsi="仿宋" w:eastAsia="仿宋" w:cs="仿宋"/>
                <w:szCs w:val="21"/>
              </w:rPr>
            </w:pPr>
            <w:r>
              <w:rPr>
                <w:rFonts w:hint="eastAsia" w:ascii="仿宋" w:hAnsi="仿宋" w:eastAsia="仿宋" w:cs="仿宋"/>
                <w:szCs w:val="21"/>
              </w:rPr>
              <w:t>内容简单或存在缺漏，得2分；</w:t>
            </w:r>
          </w:p>
          <w:p w14:paraId="6331097E">
            <w:pPr>
              <w:ind w:right="3"/>
              <w:jc w:val="left"/>
              <w:rPr>
                <w:rFonts w:ascii="仿宋" w:hAnsi="仿宋" w:eastAsia="仿宋" w:cs="仿宋"/>
              </w:rPr>
            </w:pPr>
            <w:r>
              <w:rPr>
                <w:rFonts w:hint="eastAsia" w:ascii="仿宋" w:hAnsi="仿宋" w:eastAsia="仿宋" w:cs="仿宋"/>
                <w:szCs w:val="21"/>
              </w:rPr>
              <w:t>无具体描述，得0分。</w:t>
            </w:r>
          </w:p>
        </w:tc>
      </w:tr>
      <w:tr w14:paraId="124A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794" w:type="dxa"/>
            <w:vAlign w:val="center"/>
          </w:tcPr>
          <w:p w14:paraId="796123E2">
            <w:pPr>
              <w:ind w:right="3"/>
              <w:jc w:val="center"/>
              <w:rPr>
                <w:rFonts w:ascii="仿宋" w:hAnsi="仿宋" w:eastAsia="仿宋" w:cs="仿宋"/>
                <w:szCs w:val="21"/>
              </w:rPr>
            </w:pPr>
            <w:r>
              <w:rPr>
                <w:rFonts w:hint="eastAsia" w:ascii="仿宋" w:hAnsi="仿宋" w:eastAsia="仿宋" w:cs="仿宋"/>
                <w:szCs w:val="21"/>
              </w:rPr>
              <w:t>1.9服务承诺</w:t>
            </w:r>
          </w:p>
        </w:tc>
        <w:tc>
          <w:tcPr>
            <w:tcW w:w="897" w:type="dxa"/>
            <w:vAlign w:val="center"/>
          </w:tcPr>
          <w:p w14:paraId="1EAA899E">
            <w:pPr>
              <w:ind w:right="3"/>
              <w:jc w:val="center"/>
              <w:rPr>
                <w:rFonts w:ascii="仿宋" w:hAnsi="仿宋" w:eastAsia="仿宋" w:cs="仿宋"/>
                <w:szCs w:val="21"/>
              </w:rPr>
            </w:pPr>
            <w:r>
              <w:rPr>
                <w:rFonts w:hint="eastAsia" w:ascii="仿宋" w:hAnsi="仿宋" w:eastAsia="仿宋" w:cs="仿宋"/>
                <w:szCs w:val="21"/>
              </w:rPr>
              <w:t>6分</w:t>
            </w:r>
          </w:p>
        </w:tc>
        <w:tc>
          <w:tcPr>
            <w:tcW w:w="6729" w:type="dxa"/>
            <w:vAlign w:val="center"/>
          </w:tcPr>
          <w:p w14:paraId="0F6E3743">
            <w:pPr>
              <w:ind w:right="3"/>
              <w:jc w:val="left"/>
              <w:rPr>
                <w:rFonts w:ascii="仿宋" w:hAnsi="仿宋" w:eastAsia="仿宋" w:cs="仿宋"/>
                <w:szCs w:val="21"/>
              </w:rPr>
            </w:pPr>
            <w:r>
              <w:rPr>
                <w:rFonts w:hint="eastAsia" w:ascii="仿宋" w:hAnsi="仿宋" w:eastAsia="仿宋" w:cs="仿宋"/>
                <w:szCs w:val="21"/>
              </w:rPr>
              <w:t>根据全过程服务承诺及措施，包括对采购人发出的指令的响应时间、措施，与项目各相关单位的协调、配合服务措施，售后服务承诺及措施等进行评分（分值为6、4、2、1、0）</w:t>
            </w:r>
          </w:p>
        </w:tc>
      </w:tr>
      <w:tr w14:paraId="65B3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420" w:type="dxa"/>
            <w:gridSpan w:val="3"/>
            <w:vAlign w:val="center"/>
          </w:tcPr>
          <w:p w14:paraId="5736A062">
            <w:pPr>
              <w:ind w:right="3"/>
              <w:rPr>
                <w:rFonts w:ascii="仿宋" w:hAnsi="仿宋" w:eastAsia="仿宋" w:cs="仿宋"/>
                <w:szCs w:val="21"/>
              </w:rPr>
            </w:pPr>
            <w:r>
              <w:rPr>
                <w:rFonts w:hint="eastAsia" w:ascii="仿宋" w:hAnsi="仿宋" w:eastAsia="仿宋" w:cs="仿宋"/>
                <w:b/>
                <w:szCs w:val="21"/>
              </w:rPr>
              <w:t>（2）资信部分</w:t>
            </w:r>
          </w:p>
        </w:tc>
      </w:tr>
      <w:tr w14:paraId="7155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794" w:type="dxa"/>
            <w:vAlign w:val="center"/>
          </w:tcPr>
          <w:p w14:paraId="3841882E">
            <w:pPr>
              <w:ind w:right="3"/>
              <w:jc w:val="center"/>
              <w:rPr>
                <w:rFonts w:ascii="仿宋" w:hAnsi="仿宋" w:eastAsia="仿宋" w:cs="仿宋"/>
                <w:szCs w:val="21"/>
              </w:rPr>
            </w:pPr>
            <w:r>
              <w:rPr>
                <w:rFonts w:hint="eastAsia" w:ascii="仿宋" w:hAnsi="仿宋" w:eastAsia="仿宋" w:cs="仿宋"/>
                <w:szCs w:val="21"/>
              </w:rPr>
              <w:t>2.1类似项目业绩</w:t>
            </w:r>
          </w:p>
        </w:tc>
        <w:tc>
          <w:tcPr>
            <w:tcW w:w="897" w:type="dxa"/>
            <w:vAlign w:val="center"/>
          </w:tcPr>
          <w:p w14:paraId="451227AD">
            <w:pPr>
              <w:ind w:right="3"/>
              <w:jc w:val="center"/>
              <w:rPr>
                <w:rFonts w:ascii="仿宋" w:hAnsi="仿宋" w:eastAsia="仿宋" w:cs="仿宋"/>
                <w:szCs w:val="21"/>
              </w:rPr>
            </w:pPr>
            <w:r>
              <w:rPr>
                <w:rFonts w:hint="eastAsia" w:ascii="仿宋" w:hAnsi="仿宋" w:eastAsia="仿宋" w:cs="仿宋"/>
                <w:szCs w:val="21"/>
              </w:rPr>
              <w:t>2分</w:t>
            </w:r>
          </w:p>
        </w:tc>
        <w:tc>
          <w:tcPr>
            <w:tcW w:w="6729" w:type="dxa"/>
            <w:vAlign w:val="center"/>
          </w:tcPr>
          <w:p w14:paraId="6488DEF4">
            <w:pPr>
              <w:ind w:right="6"/>
              <w:jc w:val="left"/>
              <w:rPr>
                <w:rFonts w:ascii="仿宋" w:hAnsi="仿宋" w:eastAsia="仿宋" w:cs="仿宋"/>
                <w:szCs w:val="21"/>
              </w:rPr>
            </w:pPr>
            <w:r>
              <w:rPr>
                <w:rFonts w:hint="eastAsia" w:ascii="仿宋" w:hAnsi="仿宋" w:eastAsia="仿宋" w:cs="仿宋"/>
                <w:szCs w:val="21"/>
              </w:rPr>
              <w:t>投标人从2020年1月1日至今，承接过1个房建工程的见证取样检测业绩或专项检测业绩的得1分，最高得2分。业绩以提供中标通知书或合同为准，时间以中标通知书签发或合同签订时间为准，如中标通知书或合同无法体现检测内容的，则需提供能体现检测内容并加盖业主单位公章的业主证明。</w:t>
            </w:r>
          </w:p>
          <w:p w14:paraId="71DE1EF0">
            <w:pPr>
              <w:ind w:right="6"/>
              <w:jc w:val="left"/>
              <w:rPr>
                <w:rFonts w:ascii="仿宋" w:hAnsi="仿宋" w:eastAsia="仿宋" w:cs="仿宋"/>
                <w:szCs w:val="21"/>
              </w:rPr>
            </w:pPr>
            <w:r>
              <w:rPr>
                <w:rFonts w:hint="eastAsia" w:ascii="仿宋" w:hAnsi="仿宋" w:eastAsia="仿宋" w:cs="仿宋"/>
                <w:szCs w:val="21"/>
              </w:rPr>
              <w:t>注：须提供上述资料扫描件，否则不得分。</w:t>
            </w:r>
          </w:p>
        </w:tc>
      </w:tr>
      <w:tr w14:paraId="205F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794" w:type="dxa"/>
            <w:vAlign w:val="center"/>
          </w:tcPr>
          <w:p w14:paraId="0535216D">
            <w:pPr>
              <w:ind w:right="3"/>
              <w:jc w:val="center"/>
              <w:rPr>
                <w:rFonts w:ascii="仿宋" w:hAnsi="仿宋" w:eastAsia="仿宋" w:cs="仿宋"/>
                <w:szCs w:val="21"/>
              </w:rPr>
            </w:pPr>
            <w:r>
              <w:rPr>
                <w:rFonts w:hint="eastAsia" w:ascii="仿宋" w:hAnsi="仿宋" w:eastAsia="仿宋" w:cs="仿宋"/>
                <w:szCs w:val="21"/>
              </w:rPr>
              <w:t>2.2项目组人员配备情况</w:t>
            </w:r>
          </w:p>
        </w:tc>
        <w:tc>
          <w:tcPr>
            <w:tcW w:w="897" w:type="dxa"/>
            <w:vAlign w:val="center"/>
          </w:tcPr>
          <w:p w14:paraId="624FFD15">
            <w:pPr>
              <w:ind w:right="3"/>
              <w:jc w:val="center"/>
              <w:rPr>
                <w:rFonts w:ascii="仿宋" w:hAnsi="仿宋" w:eastAsia="仿宋" w:cs="仿宋"/>
                <w:szCs w:val="21"/>
              </w:rPr>
            </w:pPr>
            <w:r>
              <w:rPr>
                <w:rFonts w:hint="eastAsia" w:ascii="仿宋" w:hAnsi="仿宋" w:eastAsia="仿宋" w:cs="仿宋"/>
                <w:szCs w:val="21"/>
              </w:rPr>
              <w:t>6分</w:t>
            </w:r>
          </w:p>
        </w:tc>
        <w:tc>
          <w:tcPr>
            <w:tcW w:w="6729" w:type="dxa"/>
            <w:vAlign w:val="center"/>
          </w:tcPr>
          <w:p w14:paraId="31ACE818">
            <w:pPr>
              <w:pStyle w:val="6"/>
              <w:spacing w:after="0"/>
              <w:ind w:right="6" w:firstLine="0" w:firstLineChars="0"/>
              <w:jc w:val="left"/>
              <w:rPr>
                <w:rFonts w:ascii="仿宋" w:hAnsi="仿宋" w:eastAsia="仿宋" w:cs="仿宋"/>
                <w:szCs w:val="21"/>
              </w:rPr>
            </w:pPr>
            <w:r>
              <w:rPr>
                <w:rFonts w:hint="eastAsia" w:ascii="仿宋" w:hAnsi="仿宋" w:eastAsia="仿宋" w:cs="仿宋"/>
                <w:szCs w:val="21"/>
              </w:rPr>
              <w:t>根据投标人拟派本项目组人员的职称、资格证书等情况综合评分。</w:t>
            </w:r>
          </w:p>
          <w:p w14:paraId="5150B5E9">
            <w:pPr>
              <w:pStyle w:val="7"/>
              <w:ind w:left="0" w:leftChars="0"/>
            </w:pPr>
            <w:r>
              <w:rPr>
                <w:rFonts w:ascii="仿宋" w:hAnsi="仿宋" w:eastAsia="仿宋" w:cs="仿宋"/>
                <w:szCs w:val="21"/>
              </w:rPr>
              <w:t>（分值为6、4、2、1、0）</w:t>
            </w:r>
          </w:p>
        </w:tc>
      </w:tr>
    </w:tbl>
    <w:p w14:paraId="0E95F4EF">
      <w:pPr>
        <w:spacing w:line="460" w:lineRule="exact"/>
        <w:ind w:firstLine="330" w:firstLineChars="150"/>
        <w:rPr>
          <w:rFonts w:ascii="仿宋" w:hAnsi="仿宋" w:eastAsia="仿宋" w:cs="仿宋"/>
          <w:kern w:val="0"/>
          <w:sz w:val="22"/>
          <w:szCs w:val="22"/>
        </w:rPr>
      </w:pPr>
    </w:p>
    <w:p w14:paraId="29E22BD3">
      <w:pPr>
        <w:rPr>
          <w:rFonts w:ascii="仿宋" w:hAnsi="仿宋" w:eastAsia="仿宋" w:cs="仿宋"/>
          <w:sz w:val="24"/>
        </w:rPr>
      </w:pPr>
      <w:r>
        <w:rPr>
          <w:rFonts w:hint="eastAsia" w:ascii="仿宋" w:hAnsi="仿宋" w:eastAsia="仿宋" w:cs="仿宋"/>
          <w:sz w:val="24"/>
        </w:rPr>
        <w:br w:type="page"/>
      </w:r>
    </w:p>
    <w:p w14:paraId="64B7FD90">
      <w:pPr>
        <w:pStyle w:val="3"/>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1.评审方法</w:t>
      </w:r>
      <w:bookmarkEnd w:id="107"/>
      <w:bookmarkEnd w:id="108"/>
    </w:p>
    <w:p w14:paraId="01877B32">
      <w:pPr>
        <w:snapToGrid w:val="0"/>
        <w:spacing w:line="360" w:lineRule="auto"/>
        <w:ind w:firstLine="480" w:firstLineChars="200"/>
        <w:rPr>
          <w:rFonts w:ascii="仿宋" w:hAnsi="仿宋" w:eastAsia="仿宋" w:cs="仿宋"/>
          <w:kern w:val="0"/>
          <w:sz w:val="24"/>
        </w:rPr>
      </w:pPr>
      <w:r>
        <w:rPr>
          <w:rFonts w:hint="eastAsia" w:ascii="仿宋" w:hAnsi="仿宋" w:eastAsia="仿宋" w:cs="仿宋"/>
          <w:sz w:val="24"/>
        </w:rPr>
        <w:t>本次评审办法为综合评分法。综合评分法是指响应文件满足磋商文件全部实质性要求且按评审因素的量化指标评审得分最高的供应商为成交候选供应商的评审方法。</w:t>
      </w:r>
    </w:p>
    <w:p w14:paraId="458DE6A2">
      <w:pPr>
        <w:pStyle w:val="3"/>
        <w:snapToGrid w:val="0"/>
        <w:spacing w:before="0" w:after="0" w:line="360" w:lineRule="auto"/>
        <w:rPr>
          <w:rFonts w:ascii="仿宋" w:hAnsi="仿宋" w:eastAsia="仿宋" w:cs="仿宋"/>
          <w:sz w:val="24"/>
          <w:szCs w:val="24"/>
        </w:rPr>
      </w:pPr>
      <w:bookmarkStart w:id="109" w:name="_Toc55302374"/>
      <w:bookmarkStart w:id="110" w:name="_Toc63189376"/>
      <w:r>
        <w:rPr>
          <w:rFonts w:hint="eastAsia" w:ascii="仿宋" w:hAnsi="仿宋" w:eastAsia="仿宋" w:cs="仿宋"/>
          <w:sz w:val="24"/>
          <w:szCs w:val="24"/>
        </w:rPr>
        <w:t>2.评审程序</w:t>
      </w:r>
      <w:bookmarkEnd w:id="109"/>
      <w:bookmarkEnd w:id="110"/>
      <w:r>
        <w:rPr>
          <w:rFonts w:hint="eastAsia" w:ascii="仿宋" w:hAnsi="仿宋" w:eastAsia="仿宋" w:cs="仿宋"/>
          <w:sz w:val="24"/>
          <w:szCs w:val="24"/>
        </w:rPr>
        <w:t>及标准</w:t>
      </w:r>
    </w:p>
    <w:p w14:paraId="6FD5BAE7">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2.1资格审查</w:t>
      </w:r>
    </w:p>
    <w:p w14:paraId="7570245B">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开标后，采购人或采购代理机构对各供应商进行资格审查，有一项不符合以下评审标准的，投标无效：</w:t>
      </w:r>
    </w:p>
    <w:p w14:paraId="6A2F9B63">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2.1.1</w:t>
      </w:r>
      <w:r>
        <w:rPr>
          <w:rFonts w:hint="eastAsia" w:ascii="仿宋" w:hAnsi="仿宋" w:eastAsia="仿宋" w:cs="仿宋"/>
          <w:b/>
          <w:sz w:val="24"/>
        </w:rPr>
        <w:t>▲提供符合参加政府采购活动应当具备的一般条件的承诺函</w:t>
      </w:r>
      <w:r>
        <w:rPr>
          <w:rFonts w:hint="eastAsia" w:ascii="仿宋" w:hAnsi="仿宋" w:eastAsia="仿宋" w:cs="仿宋"/>
          <w:sz w:val="24"/>
        </w:rPr>
        <w:t>及有效的</w:t>
      </w:r>
      <w:r>
        <w:rPr>
          <w:rFonts w:hint="eastAsia" w:ascii="仿宋" w:hAnsi="仿宋" w:eastAsia="仿宋" w:cs="仿宋"/>
          <w:b/>
          <w:sz w:val="24"/>
        </w:rPr>
        <w:t>企业营业执照</w:t>
      </w:r>
      <w:r>
        <w:rPr>
          <w:rFonts w:hint="eastAsia" w:ascii="仿宋" w:hAnsi="仿宋" w:eastAsia="仿宋" w:cs="仿宋"/>
          <w:sz w:val="24"/>
        </w:rPr>
        <w:t>（或事业法人登记证书或其它工商等登记证明材料，自然人提供身份证)复制件（如为联合体，则联合体各方均应提供）；</w:t>
      </w:r>
    </w:p>
    <w:p w14:paraId="3F690732">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由单位负责人签署相关文件材料（合伙企业由全体合伙人签署相关材料，但合伙协议约定或者全体合伙人决定委托一名或数名合伙人执行合伙企业事务的，由执行合伙企业事务的全体合伙人签署相关文件材料），与其他法人单位法定代表人（负责人）签署的文件材料具有同等效力）。</w:t>
      </w:r>
    </w:p>
    <w:p w14:paraId="3B45E806">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2.1.2落实政府采购政策需满足的资格要求：</w:t>
      </w:r>
      <w:r>
        <w:rPr>
          <w:rFonts w:hint="eastAsia" w:ascii="仿宋" w:hAnsi="仿宋" w:eastAsia="仿宋" w:cs="仿宋"/>
          <w:b/>
          <w:sz w:val="24"/>
        </w:rPr>
        <w:t>见评审办法前附表</w:t>
      </w:r>
      <w:r>
        <w:rPr>
          <w:rFonts w:hint="eastAsia" w:ascii="仿宋" w:hAnsi="仿宋" w:eastAsia="仿宋" w:cs="仿宋"/>
          <w:sz w:val="24"/>
        </w:rPr>
        <w:t>。</w:t>
      </w:r>
    </w:p>
    <w:p w14:paraId="03E30660">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2.1.3本项目的特定资格要求：</w:t>
      </w:r>
      <w:r>
        <w:rPr>
          <w:rFonts w:hint="eastAsia" w:ascii="仿宋" w:hAnsi="仿宋" w:eastAsia="仿宋" w:cs="仿宋"/>
          <w:b/>
          <w:sz w:val="24"/>
        </w:rPr>
        <w:t>见评审办法前附表</w:t>
      </w:r>
      <w:r>
        <w:rPr>
          <w:rFonts w:hint="eastAsia" w:ascii="仿宋" w:hAnsi="仿宋" w:eastAsia="仿宋" w:cs="仿宋"/>
          <w:sz w:val="24"/>
        </w:rPr>
        <w:t>。</w:t>
      </w:r>
    </w:p>
    <w:p w14:paraId="37783C56">
      <w:pPr>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2.1.4资格审查其他要求：</w:t>
      </w:r>
      <w:r>
        <w:rPr>
          <w:rFonts w:hint="eastAsia" w:ascii="仿宋" w:hAnsi="仿宋" w:eastAsia="仿宋" w:cs="仿宋"/>
          <w:b/>
          <w:sz w:val="24"/>
        </w:rPr>
        <w:t>见评审办法前附表</w:t>
      </w:r>
      <w:r>
        <w:rPr>
          <w:rFonts w:hint="eastAsia" w:ascii="仿宋" w:hAnsi="仿宋" w:eastAsia="仿宋" w:cs="仿宋"/>
          <w:sz w:val="24"/>
        </w:rPr>
        <w:t>。</w:t>
      </w:r>
    </w:p>
    <w:p w14:paraId="1AAF7035">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2.2符合性审查</w:t>
      </w:r>
    </w:p>
    <w:p w14:paraId="5770673C">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磋商小组对资格审查合格的供应商进行符合性审查：</w:t>
      </w:r>
    </w:p>
    <w:p w14:paraId="0E355BAA">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2.2.1▲供应商存在下列情况之一的，投标无效:</w:t>
      </w:r>
    </w:p>
    <w:p w14:paraId="300A4DB1">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（1）仅提交“备份响应文件”的；</w:t>
      </w:r>
    </w:p>
    <w:p w14:paraId="16535D57">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（2）不具备采购文件中规定的资格要求的；</w:t>
      </w:r>
    </w:p>
    <w:p w14:paraId="17308483">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（3）响应文件未按采购文件要求签署、盖章的；</w:t>
      </w:r>
    </w:p>
    <w:p w14:paraId="3B584804">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（4）明显不符合采购文件中标注“▲”且加下划线的实质性要求和条件（主要技术规格、商务技术标准或服务要求）的；</w:t>
      </w:r>
    </w:p>
    <w:p w14:paraId="44CFA4A9">
      <w:pPr>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（5）采购人拟采购的产品属于政府强制采购的节能产品品目清单范围的，供应商未按采购文件要求提供国家确定的认证机构出具的、处于有效期之内的节能产品认证证书的；</w:t>
      </w:r>
    </w:p>
    <w:p w14:paraId="6CECADC0">
      <w:pPr>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（6）响应文件中承诺的投标有效期少于采购文件中载明的投标有效期的；</w:t>
      </w:r>
    </w:p>
    <w:p w14:paraId="4ED28E18">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（7）响应文件实质性内容不全或关键字迹模糊无法辨认的；</w:t>
      </w:r>
    </w:p>
    <w:p w14:paraId="7EA2058F">
      <w:pPr>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sz w:val="24"/>
        </w:rPr>
        <w:t>（8）投标报价超过采购预算或最高限价；</w:t>
      </w:r>
    </w:p>
    <w:p w14:paraId="28BC2CCC">
      <w:pPr>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（9）响应文件出现不是唯一的、有选择性投标报价的；</w:t>
      </w:r>
    </w:p>
    <w:p w14:paraId="560F4CAC">
      <w:pPr>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（10）供应商对根据修正原则修正后的报价不确认的；</w:t>
      </w:r>
    </w:p>
    <w:p w14:paraId="23FD5607">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（11）响应文件有采购人不能接受的附加条件的；</w:t>
      </w:r>
    </w:p>
    <w:p w14:paraId="48DA0177">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（12）供应商提供虚假材料投标的；</w:t>
      </w:r>
    </w:p>
    <w:p w14:paraId="6E771189">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（13）法律、法规和采购文件规定的其他无效情形。</w:t>
      </w:r>
    </w:p>
    <w:p w14:paraId="68E8B6C5">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2.2.2▲有下列情形之一的，属于恶意串通，对供应商依照政府采购法第七十七条第一款的规定追究法律责任，对采购人、采购代理机构及其工作人员依照政府采购法第七十二条的规定追究法律责任：</w:t>
      </w:r>
    </w:p>
    <w:p w14:paraId="42B8831A">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（1）供应商直接或者间接从采购人或者采购代理机构处获得其他供应商的相关情况并修改其响应文件的；</w:t>
      </w:r>
    </w:p>
    <w:p w14:paraId="3B8A46A0">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（2）供应商按照采购人或者采购代理机构的授意撤换、修改响应文件的；</w:t>
      </w:r>
    </w:p>
    <w:p w14:paraId="42C43B38">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（3）供应商之间协商报价、技术方案等响应文件或者响应文件的实质性内容；</w:t>
      </w:r>
    </w:p>
    <w:p w14:paraId="7D20BE0A">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（4）属于同一集团、协会、商会等组织成员的供应商按照该组织要求协同参加政府采购活动；</w:t>
      </w:r>
    </w:p>
    <w:p w14:paraId="6C2778A5">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（5）供应商之间事先约定由某一特定供应商中标、成交；</w:t>
      </w:r>
    </w:p>
    <w:p w14:paraId="414C4B40">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（6）供应商之间商定部分供应商放弃参加政府采购活动或者放弃中标、成交；</w:t>
      </w:r>
    </w:p>
    <w:p w14:paraId="26EFB317">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（7）供应商与采购人或者采购代理机构之间、供应商相互之间，为谋求特定供应商中标、成交或者排斥其他供应商的其他串通行为。</w:t>
      </w:r>
    </w:p>
    <w:p w14:paraId="54B62EDA">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2.2.3▲有下列情形之一的，视为供应商串通投标，其投标无效：</w:t>
      </w:r>
    </w:p>
    <w:p w14:paraId="6C30558E">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（1）不同供应商的响应文件由同一单位或者个人编制；</w:t>
      </w:r>
    </w:p>
    <w:p w14:paraId="154F2C2A">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（2）不同供应商委托同一单位或者个人办理投标事宜；</w:t>
      </w:r>
    </w:p>
    <w:p w14:paraId="195DF93D">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（3）不同供应商的响应文件载明的项目管理成员或者联系人员为同一人；</w:t>
      </w:r>
    </w:p>
    <w:p w14:paraId="452F528E">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（4）不同供应商的响应文件异常一致或者投标报价呈规律性差异；</w:t>
      </w:r>
    </w:p>
    <w:p w14:paraId="437EF0AC">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（5）不同供应商的响应文件相互混装；</w:t>
      </w:r>
    </w:p>
    <w:p w14:paraId="77E3BD37">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2.2.4符合性审查其他要求见评审办法前附表。</w:t>
      </w:r>
    </w:p>
    <w:p w14:paraId="76DED2CD">
      <w:pPr>
        <w:snapToGrid w:val="0"/>
        <w:spacing w:line="360" w:lineRule="auto"/>
        <w:ind w:firstLine="482" w:firstLineChars="200"/>
        <w:jc w:val="left"/>
        <w:rPr>
          <w:rFonts w:ascii="仿宋" w:hAnsi="仿宋" w:eastAsia="仿宋" w:cs="仿宋"/>
          <w:sz w:val="24"/>
        </w:rPr>
      </w:pPr>
      <w:r>
        <w:rPr>
          <w:rFonts w:hint="eastAsia" w:ascii="仿宋" w:hAnsi="仿宋" w:eastAsia="仿宋" w:cs="仿宋"/>
          <w:b/>
          <w:sz w:val="24"/>
        </w:rPr>
        <w:t>2.2.5实质上没有响应采购文件要求的投标将被否决，供应商不得通过修正或撤消不合要求的偏离或保留从而使其投标成为实质上响应的投标。</w:t>
      </w:r>
    </w:p>
    <w:p w14:paraId="5D49EAFF">
      <w:pPr>
        <w:pStyle w:val="4"/>
        <w:widowControl/>
        <w:snapToGrid w:val="0"/>
        <w:spacing w:before="0" w:after="0" w:line="360" w:lineRule="auto"/>
        <w:ind w:firstLine="482" w:firstLineChars="200"/>
        <w:jc w:val="left"/>
        <w:rPr>
          <w:rFonts w:ascii="仿宋" w:hAnsi="仿宋" w:eastAsia="仿宋" w:cs="仿宋"/>
          <w:sz w:val="24"/>
          <w:szCs w:val="24"/>
        </w:rPr>
      </w:pPr>
      <w:bookmarkStart w:id="111" w:name="_Toc63189379"/>
      <w:bookmarkStart w:id="112" w:name="_Toc55302377"/>
      <w:bookmarkStart w:id="113" w:name="_Toc55375024"/>
      <w:bookmarkStart w:id="114" w:name="_Toc5724"/>
      <w:r>
        <w:rPr>
          <w:rFonts w:hint="eastAsia" w:ascii="仿宋" w:hAnsi="仿宋" w:eastAsia="仿宋" w:cs="仿宋"/>
          <w:sz w:val="24"/>
          <w:szCs w:val="24"/>
        </w:rPr>
        <w:t>2.3比较与评价</w:t>
      </w:r>
    </w:p>
    <w:bookmarkEnd w:id="111"/>
    <w:bookmarkEnd w:id="112"/>
    <w:bookmarkEnd w:id="113"/>
    <w:bookmarkEnd w:id="114"/>
    <w:p w14:paraId="77C92175">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2.3.1分值权重构成，见评审办法前附表。</w:t>
      </w:r>
    </w:p>
    <w:p w14:paraId="7A158A20">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2.3.2商务技术评分标准，见评审办法前附表。</w:t>
      </w:r>
    </w:p>
    <w:p w14:paraId="2760DAF2">
      <w:pPr>
        <w:pStyle w:val="6"/>
        <w:snapToGrid w:val="0"/>
        <w:spacing w:after="0" w:line="360" w:lineRule="auto"/>
        <w:ind w:firstLine="480" w:firstLineChars="200"/>
        <w:rPr>
          <w:rFonts w:ascii="仿宋" w:hAnsi="仿宋" w:eastAsia="仿宋" w:cs="仿宋"/>
          <w:sz w:val="24"/>
        </w:rPr>
      </w:pPr>
      <w:r>
        <w:rPr>
          <w:rFonts w:hint="eastAsia" w:ascii="仿宋" w:hAnsi="仿宋" w:eastAsia="仿宋" w:cs="仿宋"/>
          <w:sz w:val="24"/>
        </w:rPr>
        <w:t>2.3.3报价评分标准，见评审办法前附表。</w:t>
      </w:r>
    </w:p>
    <w:p w14:paraId="49BC505A">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2.3.4评分分值计算保留小数点后两位，小数点后第三位“四舍五入”。</w:t>
      </w:r>
    </w:p>
    <w:p w14:paraId="58636FC0">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2.3.5供应商综合得分=商务技术得分+报价得分。</w:t>
      </w:r>
    </w:p>
    <w:p w14:paraId="79C2F788"/>
    <w:sectPr>
      <w:headerReference r:id="rId11" w:type="default"/>
      <w:footerReference r:id="rId12"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1F1E">
    <w:pPr>
      <w:pStyle w:val="12"/>
      <w:jc w:val="center"/>
      <w:rPr>
        <w:rFonts w:ascii="仿宋_GB2312" w:eastAsia="仿宋_GB2312"/>
      </w:rPr>
    </w:pPr>
  </w:p>
  <w:p w14:paraId="0BBF8291">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6202">
    <w:pPr>
      <w:pStyle w:val="12"/>
      <w:jc w:val="center"/>
      <w:rPr>
        <w:rFonts w:ascii="仿宋_GB2312" w:eastAsia="仿宋_GB2312"/>
      </w:rPr>
    </w:pPr>
  </w:p>
  <w:p w14:paraId="2734AA2A">
    <w:pPr>
      <w:tabs>
        <w:tab w:val="left" w:pos="5064"/>
      </w:tabs>
      <w:rPr>
        <w:rFonts w:ascii="仿宋_GB2312" w:eastAsia="仿宋_GB2312"/>
      </w:rPr>
    </w:pPr>
    <w:r>
      <w:rPr>
        <w:rFonts w:hint="eastAsia" w:ascii="仿宋_GB2312" w:eastAsia="仿宋_GB231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C1E6A">
    <w:pPr>
      <w:pStyle w:val="12"/>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5BE2C">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25BE2C">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7A0799CD">
    <w:pPr>
      <w:tabs>
        <w:tab w:val="left" w:pos="5064"/>
      </w:tabs>
      <w:rPr>
        <w:rFonts w:ascii="仿宋_GB2312" w:eastAsia="仿宋_GB2312"/>
      </w:rPr>
    </w:pPr>
    <w:r>
      <w:rPr>
        <w:rFonts w:hint="eastAsia" w:ascii="仿宋_GB2312" w:eastAsia="仿宋_GB231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C04B">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0C66A">
                          <w:pPr>
                            <w:pStyle w:val="12"/>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20C66A">
                    <w:pPr>
                      <w:pStyle w:val="12"/>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A171">
    <w:pPr>
      <w:pStyle w:val="12"/>
      <w:ind w:right="360" w:firstLine="4410" w:firstLineChars="24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14E7B">
                          <w:pPr>
                            <w:pStyle w:val="12"/>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6314E7B">
                    <w:pPr>
                      <w:pStyle w:val="12"/>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r>
      <w:rPr>
        <w:rFonts w:hint="eastAsia"/>
      </w:rPr>
      <w:t>`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5A5D">
    <w:pPr>
      <w:pStyle w:val="12"/>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B3675">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90B3675">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p w14:paraId="4A3C74C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27C9">
    <w:pPr>
      <w:pStyle w:val="13"/>
      <w:pBdr>
        <w:bottom w:val="none" w:color="auto" w:sz="0" w:space="1"/>
      </w:pBdr>
      <w:ind w:left="3" w:leftChars="1" w:right="-82" w:rightChars="-39" w:hanging="1" w:hangingChars="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9239">
    <w:pPr>
      <w:pStyle w:val="13"/>
      <w:pBdr>
        <w:bottom w:val="none" w:color="auto" w:sz="0" w:space="1"/>
      </w:pBdr>
      <w:ind w:left="3" w:leftChars="1" w:right="-82" w:rightChars="-39" w:hanging="1" w:hangingChars="1"/>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A154">
    <w:pPr>
      <w:pStyle w:val="13"/>
      <w:pBdr>
        <w:bottom w:val="none" w:color="auto" w:sz="0" w:space="1"/>
      </w:pBdr>
      <w:ind w:left="3" w:leftChars="1" w:right="-82" w:rightChars="-39" w:hanging="1" w:hangingChars="1"/>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B9A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97FB3"/>
    <w:multiLevelType w:val="multilevel"/>
    <w:tmpl w:val="8BF97FB3"/>
    <w:lvl w:ilvl="0" w:tentative="0">
      <w:start w:val="8"/>
      <w:numFmt w:val="decimal"/>
      <w:lvlText w:val="%1"/>
      <w:lvlJc w:val="left"/>
      <w:pPr>
        <w:tabs>
          <w:tab w:val="left" w:pos="425"/>
        </w:tabs>
        <w:ind w:left="425" w:hanging="425"/>
      </w:pPr>
      <w:rPr>
        <w:rFonts w:hint="default" w:ascii="宋体" w:hAnsi="宋体" w:eastAsia="宋体" w:cs="宋体"/>
        <w:b/>
        <w:i w:val="0"/>
        <w:sz w:val="24"/>
      </w:rPr>
    </w:lvl>
    <w:lvl w:ilvl="1" w:tentative="0">
      <w:start w:val="1"/>
      <w:numFmt w:val="decimal"/>
      <w:lvlText w:val="%1.%2"/>
      <w:lvlJc w:val="left"/>
      <w:pPr>
        <w:tabs>
          <w:tab w:val="left" w:pos="927"/>
        </w:tabs>
        <w:ind w:left="927" w:hanging="567"/>
      </w:pPr>
      <w:rPr>
        <w:rFonts w:hint="default" w:ascii="宋体" w:hAnsi="宋体" w:eastAsia="宋体" w:cs="宋体"/>
        <w:b w:val="0"/>
        <w:i w:val="0"/>
        <w:sz w:val="21"/>
      </w:rPr>
    </w:lvl>
    <w:lvl w:ilvl="2" w:tentative="0">
      <w:start w:val="1"/>
      <w:numFmt w:val="decimal"/>
      <w:lvlText w:val="%1.%2.%3"/>
      <w:lvlJc w:val="left"/>
      <w:pPr>
        <w:tabs>
          <w:tab w:val="left" w:pos="1418"/>
        </w:tabs>
        <w:ind w:left="1418" w:hanging="567"/>
      </w:pPr>
      <w:rPr>
        <w:rFonts w:hint="default" w:ascii="宋体" w:hAnsi="宋体" w:eastAsia="宋体" w:cs="宋体"/>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default" w:ascii="宋体" w:hAnsi="宋体" w:eastAsia="宋体" w:cs="宋体"/>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933EB52F"/>
    <w:multiLevelType w:val="singleLevel"/>
    <w:tmpl w:val="933EB52F"/>
    <w:lvl w:ilvl="0" w:tentative="0">
      <w:start w:val="1"/>
      <w:numFmt w:val="decimal"/>
      <w:lvlText w:val="%1."/>
      <w:lvlJc w:val="left"/>
      <w:pPr>
        <w:tabs>
          <w:tab w:val="left" w:pos="312"/>
        </w:tabs>
      </w:pPr>
    </w:lvl>
  </w:abstractNum>
  <w:abstractNum w:abstractNumId="2">
    <w:nsid w:val="AB7FD5AA"/>
    <w:multiLevelType w:val="multilevel"/>
    <w:tmpl w:val="AB7FD5AA"/>
    <w:lvl w:ilvl="0" w:tentative="0">
      <w:start w:val="1"/>
      <w:numFmt w:val="decimal"/>
      <w:lvlText w:val="%1"/>
      <w:lvlJc w:val="left"/>
      <w:pPr>
        <w:tabs>
          <w:tab w:val="left" w:pos="425"/>
        </w:tabs>
        <w:ind w:left="425" w:hanging="425"/>
      </w:pPr>
      <w:rPr>
        <w:rFonts w:hint="default" w:ascii="宋体" w:hAnsi="宋体" w:eastAsia="宋体" w:cs="宋体"/>
        <w:b/>
        <w:i w:val="0"/>
        <w:sz w:val="24"/>
      </w:rPr>
    </w:lvl>
    <w:lvl w:ilvl="1" w:tentative="0">
      <w:start w:val="1"/>
      <w:numFmt w:val="decimal"/>
      <w:lvlText w:val="%1.%2"/>
      <w:lvlJc w:val="left"/>
      <w:pPr>
        <w:tabs>
          <w:tab w:val="left" w:pos="927"/>
        </w:tabs>
        <w:ind w:left="927" w:hanging="567"/>
      </w:pPr>
      <w:rPr>
        <w:rFonts w:hint="default" w:ascii="宋体" w:hAnsi="宋体" w:eastAsia="宋体" w:cs="宋体"/>
        <w:b w:val="0"/>
        <w:i w:val="0"/>
        <w:sz w:val="21"/>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B3452337"/>
    <w:multiLevelType w:val="multilevel"/>
    <w:tmpl w:val="B3452337"/>
    <w:lvl w:ilvl="0" w:tentative="0">
      <w:start w:val="4"/>
      <w:numFmt w:val="decimal"/>
      <w:lvlText w:val="%1"/>
      <w:lvlJc w:val="left"/>
      <w:pPr>
        <w:tabs>
          <w:tab w:val="left" w:pos="425"/>
        </w:tabs>
        <w:ind w:left="425" w:hanging="425"/>
      </w:pPr>
      <w:rPr>
        <w:rFonts w:hint="default" w:ascii="宋体" w:hAnsi="宋体" w:eastAsia="宋体" w:cs="宋体"/>
        <w:b/>
        <w:i w:val="0"/>
        <w:sz w:val="24"/>
      </w:rPr>
    </w:lvl>
    <w:lvl w:ilvl="1" w:tentative="0">
      <w:start w:val="1"/>
      <w:numFmt w:val="decimal"/>
      <w:lvlText w:val="%1.%2"/>
      <w:lvlJc w:val="left"/>
      <w:pPr>
        <w:tabs>
          <w:tab w:val="left" w:pos="927"/>
        </w:tabs>
        <w:ind w:left="927" w:hanging="567"/>
      </w:pPr>
      <w:rPr>
        <w:rFonts w:hint="default" w:ascii="宋体" w:hAnsi="宋体" w:eastAsia="宋体" w:cs="宋体"/>
        <w:b w:val="0"/>
        <w:i w:val="0"/>
        <w:sz w:val="21"/>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BC2EA4EC"/>
    <w:multiLevelType w:val="multilevel"/>
    <w:tmpl w:val="BC2EA4EC"/>
    <w:lvl w:ilvl="0" w:tentative="0">
      <w:start w:val="2"/>
      <w:numFmt w:val="decimal"/>
      <w:lvlText w:val="%1"/>
      <w:lvlJc w:val="left"/>
      <w:pPr>
        <w:tabs>
          <w:tab w:val="left" w:pos="425"/>
        </w:tabs>
        <w:ind w:left="425" w:hanging="425"/>
      </w:pPr>
      <w:rPr>
        <w:rFonts w:hint="default" w:ascii="宋体" w:hAnsi="宋体" w:eastAsia="宋体" w:cs="宋体"/>
        <w:b/>
        <w:i w:val="0"/>
        <w:sz w:val="24"/>
      </w:rPr>
    </w:lvl>
    <w:lvl w:ilvl="1" w:tentative="0">
      <w:start w:val="1"/>
      <w:numFmt w:val="decimal"/>
      <w:lvlText w:val="%1.%2"/>
      <w:lvlJc w:val="left"/>
      <w:pPr>
        <w:tabs>
          <w:tab w:val="left" w:pos="927"/>
        </w:tabs>
        <w:ind w:left="927" w:hanging="567"/>
      </w:pPr>
      <w:rPr>
        <w:rFonts w:hint="default" w:ascii="宋体" w:hAnsi="宋体" w:eastAsia="宋体" w:cs="宋体"/>
        <w:b w:val="0"/>
        <w:i w:val="0"/>
        <w:sz w:val="21"/>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D13836E3"/>
    <w:multiLevelType w:val="multilevel"/>
    <w:tmpl w:val="D13836E3"/>
    <w:lvl w:ilvl="0" w:tentative="0">
      <w:start w:val="6"/>
      <w:numFmt w:val="decimal"/>
      <w:lvlText w:val="%1"/>
      <w:lvlJc w:val="left"/>
      <w:pPr>
        <w:tabs>
          <w:tab w:val="left" w:pos="425"/>
        </w:tabs>
        <w:ind w:left="425" w:hanging="425"/>
      </w:pPr>
      <w:rPr>
        <w:rFonts w:hint="default" w:ascii="宋体" w:hAnsi="宋体" w:eastAsia="宋体" w:cs="宋体"/>
        <w:b/>
        <w:i w:val="0"/>
        <w:sz w:val="24"/>
      </w:rPr>
    </w:lvl>
    <w:lvl w:ilvl="1" w:tentative="0">
      <w:start w:val="1"/>
      <w:numFmt w:val="decimal"/>
      <w:lvlText w:val="%1.%2"/>
      <w:lvlJc w:val="left"/>
      <w:pPr>
        <w:tabs>
          <w:tab w:val="left" w:pos="927"/>
        </w:tabs>
        <w:ind w:left="927" w:hanging="567"/>
      </w:pPr>
      <w:rPr>
        <w:rFonts w:hint="default" w:ascii="宋体" w:hAnsi="宋体" w:eastAsia="宋体" w:cs="宋体"/>
        <w:b w:val="0"/>
        <w:i w:val="0"/>
        <w:sz w:val="21"/>
      </w:rPr>
    </w:lvl>
    <w:lvl w:ilvl="2" w:tentative="0">
      <w:start w:val="1"/>
      <w:numFmt w:val="decimal"/>
      <w:lvlText w:val="%1.%2.%3"/>
      <w:lvlJc w:val="left"/>
      <w:pPr>
        <w:tabs>
          <w:tab w:val="left" w:pos="1418"/>
        </w:tabs>
        <w:ind w:left="1418" w:hanging="567"/>
      </w:pPr>
      <w:rPr>
        <w:rFonts w:hint="default" w:ascii="宋体" w:hAnsi="宋体" w:eastAsia="宋体" w:cs="宋体"/>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default" w:ascii="宋体" w:hAnsi="宋体" w:eastAsia="宋体" w:cs="宋体"/>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214576A"/>
    <w:multiLevelType w:val="multilevel"/>
    <w:tmpl w:val="0214576A"/>
    <w:lvl w:ilvl="0" w:tentative="0">
      <w:start w:val="9"/>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3AA0319"/>
    <w:multiLevelType w:val="multilevel"/>
    <w:tmpl w:val="33AA0319"/>
    <w:lvl w:ilvl="0" w:tentative="0">
      <w:start w:val="7"/>
      <w:numFmt w:val="decimal"/>
      <w:lvlText w:val="%1"/>
      <w:lvlJc w:val="left"/>
      <w:pPr>
        <w:tabs>
          <w:tab w:val="left" w:pos="425"/>
        </w:tabs>
        <w:ind w:left="425" w:hanging="425"/>
      </w:pPr>
      <w:rPr>
        <w:rFonts w:hint="default" w:ascii="宋体" w:hAnsi="宋体" w:eastAsia="宋体" w:cs="宋体"/>
        <w:b/>
        <w:i w:val="0"/>
        <w:sz w:val="24"/>
      </w:rPr>
    </w:lvl>
    <w:lvl w:ilvl="1" w:tentative="0">
      <w:start w:val="1"/>
      <w:numFmt w:val="decimal"/>
      <w:lvlText w:val="%1.%2"/>
      <w:lvlJc w:val="left"/>
      <w:pPr>
        <w:tabs>
          <w:tab w:val="left" w:pos="927"/>
        </w:tabs>
        <w:ind w:left="927" w:hanging="567"/>
      </w:pPr>
      <w:rPr>
        <w:rFonts w:hint="default" w:ascii="宋体" w:hAnsi="宋体" w:eastAsia="宋体" w:cs="宋体"/>
        <w:b w:val="0"/>
        <w:i w:val="0"/>
        <w:sz w:val="21"/>
      </w:rPr>
    </w:lvl>
    <w:lvl w:ilvl="2" w:tentative="0">
      <w:start w:val="1"/>
      <w:numFmt w:val="decimal"/>
      <w:lvlText w:val="%1.%2.%3"/>
      <w:lvlJc w:val="left"/>
      <w:pPr>
        <w:tabs>
          <w:tab w:val="left" w:pos="1418"/>
        </w:tabs>
        <w:ind w:left="1418" w:hanging="567"/>
      </w:pPr>
      <w:rPr>
        <w:rFonts w:hint="default" w:ascii="宋体" w:hAnsi="宋体" w:eastAsia="宋体" w:cs="宋体"/>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default" w:ascii="宋体" w:hAnsi="宋体" w:eastAsia="宋体" w:cs="宋体"/>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5B34231"/>
    <w:multiLevelType w:val="multilevel"/>
    <w:tmpl w:val="35B34231"/>
    <w:lvl w:ilvl="0" w:tentative="0">
      <w:start w:val="1"/>
      <w:numFmt w:val="chineseCountingThousand"/>
      <w:lvlText w:val="%1、"/>
      <w:lvlJc w:val="left"/>
      <w:pPr>
        <w:ind w:left="765" w:hanging="765"/>
      </w:pPr>
      <w:rPr>
        <w:rFonts w:hint="default"/>
        <w:sz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F403B5"/>
    <w:multiLevelType w:val="singleLevel"/>
    <w:tmpl w:val="54F403B5"/>
    <w:lvl w:ilvl="0" w:tentative="0">
      <w:start w:val="1"/>
      <w:numFmt w:val="chineseCounting"/>
      <w:suff w:val="nothing"/>
      <w:lvlText w:val="%1、"/>
      <w:lvlJc w:val="left"/>
      <w:pPr>
        <w:ind w:left="0" w:firstLine="0"/>
      </w:pPr>
    </w:lvl>
  </w:abstractNum>
  <w:abstractNum w:abstractNumId="10">
    <w:nsid w:val="557FD3DA"/>
    <w:multiLevelType w:val="singleLevel"/>
    <w:tmpl w:val="557FD3DA"/>
    <w:lvl w:ilvl="0" w:tentative="0">
      <w:start w:val="3"/>
      <w:numFmt w:val="chineseCounting"/>
      <w:suff w:val="nothing"/>
      <w:lvlText w:val="%1、"/>
      <w:lvlJc w:val="left"/>
      <w:pPr>
        <w:ind w:left="0" w:firstLine="0"/>
      </w:pPr>
    </w:lvl>
  </w:abstractNum>
  <w:abstractNum w:abstractNumId="11">
    <w:nsid w:val="6515665A"/>
    <w:multiLevelType w:val="singleLevel"/>
    <w:tmpl w:val="6515665A"/>
    <w:lvl w:ilvl="0" w:tentative="0">
      <w:start w:val="2"/>
      <w:numFmt w:val="chineseCounting"/>
      <w:suff w:val="nothing"/>
      <w:lvlText w:val="%1、"/>
      <w:lvlJc w:val="left"/>
      <w:rPr>
        <w:rFonts w:hint="eastAsia"/>
      </w:rPr>
    </w:lvl>
  </w:abstractNum>
  <w:abstractNum w:abstractNumId="12">
    <w:nsid w:val="725A384C"/>
    <w:multiLevelType w:val="multilevel"/>
    <w:tmpl w:val="725A384C"/>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lvlOverride w:ilvl="0">
      <w:startOverride w:val="1"/>
    </w:lvlOverride>
  </w:num>
  <w:num w:numId="2">
    <w:abstractNumId w:val="10"/>
    <w:lvlOverride w:ilvl="0">
      <w:startOverride w:val="3"/>
    </w:lvlOverride>
  </w:num>
  <w:num w:numId="3">
    <w:abstractNumId w:val="8"/>
  </w:num>
  <w:num w:numId="4">
    <w:abstractNumId w:val="2"/>
  </w:num>
  <w:num w:numId="5">
    <w:abstractNumId w:val="4"/>
  </w:num>
  <w:num w:numId="6">
    <w:abstractNumId w:val="3"/>
  </w:num>
  <w:num w:numId="7">
    <w:abstractNumId w:val="5"/>
  </w:num>
  <w:num w:numId="8">
    <w:abstractNumId w:val="7"/>
  </w:num>
  <w:num w:numId="9">
    <w:abstractNumId w:val="0"/>
  </w:num>
  <w:num w:numId="1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B0"/>
    <w:rsid w:val="00067688"/>
    <w:rsid w:val="000A76B9"/>
    <w:rsid w:val="001E0668"/>
    <w:rsid w:val="00252EC0"/>
    <w:rsid w:val="00312622"/>
    <w:rsid w:val="003408D3"/>
    <w:rsid w:val="0043684B"/>
    <w:rsid w:val="00463B0C"/>
    <w:rsid w:val="004C3DA5"/>
    <w:rsid w:val="00556716"/>
    <w:rsid w:val="005D7561"/>
    <w:rsid w:val="006B065F"/>
    <w:rsid w:val="006D1724"/>
    <w:rsid w:val="007C57C6"/>
    <w:rsid w:val="0081668E"/>
    <w:rsid w:val="008B0EA1"/>
    <w:rsid w:val="009D2142"/>
    <w:rsid w:val="00A759A4"/>
    <w:rsid w:val="00A819A1"/>
    <w:rsid w:val="00BB4A77"/>
    <w:rsid w:val="00C634B0"/>
    <w:rsid w:val="00DA1E1F"/>
    <w:rsid w:val="00DC6C97"/>
    <w:rsid w:val="00DF5406"/>
    <w:rsid w:val="00E547E7"/>
    <w:rsid w:val="00E56E0C"/>
    <w:rsid w:val="00E62A6B"/>
    <w:rsid w:val="00F628F4"/>
    <w:rsid w:val="00FE42ED"/>
    <w:rsid w:val="2ABC4301"/>
    <w:rsid w:val="507E57E3"/>
    <w:rsid w:val="582F3D45"/>
    <w:rsid w:val="6F235519"/>
    <w:rsid w:val="78C41FC5"/>
    <w:rsid w:val="7AB9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5">
    <w:name w:val="Body Text"/>
    <w:basedOn w:val="1"/>
    <w:next w:val="6"/>
    <w:unhideWhenUsed/>
    <w:qFormat/>
    <w:uiPriority w:val="0"/>
    <w:pPr>
      <w:spacing w:after="120"/>
    </w:pPr>
  </w:style>
  <w:style w:type="paragraph" w:styleId="6">
    <w:name w:val="Body Text First Indent"/>
    <w:basedOn w:val="5"/>
    <w:next w:val="7"/>
    <w:unhideWhenUsed/>
    <w:qFormat/>
    <w:uiPriority w:val="99"/>
    <w:pPr>
      <w:ind w:firstLine="420" w:firstLineChars="100"/>
    </w:pPr>
  </w:style>
  <w:style w:type="paragraph" w:styleId="7">
    <w:name w:val="toc 6"/>
    <w:basedOn w:val="1"/>
    <w:next w:val="1"/>
    <w:qFormat/>
    <w:uiPriority w:val="0"/>
    <w:pPr>
      <w:ind w:left="2100" w:leftChars="1000"/>
    </w:pPr>
  </w:style>
  <w:style w:type="paragraph" w:styleId="8">
    <w:name w:val="Body Text Indent"/>
    <w:basedOn w:val="1"/>
    <w:qFormat/>
    <w:uiPriority w:val="0"/>
    <w:pPr>
      <w:adjustRightInd/>
      <w:ind w:left="480" w:hanging="480" w:hangingChars="200"/>
    </w:pPr>
    <w:rPr>
      <w:rFonts w:eastAsia="Cambria" w:asciiTheme="minorHAnsi" w:hAnsiTheme="minorHAnsi" w:cstheme="minorBidi"/>
      <w:sz w:val="24"/>
    </w:rPr>
  </w:style>
  <w:style w:type="paragraph" w:styleId="9">
    <w:name w:val="Plain Text"/>
    <w:basedOn w:val="1"/>
    <w:next w:val="10"/>
    <w:qFormat/>
    <w:uiPriority w:val="0"/>
    <w:pPr>
      <w:widowControl/>
      <w:overflowPunct w:val="0"/>
      <w:autoSpaceDE w:val="0"/>
      <w:autoSpaceDN w:val="0"/>
      <w:jc w:val="left"/>
      <w:textAlignment w:val="baseline"/>
    </w:pPr>
    <w:rPr>
      <w:rFonts w:ascii="Cambria" w:hAnsi="隶书" w:eastAsia="Cambria" w:cstheme="minorBidi"/>
      <w:szCs w:val="21"/>
    </w:rPr>
  </w:style>
  <w:style w:type="paragraph" w:styleId="10">
    <w:name w:val="toc 2"/>
    <w:basedOn w:val="1"/>
    <w:next w:val="1"/>
    <w:qFormat/>
    <w:uiPriority w:val="0"/>
    <w:pPr>
      <w:ind w:left="420" w:leftChars="200"/>
    </w:pPr>
  </w:style>
  <w:style w:type="paragraph" w:styleId="11">
    <w:name w:val="Body Text Indent 2"/>
    <w:basedOn w:val="1"/>
    <w:qFormat/>
    <w:uiPriority w:val="0"/>
    <w:pPr>
      <w:spacing w:line="360" w:lineRule="auto"/>
      <w:ind w:firstLine="601"/>
      <w:textAlignment w:val="baseline"/>
    </w:pPr>
    <w:rPr>
      <w:rFonts w:ascii="宋体" w:hAnsiTheme="minorHAnsi" w:eastAsiaTheme="minorEastAsia" w:cstheme="minorBidi"/>
      <w:sz w:val="28"/>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qFormat/>
    <w:uiPriority w:val="10"/>
    <w:pPr>
      <w:widowControl/>
      <w:overflowPunct w:val="0"/>
      <w:autoSpaceDE w:val="0"/>
      <w:autoSpaceDN w:val="0"/>
      <w:jc w:val="center"/>
      <w:textAlignment w:val="baseline"/>
    </w:pPr>
    <w:rPr>
      <w:rFonts w:asciiTheme="minorHAnsi" w:hAnsiTheme="minorHAnsi" w:eastAsiaTheme="minorEastAsia" w:cstheme="minorBidi"/>
      <w:b/>
      <w:sz w:val="24"/>
      <w:szCs w:val="22"/>
    </w:rPr>
  </w:style>
  <w:style w:type="paragraph" w:styleId="15">
    <w:name w:val="Body Text First Indent 2"/>
    <w:basedOn w:val="8"/>
    <w:semiHidden/>
    <w:unhideWhenUsed/>
    <w:qFormat/>
    <w:uiPriority w:val="0"/>
    <w:pPr>
      <w:adjustRightInd w:val="0"/>
      <w:spacing w:after="120"/>
      <w:ind w:left="420" w:leftChars="200" w:firstLine="420" w:firstLineChars="200"/>
    </w:pPr>
    <w:rPr>
      <w:rFonts w:ascii="宋体" w:hAnsi="宋体" w:eastAsiaTheme="minorEastAsia"/>
      <w:sz w:val="21"/>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paragraph" w:customStyle="1" w:styleId="20">
    <w:name w:val="纯文本2"/>
    <w:basedOn w:val="1"/>
    <w:qFormat/>
    <w:uiPriority w:val="0"/>
    <w:pPr>
      <w:adjustRightInd/>
      <w:snapToGrid w:val="0"/>
      <w:jc w:val="left"/>
    </w:pPr>
    <w:rPr>
      <w:rFonts w:ascii="Century Gothic" w:hAnsi="楷体_GB2312" w:eastAsia="Century Gothic"/>
      <w:szCs w:val="20"/>
    </w:rPr>
  </w:style>
  <w:style w:type="paragraph" w:customStyle="1" w:styleId="2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22">
    <w:name w:val="正文2"/>
    <w:basedOn w:val="1"/>
    <w:qFormat/>
    <w:uiPriority w:val="0"/>
    <w:pPr>
      <w:spacing w:before="156" w:line="360" w:lineRule="auto"/>
      <w:ind w:firstLine="510" w:firstLineChars="200"/>
    </w:pPr>
    <w:rPr>
      <w:rFonts w:asciiTheme="minorHAnsi" w:hAnsiTheme="minorHAnsi" w:cstheme="minorBidi"/>
      <w:sz w:val="24"/>
      <w:szCs w:val="22"/>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styleId="24">
    <w:name w:val="List Paragraph"/>
    <w:basedOn w:val="1"/>
    <w:qFormat/>
    <w:uiPriority w:val="0"/>
    <w:pPr>
      <w:autoSpaceDE w:val="0"/>
      <w:autoSpaceDN w:val="0"/>
      <w:jc w:val="left"/>
    </w:pPr>
    <w:rPr>
      <w:rFonts w:ascii="Calibri" w:hAnsi="Calibri"/>
      <w:kern w:val="0"/>
      <w:sz w:val="24"/>
    </w:rPr>
  </w:style>
  <w:style w:type="paragraph" w:customStyle="1" w:styleId="25">
    <w:name w:val="内文正文"/>
    <w:basedOn w:val="9"/>
    <w:qFormat/>
    <w:uiPriority w:val="0"/>
    <w:pPr>
      <w:spacing w:line="400" w:lineRule="exact"/>
      <w:ind w:firstLine="200" w:firstLineChars="200"/>
      <w:jc w:val="both"/>
      <w:textAlignment w:val="bottom"/>
    </w:pPr>
    <w:rPr>
      <w:rFonts w:ascii="宋体" w:hAnsi="???|CS?o｡ﾀ?"/>
      <w:szCs w:val="28"/>
    </w:rPr>
  </w:style>
  <w:style w:type="paragraph" w:customStyle="1" w:styleId="2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8">
    <w:name w:val="标题 1 Char"/>
    <w:basedOn w:val="18"/>
    <w:qFormat/>
    <w:uiPriority w:val="0"/>
    <w:rPr>
      <w:rFonts w:ascii="宋体" w:hAnsi="宋体" w:eastAsia="宋体" w:cs="宋体"/>
      <w:b/>
      <w:bCs/>
      <w:kern w:val="36"/>
      <w:sz w:val="48"/>
      <w:szCs w:val="48"/>
    </w:rPr>
  </w:style>
  <w:style w:type="character" w:customStyle="1" w:styleId="29">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300</Words>
  <Characters>337</Characters>
  <Lines>280</Lines>
  <Paragraphs>79</Paragraphs>
  <TotalTime>14</TotalTime>
  <ScaleCrop>false</ScaleCrop>
  <LinksUpToDate>false</LinksUpToDate>
  <CharactersWithSpaces>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2026-03-04T09:22:00Z</dcterms:created>
  <dc:creator>CQJ</dc:creator>
  <cp:lastModifiedBy>未知</cp:lastModifiedBy>
  <dcterms:modified xsi:type="dcterms:W3CDTF">2026-04-15T06:56:35Z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eyJoZGlkIjoiMDljYzUzMWQ4OWI0YzBkYjYzMDRhZTY5ZjZkYmFmYTgiLCJ1c2VySWQiOiIxMDU1NDE3NjQxIn0=</vt:lpwstr>
  </property>
  <property fmtid="{D5CDD505-2E9C-101B-9397-08002B2CF9AE}" pid="4" name="ICV">
    <vt:lpwstr>6A81ABD580BE4F1A89FC2C47E72999B7_13</vt:lpwstr>
  </property>
</Properties>
</file>